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5FDDAE">
      <w:pPr>
        <w:pStyle w:val="5"/>
        <w:rPr>
          <w:rFonts w:ascii="Times New Roman"/>
          <w:sz w:val="20"/>
        </w:rPr>
      </w:pPr>
    </w:p>
    <w:p w14:paraId="37C82EB5">
      <w:pPr>
        <w:pStyle w:val="5"/>
        <w:rPr>
          <w:rFonts w:ascii="Times New Roman"/>
          <w:sz w:val="20"/>
        </w:rPr>
      </w:pPr>
    </w:p>
    <w:p w14:paraId="15B4AF12">
      <w:pPr>
        <w:pStyle w:val="5"/>
        <w:rPr>
          <w:rFonts w:ascii="Times New Roman"/>
          <w:sz w:val="20"/>
        </w:rPr>
      </w:pPr>
    </w:p>
    <w:p w14:paraId="4FAD0CCC">
      <w:pPr>
        <w:pStyle w:val="5"/>
        <w:rPr>
          <w:rFonts w:ascii="Times New Roman"/>
          <w:sz w:val="20"/>
        </w:rPr>
      </w:pPr>
    </w:p>
    <w:p w14:paraId="3CD0BDFC">
      <w:pPr>
        <w:pStyle w:val="5"/>
        <w:rPr>
          <w:rFonts w:ascii="Times New Roman"/>
          <w:sz w:val="20"/>
        </w:rPr>
      </w:pPr>
    </w:p>
    <w:p w14:paraId="2F153827">
      <w:pPr>
        <w:pStyle w:val="5"/>
        <w:rPr>
          <w:rFonts w:ascii="Times New Roman"/>
          <w:sz w:val="20"/>
        </w:rPr>
      </w:pPr>
    </w:p>
    <w:p w14:paraId="5C17EE35">
      <w:pPr>
        <w:pStyle w:val="5"/>
        <w:rPr>
          <w:rFonts w:ascii="Times New Roman"/>
          <w:sz w:val="20"/>
        </w:rPr>
      </w:pPr>
    </w:p>
    <w:p w14:paraId="1D1A5061">
      <w:pPr>
        <w:pStyle w:val="5"/>
        <w:rPr>
          <w:rFonts w:ascii="Times New Roman"/>
          <w:sz w:val="20"/>
        </w:rPr>
      </w:pPr>
    </w:p>
    <w:p w14:paraId="158A6D03">
      <w:pPr>
        <w:pStyle w:val="5"/>
        <w:spacing w:before="9"/>
        <w:rPr>
          <w:rFonts w:ascii="Times New Roman"/>
          <w:sz w:val="23"/>
        </w:rPr>
      </w:pPr>
    </w:p>
    <w:p w14:paraId="7A84C269">
      <w:pPr>
        <w:spacing w:before="28"/>
        <w:ind w:left="441" w:right="563"/>
        <w:jc w:val="center"/>
        <w:rPr>
          <w:rFonts w:ascii="宋体" w:eastAsia="宋体"/>
          <w:sz w:val="52"/>
        </w:rPr>
      </w:pPr>
      <w:r>
        <w:rPr>
          <w:rFonts w:ascii="宋体" w:eastAsia="宋体"/>
          <w:color w:val="FF0000"/>
          <w:spacing w:val="-2"/>
          <w:sz w:val="52"/>
        </w:rPr>
        <w:t>银 川 市 金 凤 区</w:t>
      </w:r>
    </w:p>
    <w:p w14:paraId="52232A6F">
      <w:pPr>
        <w:pStyle w:val="8"/>
      </w:pPr>
      <w:r>
        <w:rPr>
          <w:color w:val="FF0000"/>
          <w:spacing w:val="-1"/>
        </w:rPr>
        <w:t>人 民 政 府 文 件</w:t>
      </w:r>
    </w:p>
    <w:p w14:paraId="2A1FBA91">
      <w:pPr>
        <w:pStyle w:val="5"/>
        <w:spacing w:before="742"/>
        <w:ind w:left="441" w:right="563"/>
        <w:jc w:val="center"/>
      </w:pPr>
      <w:r>
        <w:rPr>
          <w:w w:val="95"/>
        </w:rPr>
        <w:t>银金政发〔2021〕53</w:t>
      </w:r>
      <w:r>
        <w:rPr>
          <w:spacing w:val="39"/>
        </w:rPr>
        <w:t xml:space="preserve"> </w:t>
      </w:r>
      <w:r>
        <w:rPr>
          <w:spacing w:val="-10"/>
          <w:w w:val="95"/>
        </w:rPr>
        <w:t>号</w:t>
      </w:r>
    </w:p>
    <w:p w14:paraId="1E452924">
      <w:pPr>
        <w:pStyle w:val="5"/>
        <w:spacing w:line="20" w:lineRule="exact"/>
        <w:ind w:left="37"/>
        <w:rPr>
          <w:sz w:val="2"/>
        </w:rPr>
      </w:pPr>
      <w:r>
        <w:rPr>
          <w:sz w:val="2"/>
        </w:rPr>
        <w:pict>
          <v:group id="docshapegroup1" o:spid="_x0000_s1027" o:spt="203" style="height:0.75pt;width:453.6pt;" coordsize="9072,15">
            <o:lock v:ext="edit"/>
            <v:rect id="docshape2" o:spid="_x0000_s1028" o:spt="1" style="position:absolute;left:0;top:0;height:15;width:9072;" fillcolor="#FF0000" filled="t" stroked="f" coordsize="21600,21600">
              <v:path/>
              <v:fill on="t" focussize="0,0"/>
              <v:stroke on="f"/>
              <v:imagedata o:title=""/>
              <o:lock v:ext="edit"/>
            </v:rect>
            <w10:wrap type="none"/>
            <w10:anchorlock/>
          </v:group>
        </w:pict>
      </w:r>
    </w:p>
    <w:p w14:paraId="5E480319">
      <w:pPr>
        <w:pStyle w:val="5"/>
      </w:pPr>
    </w:p>
    <w:p w14:paraId="0BABB8B1">
      <w:pPr>
        <w:pStyle w:val="5"/>
        <w:spacing w:before="7"/>
        <w:rPr>
          <w:sz w:val="38"/>
        </w:rPr>
      </w:pPr>
    </w:p>
    <w:p w14:paraId="55D91346">
      <w:pPr>
        <w:pStyle w:val="2"/>
        <w:spacing w:line="177" w:lineRule="auto"/>
        <w:ind w:left="700" w:right="823"/>
      </w:pPr>
      <w:r>
        <w:rPr>
          <w:spacing w:val="-2"/>
        </w:rPr>
        <w:t>关于印发《金凤区国民经济和社会发展 第十四个五年规划和二〇三五年远景目标纲要》的通知</w:t>
      </w:r>
    </w:p>
    <w:p w14:paraId="03C54E62">
      <w:pPr>
        <w:pStyle w:val="5"/>
        <w:spacing w:before="3"/>
        <w:rPr>
          <w:rFonts w:ascii="方正小标宋_GBK"/>
          <w:sz w:val="34"/>
        </w:rPr>
      </w:pPr>
    </w:p>
    <w:p w14:paraId="435CB2EF">
      <w:pPr>
        <w:pStyle w:val="5"/>
        <w:spacing w:line="328" w:lineRule="auto"/>
        <w:ind w:left="153" w:right="278"/>
        <w:jc w:val="both"/>
      </w:pPr>
      <w:r>
        <w:rPr>
          <w:spacing w:val="1"/>
          <w:w w:val="99"/>
        </w:rPr>
        <w:t>各镇人民政府、街道办事处，区政府各部门、单位，银川阅海湾中央商务区管委会，阅海实业集团有限公司，宁夏海阅控股运营</w:t>
      </w:r>
      <w:r>
        <w:rPr>
          <w:w w:val="99"/>
        </w:rPr>
        <w:t>有限公司，市属各派出机构:</w:t>
      </w:r>
    </w:p>
    <w:p w14:paraId="5649508B">
      <w:pPr>
        <w:pStyle w:val="5"/>
        <w:spacing w:line="328" w:lineRule="auto"/>
        <w:ind w:left="153" w:right="278" w:firstLine="640"/>
        <w:jc w:val="both"/>
      </w:pPr>
      <w:r>
        <w:rPr>
          <w:spacing w:val="2"/>
          <w:w w:val="99"/>
        </w:rPr>
        <w:t>《金凤区国民经济和社会发展第十四个五年规划和二</w:t>
      </w:r>
      <w:r>
        <w:rPr>
          <w:rFonts w:ascii="宋体" w:eastAsia="宋体"/>
          <w:spacing w:val="2"/>
          <w:w w:val="99"/>
        </w:rPr>
        <w:t>〇</w:t>
      </w:r>
      <w:r>
        <w:rPr>
          <w:spacing w:val="1"/>
          <w:w w:val="99"/>
        </w:rPr>
        <w:t>三五年远景目标纲要》已于</w:t>
      </w:r>
      <w:r>
        <w:rPr>
          <w:spacing w:val="-76"/>
        </w:rPr>
        <w:t xml:space="preserve"> </w:t>
      </w:r>
      <w:r>
        <w:rPr>
          <w:spacing w:val="1"/>
          <w:w w:val="99"/>
        </w:rPr>
        <w:t>2</w:t>
      </w:r>
      <w:r>
        <w:rPr>
          <w:spacing w:val="-2"/>
          <w:w w:val="99"/>
        </w:rPr>
        <w:t>0</w:t>
      </w:r>
      <w:r>
        <w:rPr>
          <w:spacing w:val="1"/>
          <w:w w:val="99"/>
        </w:rPr>
        <w:t>2</w:t>
      </w:r>
      <w:r>
        <w:rPr>
          <w:w w:val="99"/>
        </w:rPr>
        <w:t>1</w:t>
      </w:r>
      <w:r>
        <w:rPr>
          <w:spacing w:val="-80"/>
        </w:rPr>
        <w:t xml:space="preserve"> </w:t>
      </w:r>
      <w:r>
        <w:rPr>
          <w:w w:val="99"/>
        </w:rPr>
        <w:t>年</w:t>
      </w:r>
      <w:r>
        <w:rPr>
          <w:spacing w:val="-76"/>
        </w:rPr>
        <w:t xml:space="preserve"> </w:t>
      </w:r>
      <w:r>
        <w:rPr>
          <w:w w:val="99"/>
        </w:rPr>
        <w:t>1</w:t>
      </w:r>
      <w:r>
        <w:rPr>
          <w:spacing w:val="-78"/>
        </w:rPr>
        <w:t xml:space="preserve"> </w:t>
      </w:r>
      <w:r>
        <w:rPr>
          <w:w w:val="99"/>
        </w:rPr>
        <w:t>月</w:t>
      </w:r>
      <w:r>
        <w:rPr>
          <w:spacing w:val="-76"/>
        </w:rPr>
        <w:t xml:space="preserve"> </w:t>
      </w:r>
      <w:r>
        <w:rPr>
          <w:spacing w:val="1"/>
          <w:w w:val="99"/>
        </w:rPr>
        <w:t>1</w:t>
      </w:r>
      <w:r>
        <w:rPr>
          <w:w w:val="99"/>
        </w:rPr>
        <w:t>3</w:t>
      </w:r>
      <w:r>
        <w:rPr>
          <w:spacing w:val="-80"/>
        </w:rPr>
        <w:t xml:space="preserve"> </w:t>
      </w:r>
      <w:r>
        <w:rPr>
          <w:spacing w:val="1"/>
          <w:w w:val="99"/>
        </w:rPr>
        <w:t>日在金凤区第四届人民代表大会第五次会议上审议通过，现予以印发，请各单位结合实际</w:t>
      </w:r>
      <w:r>
        <w:rPr>
          <w:w w:val="99"/>
        </w:rPr>
        <w:t>认真抓好落实。</w:t>
      </w:r>
    </w:p>
    <w:p w14:paraId="01D8A3B7">
      <w:pPr>
        <w:spacing w:line="328" w:lineRule="auto"/>
        <w:jc w:val="both"/>
        <w:sectPr>
          <w:footerReference r:id="rId3" w:type="even"/>
          <w:type w:val="continuous"/>
          <w:pgSz w:w="11910" w:h="16840"/>
          <w:pgMar w:top="1920" w:right="1140" w:bottom="280" w:left="1320" w:header="0" w:footer="0" w:gutter="0"/>
          <w:pgNumType w:start="2"/>
          <w:cols w:space="720" w:num="1"/>
        </w:sectPr>
      </w:pPr>
    </w:p>
    <w:p w14:paraId="049EC85E">
      <w:pPr>
        <w:pStyle w:val="5"/>
        <w:spacing w:before="31" w:line="328" w:lineRule="auto"/>
        <w:ind w:left="1749" w:right="1294" w:hanging="958"/>
      </w:pPr>
      <w:r>
        <w:drawing>
          <wp:anchor distT="0" distB="0" distL="0" distR="0" simplePos="0" relativeHeight="251659264" behindDoc="0" locked="0" layoutInCell="1" allowOverlap="1">
            <wp:simplePos x="0" y="0"/>
            <wp:positionH relativeFrom="page">
              <wp:posOffset>3561715</wp:posOffset>
            </wp:positionH>
            <wp:positionV relativeFrom="paragraph">
              <wp:posOffset>842645</wp:posOffset>
            </wp:positionV>
            <wp:extent cx="1612265" cy="161226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47" cstate="print"/>
                    <a:stretch>
                      <a:fillRect/>
                    </a:stretch>
                  </pic:blipFill>
                  <pic:spPr>
                    <a:xfrm>
                      <a:off x="0" y="0"/>
                      <a:ext cx="1612264" cy="1612264"/>
                    </a:xfrm>
                    <a:prstGeom prst="rect">
                      <a:avLst/>
                    </a:prstGeom>
                  </pic:spPr>
                </pic:pic>
              </a:graphicData>
            </a:graphic>
          </wp:anchor>
        </w:drawing>
      </w:r>
      <w:r>
        <w:rPr>
          <w:spacing w:val="-2"/>
        </w:rPr>
        <w:t>附件：金凤区国民经济和社会发展第十四个五年规划和二</w:t>
      </w:r>
      <w:r>
        <w:rPr>
          <w:rFonts w:ascii="宋体" w:eastAsia="宋体"/>
          <w:spacing w:val="-2"/>
        </w:rPr>
        <w:t>〇</w:t>
      </w:r>
      <w:r>
        <w:rPr>
          <w:spacing w:val="-2"/>
        </w:rPr>
        <w:t>三五年远景目标纲要</w:t>
      </w:r>
    </w:p>
    <w:p w14:paraId="5A7977C4">
      <w:pPr>
        <w:pStyle w:val="5"/>
        <w:spacing w:before="7"/>
        <w:rPr>
          <w:sz w:val="11"/>
        </w:rPr>
      </w:pPr>
      <w:r>
        <w:pict>
          <v:shape id="docshape3" o:spid="_x0000_s1026" o:spt="202" type="#_x0000_t202" style="position:absolute;left:0pt;margin-left:265.7pt;margin-top:8.65pt;height:126.95pt;width:159.95pt;mso-position-horizontal-relative:page;mso-wrap-distance-bottom:0pt;mso-wrap-distance-top:0pt;z-index:-251618304;mso-width-relative:page;mso-height-relative:page;" filled="f" stroked="f" coordsize="21600,21600">
            <v:path/>
            <v:fill on="f" focussize="0,0"/>
            <v:stroke on="f" joinstyle="miter"/>
            <v:imagedata o:title=""/>
            <o:lock v:ext="edit"/>
            <v:textbox inset="0mm,0mm,0mm,0mm">
              <w:txbxContent>
                <w:p w14:paraId="1FC02BA0">
                  <w:pPr>
                    <w:pStyle w:val="5"/>
                  </w:pPr>
                </w:p>
                <w:p w14:paraId="2A565AEA">
                  <w:pPr>
                    <w:pStyle w:val="5"/>
                  </w:pPr>
                </w:p>
                <w:p w14:paraId="4DEA88EA">
                  <w:pPr>
                    <w:pStyle w:val="5"/>
                    <w:spacing w:before="9"/>
                    <w:rPr>
                      <w:sz w:val="41"/>
                    </w:rPr>
                  </w:pPr>
                </w:p>
                <w:p w14:paraId="399364E8">
                  <w:pPr>
                    <w:pStyle w:val="5"/>
                    <w:spacing w:line="560" w:lineRule="atLeast"/>
                    <w:ind w:left="480" w:hanging="480"/>
                  </w:pPr>
                  <w:r>
                    <w:rPr>
                      <w:spacing w:val="-2"/>
                    </w:rPr>
                    <w:t xml:space="preserve">银川市金凤区人民政府 </w:t>
                  </w:r>
                  <w:r>
                    <w:t>2021</w:t>
                  </w:r>
                  <w:r>
                    <w:rPr>
                      <w:spacing w:val="-33"/>
                    </w:rPr>
                    <w:t xml:space="preserve"> 年 </w:t>
                  </w:r>
                  <w:r>
                    <w:t>3</w:t>
                  </w:r>
                  <w:r>
                    <w:rPr>
                      <w:spacing w:val="-34"/>
                    </w:rPr>
                    <w:t xml:space="preserve"> 月 </w:t>
                  </w:r>
                  <w:r>
                    <w:t>8</w:t>
                  </w:r>
                  <w:r>
                    <w:rPr>
                      <w:spacing w:val="-25"/>
                    </w:rPr>
                    <w:t xml:space="preserve"> 日</w:t>
                  </w:r>
                </w:p>
              </w:txbxContent>
            </v:textbox>
            <w10:wrap type="topAndBottom"/>
          </v:shape>
        </w:pict>
      </w:r>
    </w:p>
    <w:p w14:paraId="00F48E32">
      <w:pPr>
        <w:pStyle w:val="5"/>
        <w:spacing w:before="86"/>
        <w:ind w:left="794"/>
      </w:pPr>
      <w:r>
        <w:rPr>
          <w:w w:val="95"/>
        </w:rPr>
        <w:t>（此件公开发布</w:t>
      </w:r>
      <w:r>
        <w:rPr>
          <w:spacing w:val="-10"/>
          <w:w w:val="95"/>
        </w:rPr>
        <w:t>）</w:t>
      </w:r>
    </w:p>
    <w:p w14:paraId="6BCCD7BF">
      <w:pPr>
        <w:sectPr>
          <w:pgSz w:w="11910" w:h="16840"/>
          <w:pgMar w:top="1780" w:right="1140" w:bottom="280" w:left="1320" w:header="0" w:footer="0" w:gutter="0"/>
          <w:cols w:space="720" w:num="1"/>
        </w:sectPr>
      </w:pPr>
    </w:p>
    <w:p w14:paraId="30A3245B">
      <w:pPr>
        <w:pStyle w:val="2"/>
        <w:spacing w:line="220" w:lineRule="auto"/>
      </w:pPr>
      <w:r>
        <w:rPr>
          <w:spacing w:val="-2"/>
          <w:w w:val="95"/>
        </w:rPr>
        <w:t>金凤区国民经济和社会发展第十四个五年规划</w:t>
      </w:r>
      <w:r>
        <w:rPr>
          <w:spacing w:val="-2"/>
          <w:w w:val="90"/>
        </w:rPr>
        <w:t>和二〇三五年远景目标纲要</w:t>
      </w:r>
    </w:p>
    <w:p w14:paraId="7DB67A0B">
      <w:pPr>
        <w:pStyle w:val="5"/>
        <w:tabs>
          <w:tab w:val="left" w:pos="799"/>
        </w:tabs>
        <w:spacing w:before="331"/>
        <w:ind w:right="122"/>
        <w:jc w:val="center"/>
        <w:rPr>
          <w:rFonts w:ascii="黑体" w:eastAsia="黑体"/>
        </w:rPr>
      </w:pPr>
      <w:r>
        <w:rPr>
          <w:rFonts w:ascii="黑体" w:eastAsia="黑体"/>
          <w:spacing w:val="-10"/>
        </w:rPr>
        <w:t>序</w:t>
      </w:r>
      <w:r>
        <w:rPr>
          <w:rFonts w:ascii="黑体" w:eastAsia="黑体"/>
        </w:rPr>
        <w:tab/>
      </w:r>
      <w:r>
        <w:rPr>
          <w:rFonts w:ascii="黑体" w:eastAsia="黑体"/>
          <w:spacing w:val="-10"/>
        </w:rPr>
        <w:t>言</w:t>
      </w:r>
    </w:p>
    <w:p w14:paraId="5C74E0AB">
      <w:pPr>
        <w:pStyle w:val="5"/>
        <w:rPr>
          <w:rFonts w:ascii="黑体"/>
          <w:sz w:val="41"/>
        </w:rPr>
      </w:pPr>
    </w:p>
    <w:p w14:paraId="0ADBF6E3">
      <w:pPr>
        <w:pStyle w:val="5"/>
        <w:spacing w:before="1" w:line="364" w:lineRule="auto"/>
        <w:ind w:left="153" w:right="170" w:firstLine="640"/>
      </w:pPr>
      <w:r>
        <w:rPr>
          <w:spacing w:val="1"/>
          <w:w w:val="99"/>
        </w:rPr>
        <w:t>制定和实施国民经济和社会发展五年规划，引领经济社会发展，是我们党治国理政的一种重要方式，也是中国特色社会主义</w:t>
      </w:r>
      <w:r>
        <w:rPr>
          <w:spacing w:val="-13"/>
          <w:w w:val="99"/>
        </w:rPr>
        <w:t>发展模式的重要体现。“十四五”时期是我国全面建成小康社会、</w:t>
      </w:r>
      <w:r>
        <w:rPr>
          <w:spacing w:val="1"/>
          <w:w w:val="99"/>
        </w:rPr>
        <w:t>实现第一个百年奋斗目标之后，乘势而上开启全面建设社会主义现代化国家新征程、向第二个百年奋斗目标进军的第一个五年，也是金凤区深入贯彻落实习近平总书记视察宁夏重要讲话精神，</w:t>
      </w:r>
      <w:r>
        <w:rPr>
          <w:spacing w:val="-9"/>
          <w:w w:val="99"/>
        </w:rPr>
        <w:t>助推银川市“一高三化”发展，献礼建区</w:t>
      </w:r>
      <w:r>
        <w:rPr>
          <w:spacing w:val="-79"/>
        </w:rPr>
        <w:t xml:space="preserve"> </w:t>
      </w:r>
      <w:r>
        <w:rPr>
          <w:spacing w:val="1"/>
          <w:w w:val="99"/>
        </w:rPr>
        <w:t>2</w:t>
      </w:r>
      <w:r>
        <w:rPr>
          <w:w w:val="99"/>
        </w:rPr>
        <w:t>0</w:t>
      </w:r>
      <w:r>
        <w:rPr>
          <w:spacing w:val="-82"/>
        </w:rPr>
        <w:t xml:space="preserve"> </w:t>
      </w:r>
      <w:r>
        <w:rPr>
          <w:spacing w:val="-4"/>
          <w:w w:val="99"/>
        </w:rPr>
        <w:t>周年的关键时期。在</w:t>
      </w:r>
    </w:p>
    <w:p w14:paraId="339B121F">
      <w:pPr>
        <w:pStyle w:val="5"/>
        <w:spacing w:before="5"/>
        <w:ind w:left="153"/>
      </w:pPr>
      <w:r>
        <w:rPr>
          <w:w w:val="95"/>
        </w:rPr>
        <w:t>“两个一百年”历史交汇点上，将“十四五”规划与</w:t>
      </w:r>
      <w:r>
        <w:rPr>
          <w:spacing w:val="46"/>
        </w:rPr>
        <w:t xml:space="preserve"> </w:t>
      </w:r>
      <w:r>
        <w:rPr>
          <w:w w:val="95"/>
        </w:rPr>
        <w:t>2035</w:t>
      </w:r>
      <w:r>
        <w:rPr>
          <w:spacing w:val="50"/>
        </w:rPr>
        <w:t xml:space="preserve"> </w:t>
      </w:r>
      <w:r>
        <w:rPr>
          <w:spacing w:val="-4"/>
          <w:w w:val="95"/>
        </w:rPr>
        <w:t>年远景</w:t>
      </w:r>
    </w:p>
    <w:p w14:paraId="5F12F6D1">
      <w:pPr>
        <w:pStyle w:val="5"/>
        <w:spacing w:before="214" w:line="364" w:lineRule="auto"/>
        <w:ind w:left="153" w:right="115"/>
      </w:pPr>
      <w:r>
        <w:rPr>
          <w:w w:val="95"/>
        </w:rPr>
        <w:t>目标统筹</w:t>
      </w:r>
      <w:r>
        <w:rPr>
          <w:spacing w:val="-19"/>
          <w:w w:val="95"/>
        </w:rPr>
        <w:t>考虑，高质</w:t>
      </w:r>
      <w:r>
        <w:rPr>
          <w:w w:val="95"/>
        </w:rPr>
        <w:t>量</w:t>
      </w:r>
      <w:r>
        <w:rPr>
          <w:rFonts w:hint="eastAsia"/>
          <w:w w:val="95"/>
          <w:lang w:eastAsia="zh-CN"/>
        </w:rPr>
        <w:t>发展</w:t>
      </w:r>
      <w:r>
        <w:rPr>
          <w:w w:val="95"/>
        </w:rPr>
        <w:t>编</w:t>
      </w:r>
      <w:r>
        <w:rPr>
          <w:spacing w:val="-30"/>
          <w:w w:val="95"/>
        </w:rPr>
        <w:t>制好“</w:t>
      </w:r>
      <w:r>
        <w:rPr>
          <w:w w:val="95"/>
        </w:rPr>
        <w:t>十</w:t>
      </w:r>
      <w:r>
        <w:rPr>
          <w:spacing w:val="-16"/>
          <w:w w:val="95"/>
        </w:rPr>
        <w:t>四五”规划和</w:t>
      </w:r>
      <w:r>
        <w:rPr>
          <w:spacing w:val="47"/>
        </w:rPr>
        <w:t xml:space="preserve"> </w:t>
      </w:r>
      <w:r>
        <w:rPr>
          <w:w w:val="95"/>
        </w:rPr>
        <w:t>2035</w:t>
      </w:r>
      <w:r>
        <w:rPr>
          <w:spacing w:val="45"/>
        </w:rPr>
        <w:t xml:space="preserve"> </w:t>
      </w:r>
      <w:r>
        <w:rPr>
          <w:w w:val="95"/>
        </w:rPr>
        <w:t>年远景目标，</w:t>
      </w:r>
      <w:r>
        <w:rPr>
          <w:spacing w:val="-2"/>
        </w:rPr>
        <w:t>对全金凤区未来经济社会发展将发挥宏观性、战略性、前瞻性的引导作用</w:t>
      </w:r>
      <w:r>
        <w:rPr>
          <w:spacing w:val="-20"/>
        </w:rPr>
        <w:t>。按照中央、自治</w:t>
      </w:r>
      <w:r>
        <w:rPr>
          <w:spacing w:val="-2"/>
        </w:rPr>
        <w:t>区和银川市总体部署和</w:t>
      </w:r>
      <w:r>
        <w:rPr>
          <w:spacing w:val="-28"/>
        </w:rPr>
        <w:t>要求，依据</w:t>
      </w:r>
      <w:r>
        <w:rPr>
          <w:spacing w:val="-2"/>
        </w:rPr>
        <w:t>《中共金凤区委关于制定国民经济和社会发展第十四个五年规划和二</w:t>
      </w:r>
      <w:r>
        <w:rPr>
          <w:rFonts w:ascii="宋体" w:hAnsi="宋体" w:eastAsia="宋体"/>
          <w:spacing w:val="-2"/>
        </w:rPr>
        <w:t>〇</w:t>
      </w:r>
      <w:r>
        <w:rPr>
          <w:spacing w:val="-2"/>
        </w:rPr>
        <w:t>三五年远景目标</w:t>
      </w:r>
      <w:r>
        <w:rPr>
          <w:spacing w:val="-29"/>
        </w:rPr>
        <w:t>的建议》，编</w:t>
      </w:r>
      <w:r>
        <w:rPr>
          <w:spacing w:val="-2"/>
        </w:rPr>
        <w:t>制本规划纲要。</w:t>
      </w:r>
    </w:p>
    <w:p w14:paraId="58115D86">
      <w:pPr>
        <w:spacing w:line="364" w:lineRule="auto"/>
        <w:sectPr>
          <w:pgSz w:w="11910" w:h="16840"/>
          <w:pgMar w:top="1780" w:right="1140" w:bottom="280" w:left="1320" w:header="0" w:footer="0" w:gutter="0"/>
          <w:cols w:space="720" w:num="1"/>
        </w:sectPr>
      </w:pPr>
    </w:p>
    <w:p w14:paraId="3AC7F6F7">
      <w:pPr>
        <w:pStyle w:val="5"/>
        <w:spacing w:before="11" w:after="1"/>
        <w:rPr>
          <w:sz w:val="17"/>
        </w:rPr>
      </w:pPr>
    </w:p>
    <w:tbl>
      <w:tblPr>
        <w:tblStyle w:val="11"/>
        <w:tblW w:w="0" w:type="auto"/>
        <w:tblInd w:w="111" w:type="dxa"/>
        <w:tblLayout w:type="fixed"/>
        <w:tblCellMar>
          <w:top w:w="0" w:type="dxa"/>
          <w:left w:w="0" w:type="dxa"/>
          <w:bottom w:w="0" w:type="dxa"/>
          <w:right w:w="0" w:type="dxa"/>
        </w:tblCellMar>
      </w:tblPr>
      <w:tblGrid>
        <w:gridCol w:w="4557"/>
        <w:gridCol w:w="3943"/>
        <w:gridCol w:w="353"/>
        <w:gridCol w:w="261"/>
      </w:tblGrid>
      <w:tr w14:paraId="13251ECC">
        <w:trPr>
          <w:trHeight w:val="319" w:hRule="atLeast"/>
        </w:trPr>
        <w:tc>
          <w:tcPr>
            <w:tcW w:w="4557" w:type="dxa"/>
          </w:tcPr>
          <w:p w14:paraId="245A47B6">
            <w:pPr>
              <w:pStyle w:val="13"/>
              <w:spacing w:before="0" w:line="299" w:lineRule="exact"/>
              <w:ind w:right="158"/>
              <w:rPr>
                <w:rFonts w:ascii="黑体" w:eastAsia="黑体"/>
                <w:sz w:val="32"/>
              </w:rPr>
            </w:pPr>
            <w:r>
              <w:rPr>
                <w:rFonts w:ascii="黑体" w:eastAsia="黑体"/>
                <w:w w:val="99"/>
                <w:sz w:val="32"/>
              </w:rPr>
              <w:t>目</w:t>
            </w:r>
          </w:p>
        </w:tc>
        <w:tc>
          <w:tcPr>
            <w:tcW w:w="4557" w:type="dxa"/>
            <w:gridSpan w:val="3"/>
          </w:tcPr>
          <w:p w14:paraId="367DCCC3">
            <w:pPr>
              <w:pStyle w:val="13"/>
              <w:spacing w:before="0" w:line="299" w:lineRule="exact"/>
              <w:ind w:left="161"/>
              <w:jc w:val="left"/>
              <w:rPr>
                <w:rFonts w:ascii="黑体" w:eastAsia="黑体"/>
                <w:sz w:val="32"/>
              </w:rPr>
            </w:pPr>
            <w:r>
              <w:rPr>
                <w:rFonts w:ascii="黑体" w:eastAsia="黑体"/>
                <w:w w:val="99"/>
                <w:sz w:val="32"/>
              </w:rPr>
              <w:t>录</w:t>
            </w:r>
          </w:p>
        </w:tc>
      </w:tr>
      <w:tr w14:paraId="71697FFB">
        <w:tblPrEx>
          <w:tblCellMar>
            <w:top w:w="0" w:type="dxa"/>
            <w:left w:w="0" w:type="dxa"/>
            <w:bottom w:w="0" w:type="dxa"/>
            <w:right w:w="0" w:type="dxa"/>
          </w:tblCellMar>
        </w:tblPrEx>
        <w:trPr>
          <w:trHeight w:val="758" w:hRule="atLeast"/>
        </w:trPr>
        <w:tc>
          <w:tcPr>
            <w:tcW w:w="8500" w:type="dxa"/>
            <w:gridSpan w:val="2"/>
          </w:tcPr>
          <w:p w14:paraId="121B364E">
            <w:pPr>
              <w:pStyle w:val="13"/>
              <w:spacing w:before="11"/>
              <w:jc w:val="left"/>
              <w:rPr>
                <w:sz w:val="21"/>
              </w:rPr>
            </w:pPr>
          </w:p>
          <w:p w14:paraId="38FEF8AC">
            <w:pPr>
              <w:pStyle w:val="13"/>
              <w:spacing w:before="1"/>
              <w:ind w:left="50"/>
              <w:jc w:val="left"/>
              <w:rPr>
                <w:b/>
                <w:sz w:val="28"/>
              </w:rPr>
            </w:pPr>
            <w:r>
              <w:rPr>
                <w:b/>
                <w:sz w:val="28"/>
              </w:rPr>
              <w:t>第一</w:t>
            </w:r>
            <w:r>
              <w:rPr>
                <w:b/>
                <w:spacing w:val="14"/>
                <w:sz w:val="28"/>
              </w:rPr>
              <w:t>篇 决</w:t>
            </w:r>
            <w:r>
              <w:rPr>
                <w:b/>
                <w:sz w:val="28"/>
              </w:rPr>
              <w:t>胜全面小康，开启全面建设社会主义现代化金凤新征程</w:t>
            </w:r>
            <w:r>
              <w:rPr>
                <w:rFonts w:ascii="Times New Roman" w:eastAsia="Times New Roman"/>
                <w:b/>
                <w:spacing w:val="-5"/>
                <w:position w:val="2"/>
                <w:sz w:val="28"/>
              </w:rPr>
              <w:t>..</w:t>
            </w:r>
            <w:r>
              <w:rPr>
                <w:b/>
                <w:spacing w:val="-5"/>
                <w:sz w:val="28"/>
              </w:rPr>
              <w:t>-</w:t>
            </w:r>
          </w:p>
        </w:tc>
        <w:tc>
          <w:tcPr>
            <w:tcW w:w="353" w:type="dxa"/>
          </w:tcPr>
          <w:p w14:paraId="2896AA04">
            <w:pPr>
              <w:pStyle w:val="13"/>
              <w:spacing w:before="0"/>
              <w:jc w:val="left"/>
            </w:pPr>
          </w:p>
          <w:p w14:paraId="37051287">
            <w:pPr>
              <w:pStyle w:val="13"/>
              <w:spacing w:before="0"/>
              <w:ind w:right="68"/>
              <w:rPr>
                <w:b/>
                <w:sz w:val="28"/>
              </w:rPr>
            </w:pPr>
            <w:r>
              <w:rPr>
                <w:b/>
                <w:w w:val="99"/>
                <w:sz w:val="28"/>
              </w:rPr>
              <w:t>1</w:t>
            </w:r>
          </w:p>
        </w:tc>
        <w:tc>
          <w:tcPr>
            <w:tcW w:w="261" w:type="dxa"/>
          </w:tcPr>
          <w:p w14:paraId="58A48BED">
            <w:pPr>
              <w:pStyle w:val="13"/>
              <w:spacing w:before="0"/>
              <w:jc w:val="left"/>
            </w:pPr>
          </w:p>
          <w:p w14:paraId="3B98D67E">
            <w:pPr>
              <w:pStyle w:val="13"/>
              <w:spacing w:before="0"/>
              <w:ind w:left="19"/>
              <w:jc w:val="center"/>
              <w:rPr>
                <w:b/>
                <w:sz w:val="28"/>
              </w:rPr>
            </w:pPr>
            <w:r>
              <w:rPr>
                <w:b/>
                <w:w w:val="99"/>
                <w:sz w:val="28"/>
              </w:rPr>
              <w:t>-</w:t>
            </w:r>
          </w:p>
        </w:tc>
      </w:tr>
      <w:tr w14:paraId="032F8F01">
        <w:tblPrEx>
          <w:tblCellMar>
            <w:top w:w="0" w:type="dxa"/>
            <w:left w:w="0" w:type="dxa"/>
            <w:bottom w:w="0" w:type="dxa"/>
            <w:right w:w="0" w:type="dxa"/>
          </w:tblCellMar>
        </w:tblPrEx>
        <w:trPr>
          <w:trHeight w:val="623" w:hRule="atLeast"/>
        </w:trPr>
        <w:tc>
          <w:tcPr>
            <w:tcW w:w="8500" w:type="dxa"/>
            <w:gridSpan w:val="2"/>
          </w:tcPr>
          <w:p w14:paraId="775FA2B6">
            <w:pPr>
              <w:pStyle w:val="13"/>
              <w:tabs>
                <w:tab w:val="left" w:leader="dot" w:pos="8186"/>
              </w:tabs>
              <w:spacing w:before="147"/>
              <w:ind w:left="472" w:right="-15"/>
              <w:jc w:val="left"/>
              <w:rPr>
                <w:b/>
                <w:sz w:val="28"/>
              </w:rPr>
            </w:pPr>
            <w:r>
              <w:rPr>
                <w:b/>
                <w:sz w:val="28"/>
              </w:rPr>
              <w:t>第一章</w:t>
            </w:r>
            <w:r>
              <w:rPr>
                <w:b/>
                <w:spacing w:val="108"/>
                <w:sz w:val="28"/>
              </w:rPr>
              <w:t xml:space="preserve"> </w:t>
            </w:r>
            <w:r>
              <w:rPr>
                <w:b/>
                <w:sz w:val="28"/>
              </w:rPr>
              <w:t>发展基础与环</w:t>
            </w:r>
            <w:r>
              <w:rPr>
                <w:b/>
                <w:spacing w:val="-10"/>
                <w:sz w:val="28"/>
              </w:rPr>
              <w:t>境</w:t>
            </w:r>
            <w:r>
              <w:rPr>
                <w:rFonts w:ascii="Times New Roman" w:eastAsia="Times New Roman"/>
                <w:sz w:val="28"/>
              </w:rPr>
              <w:tab/>
            </w:r>
            <w:r>
              <w:rPr>
                <w:rFonts w:ascii="Times New Roman" w:eastAsia="Times New Roman"/>
                <w:b/>
                <w:spacing w:val="-2"/>
                <w:position w:val="2"/>
                <w:sz w:val="28"/>
              </w:rPr>
              <w:t>..</w:t>
            </w:r>
            <w:r>
              <w:rPr>
                <w:rFonts w:ascii="Times New Roman" w:eastAsia="Times New Roman"/>
                <w:b/>
                <w:spacing w:val="-35"/>
                <w:position w:val="2"/>
                <w:sz w:val="28"/>
              </w:rPr>
              <w:t xml:space="preserve"> </w:t>
            </w:r>
            <w:r>
              <w:rPr>
                <w:b/>
                <w:spacing w:val="-10"/>
                <w:sz w:val="28"/>
              </w:rPr>
              <w:t>-</w:t>
            </w:r>
          </w:p>
        </w:tc>
        <w:tc>
          <w:tcPr>
            <w:tcW w:w="353" w:type="dxa"/>
          </w:tcPr>
          <w:p w14:paraId="2AF21AED">
            <w:pPr>
              <w:pStyle w:val="13"/>
              <w:ind w:right="68"/>
              <w:rPr>
                <w:b/>
                <w:sz w:val="28"/>
              </w:rPr>
            </w:pPr>
            <w:r>
              <w:rPr>
                <w:b/>
                <w:w w:val="99"/>
                <w:sz w:val="28"/>
              </w:rPr>
              <w:t>1</w:t>
            </w:r>
          </w:p>
        </w:tc>
        <w:tc>
          <w:tcPr>
            <w:tcW w:w="261" w:type="dxa"/>
          </w:tcPr>
          <w:p w14:paraId="24FFC4D9">
            <w:pPr>
              <w:pStyle w:val="13"/>
              <w:ind w:left="23"/>
              <w:jc w:val="center"/>
              <w:rPr>
                <w:b/>
                <w:sz w:val="28"/>
              </w:rPr>
            </w:pPr>
            <w:r>
              <w:rPr>
                <w:b/>
                <w:w w:val="99"/>
                <w:sz w:val="28"/>
              </w:rPr>
              <w:t>-</w:t>
            </w:r>
          </w:p>
        </w:tc>
      </w:tr>
      <w:tr w14:paraId="68578055">
        <w:tblPrEx>
          <w:tblCellMar>
            <w:top w:w="0" w:type="dxa"/>
            <w:left w:w="0" w:type="dxa"/>
            <w:bottom w:w="0" w:type="dxa"/>
            <w:right w:w="0" w:type="dxa"/>
          </w:tblCellMar>
        </w:tblPrEx>
        <w:trPr>
          <w:trHeight w:val="624" w:hRule="atLeast"/>
        </w:trPr>
        <w:tc>
          <w:tcPr>
            <w:tcW w:w="8500" w:type="dxa"/>
            <w:gridSpan w:val="2"/>
          </w:tcPr>
          <w:p w14:paraId="528DC87E">
            <w:pPr>
              <w:pStyle w:val="13"/>
              <w:tabs>
                <w:tab w:val="left" w:leader="dot" w:pos="8211"/>
              </w:tabs>
              <w:spacing w:before="147"/>
              <w:ind w:left="890" w:right="-15"/>
              <w:jc w:val="left"/>
              <w:rPr>
                <w:sz w:val="28"/>
              </w:rPr>
            </w:pPr>
            <w:r>
              <w:rPr>
                <w:sz w:val="28"/>
              </w:rPr>
              <w:t>第一节</w:t>
            </w:r>
            <w:r>
              <w:rPr>
                <w:spacing w:val="40"/>
                <w:w w:val="150"/>
                <w:sz w:val="28"/>
              </w:rPr>
              <w:t xml:space="preserve"> </w:t>
            </w:r>
            <w:r>
              <w:rPr>
                <w:sz w:val="28"/>
              </w:rPr>
              <w:t>全面建成小康社会取得决定性成</w:t>
            </w:r>
            <w:r>
              <w:rPr>
                <w:spacing w:val="-10"/>
                <w:sz w:val="28"/>
              </w:rPr>
              <w:t>就</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353" w:type="dxa"/>
          </w:tcPr>
          <w:p w14:paraId="24516D48">
            <w:pPr>
              <w:pStyle w:val="13"/>
              <w:ind w:right="66"/>
              <w:rPr>
                <w:sz w:val="28"/>
              </w:rPr>
            </w:pPr>
            <w:r>
              <w:rPr>
                <w:sz w:val="28"/>
              </w:rPr>
              <w:t>1</w:t>
            </w:r>
          </w:p>
        </w:tc>
        <w:tc>
          <w:tcPr>
            <w:tcW w:w="261" w:type="dxa"/>
          </w:tcPr>
          <w:p w14:paraId="62DA3606">
            <w:pPr>
              <w:pStyle w:val="13"/>
              <w:ind w:left="23"/>
              <w:jc w:val="center"/>
              <w:rPr>
                <w:sz w:val="28"/>
              </w:rPr>
            </w:pPr>
            <w:r>
              <w:rPr>
                <w:sz w:val="28"/>
              </w:rPr>
              <w:t>-</w:t>
            </w:r>
          </w:p>
        </w:tc>
      </w:tr>
      <w:tr w14:paraId="0D6042A7">
        <w:tblPrEx>
          <w:tblCellMar>
            <w:top w:w="0" w:type="dxa"/>
            <w:left w:w="0" w:type="dxa"/>
            <w:bottom w:w="0" w:type="dxa"/>
            <w:right w:w="0" w:type="dxa"/>
          </w:tblCellMar>
        </w:tblPrEx>
        <w:trPr>
          <w:trHeight w:val="623" w:hRule="atLeast"/>
        </w:trPr>
        <w:tc>
          <w:tcPr>
            <w:tcW w:w="8500" w:type="dxa"/>
            <w:gridSpan w:val="2"/>
          </w:tcPr>
          <w:p w14:paraId="7FE33C41">
            <w:pPr>
              <w:pStyle w:val="13"/>
              <w:tabs>
                <w:tab w:val="left" w:leader="dot" w:pos="8073"/>
              </w:tabs>
              <w:spacing w:before="147"/>
              <w:ind w:left="890"/>
              <w:jc w:val="left"/>
              <w:rPr>
                <w:sz w:val="28"/>
              </w:rPr>
            </w:pPr>
            <w:r>
              <w:rPr>
                <w:sz w:val="28"/>
              </w:rPr>
              <w:t>第二节</w:t>
            </w:r>
            <w:r>
              <w:rPr>
                <w:spacing w:val="40"/>
                <w:w w:val="150"/>
                <w:sz w:val="28"/>
              </w:rPr>
              <w:t xml:space="preserve"> </w:t>
            </w:r>
            <w:r>
              <w:rPr>
                <w:sz w:val="28"/>
              </w:rPr>
              <w:t>新发展阶段面临的新机遇和新挑</w:t>
            </w:r>
            <w:r>
              <w:rPr>
                <w:spacing w:val="-10"/>
                <w:sz w:val="28"/>
              </w:rPr>
              <w:t>战</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353" w:type="dxa"/>
          </w:tcPr>
          <w:p w14:paraId="4B8B81B9">
            <w:pPr>
              <w:pStyle w:val="13"/>
              <w:ind w:right="66"/>
              <w:rPr>
                <w:sz w:val="28"/>
              </w:rPr>
            </w:pPr>
            <w:r>
              <w:rPr>
                <w:spacing w:val="-5"/>
                <w:sz w:val="28"/>
              </w:rPr>
              <w:t>13</w:t>
            </w:r>
          </w:p>
        </w:tc>
        <w:tc>
          <w:tcPr>
            <w:tcW w:w="261" w:type="dxa"/>
          </w:tcPr>
          <w:p w14:paraId="41FC76A4">
            <w:pPr>
              <w:pStyle w:val="13"/>
              <w:ind w:left="23"/>
              <w:jc w:val="center"/>
              <w:rPr>
                <w:sz w:val="28"/>
              </w:rPr>
            </w:pPr>
            <w:r>
              <w:rPr>
                <w:sz w:val="28"/>
              </w:rPr>
              <w:t>-</w:t>
            </w:r>
          </w:p>
        </w:tc>
      </w:tr>
      <w:tr w14:paraId="6DA77FE1">
        <w:tblPrEx>
          <w:tblCellMar>
            <w:top w:w="0" w:type="dxa"/>
            <w:left w:w="0" w:type="dxa"/>
            <w:bottom w:w="0" w:type="dxa"/>
            <w:right w:w="0" w:type="dxa"/>
          </w:tblCellMar>
        </w:tblPrEx>
        <w:trPr>
          <w:trHeight w:val="624" w:hRule="atLeast"/>
        </w:trPr>
        <w:tc>
          <w:tcPr>
            <w:tcW w:w="8500" w:type="dxa"/>
            <w:gridSpan w:val="2"/>
          </w:tcPr>
          <w:p w14:paraId="40E9C8AD">
            <w:pPr>
              <w:pStyle w:val="13"/>
              <w:tabs>
                <w:tab w:val="left" w:leader="dot" w:pos="8016"/>
              </w:tabs>
              <w:spacing w:before="147"/>
              <w:ind w:left="50"/>
              <w:jc w:val="left"/>
              <w:rPr>
                <w:b/>
                <w:sz w:val="28"/>
              </w:rPr>
            </w:pPr>
            <w:r>
              <w:rPr>
                <w:b/>
                <w:sz w:val="28"/>
              </w:rPr>
              <w:t>第二篇</w:t>
            </w:r>
            <w:r>
              <w:rPr>
                <w:b/>
                <w:spacing w:val="77"/>
                <w:sz w:val="28"/>
              </w:rPr>
              <w:t xml:space="preserve"> </w:t>
            </w:r>
            <w:r>
              <w:rPr>
                <w:b/>
                <w:sz w:val="28"/>
              </w:rPr>
              <w:t>总体谋划部署，绘制未来发展新蓝</w:t>
            </w:r>
            <w:r>
              <w:rPr>
                <w:b/>
                <w:spacing w:val="-10"/>
                <w:sz w:val="28"/>
              </w:rPr>
              <w:t>图</w:t>
            </w:r>
            <w:r>
              <w:rPr>
                <w:rFonts w:ascii="Times New Roman" w:eastAsia="Times New Roman"/>
                <w:sz w:val="28"/>
              </w:rPr>
              <w:tab/>
            </w:r>
            <w:r>
              <w:rPr>
                <w:rFonts w:ascii="Times New Roman" w:eastAsia="Times New Roman"/>
                <w:b/>
                <w:position w:val="2"/>
                <w:sz w:val="28"/>
              </w:rPr>
              <w:t>..</w:t>
            </w:r>
            <w:r>
              <w:rPr>
                <w:rFonts w:ascii="Times New Roman" w:eastAsia="Times New Roman"/>
                <w:b/>
                <w:spacing w:val="-13"/>
                <w:position w:val="2"/>
                <w:sz w:val="28"/>
              </w:rPr>
              <w:t xml:space="preserve"> </w:t>
            </w:r>
            <w:r>
              <w:rPr>
                <w:b/>
                <w:spacing w:val="-10"/>
                <w:sz w:val="28"/>
              </w:rPr>
              <w:t>-</w:t>
            </w:r>
          </w:p>
        </w:tc>
        <w:tc>
          <w:tcPr>
            <w:tcW w:w="353" w:type="dxa"/>
          </w:tcPr>
          <w:p w14:paraId="63C45DAD">
            <w:pPr>
              <w:pStyle w:val="13"/>
              <w:ind w:right="68"/>
              <w:rPr>
                <w:b/>
                <w:sz w:val="28"/>
              </w:rPr>
            </w:pPr>
            <w:r>
              <w:rPr>
                <w:b/>
                <w:spacing w:val="-5"/>
                <w:sz w:val="28"/>
              </w:rPr>
              <w:t>19</w:t>
            </w:r>
          </w:p>
        </w:tc>
        <w:tc>
          <w:tcPr>
            <w:tcW w:w="261" w:type="dxa"/>
          </w:tcPr>
          <w:p w14:paraId="7F4AA4F6">
            <w:pPr>
              <w:pStyle w:val="13"/>
              <w:ind w:left="19"/>
              <w:jc w:val="center"/>
              <w:rPr>
                <w:b/>
                <w:sz w:val="28"/>
              </w:rPr>
            </w:pPr>
            <w:r>
              <w:rPr>
                <w:b/>
                <w:w w:val="99"/>
                <w:sz w:val="28"/>
              </w:rPr>
              <w:t>-</w:t>
            </w:r>
          </w:p>
        </w:tc>
      </w:tr>
      <w:tr w14:paraId="16D97EAC">
        <w:tblPrEx>
          <w:tblCellMar>
            <w:top w:w="0" w:type="dxa"/>
            <w:left w:w="0" w:type="dxa"/>
            <w:bottom w:w="0" w:type="dxa"/>
            <w:right w:w="0" w:type="dxa"/>
          </w:tblCellMar>
        </w:tblPrEx>
        <w:trPr>
          <w:trHeight w:val="623" w:hRule="atLeast"/>
        </w:trPr>
        <w:tc>
          <w:tcPr>
            <w:tcW w:w="8500" w:type="dxa"/>
            <w:gridSpan w:val="2"/>
          </w:tcPr>
          <w:p w14:paraId="4DE1C729">
            <w:pPr>
              <w:pStyle w:val="13"/>
              <w:tabs>
                <w:tab w:val="left" w:leader="dot" w:pos="8031"/>
              </w:tabs>
              <w:spacing w:before="147"/>
              <w:ind w:left="472"/>
              <w:jc w:val="left"/>
              <w:rPr>
                <w:b/>
                <w:sz w:val="28"/>
              </w:rPr>
            </w:pPr>
            <w:r>
              <w:rPr>
                <w:b/>
                <w:sz w:val="28"/>
              </w:rPr>
              <w:t>第二章</w:t>
            </w:r>
            <w:r>
              <w:rPr>
                <w:b/>
                <w:spacing w:val="117"/>
                <w:sz w:val="28"/>
              </w:rPr>
              <w:t xml:space="preserve"> </w:t>
            </w:r>
            <w:r>
              <w:rPr>
                <w:b/>
                <w:sz w:val="28"/>
              </w:rPr>
              <w:t>总体要</w:t>
            </w:r>
            <w:r>
              <w:rPr>
                <w:b/>
                <w:spacing w:val="-10"/>
                <w:sz w:val="28"/>
              </w:rPr>
              <w:t>求</w:t>
            </w:r>
            <w:r>
              <w:rPr>
                <w:rFonts w:ascii="Times New Roman" w:eastAsia="Times New Roman"/>
                <w:sz w:val="28"/>
              </w:rPr>
              <w:tab/>
            </w:r>
            <w:r>
              <w:rPr>
                <w:rFonts w:ascii="Times New Roman" w:eastAsia="Times New Roman"/>
                <w:b/>
                <w:spacing w:val="-2"/>
                <w:position w:val="2"/>
                <w:sz w:val="28"/>
              </w:rPr>
              <w:t>..</w:t>
            </w:r>
            <w:r>
              <w:rPr>
                <w:rFonts w:ascii="Times New Roman" w:eastAsia="Times New Roman"/>
                <w:b/>
                <w:spacing w:val="-22"/>
                <w:position w:val="2"/>
                <w:sz w:val="28"/>
              </w:rPr>
              <w:t xml:space="preserve"> </w:t>
            </w:r>
            <w:r>
              <w:rPr>
                <w:b/>
                <w:spacing w:val="-10"/>
                <w:sz w:val="28"/>
              </w:rPr>
              <w:t>-</w:t>
            </w:r>
          </w:p>
        </w:tc>
        <w:tc>
          <w:tcPr>
            <w:tcW w:w="353" w:type="dxa"/>
          </w:tcPr>
          <w:p w14:paraId="69A24370">
            <w:pPr>
              <w:pStyle w:val="13"/>
              <w:ind w:right="68"/>
              <w:rPr>
                <w:b/>
                <w:sz w:val="28"/>
              </w:rPr>
            </w:pPr>
            <w:r>
              <w:rPr>
                <w:b/>
                <w:spacing w:val="-5"/>
                <w:sz w:val="28"/>
              </w:rPr>
              <w:t>19</w:t>
            </w:r>
          </w:p>
        </w:tc>
        <w:tc>
          <w:tcPr>
            <w:tcW w:w="261" w:type="dxa"/>
          </w:tcPr>
          <w:p w14:paraId="11020DD6">
            <w:pPr>
              <w:pStyle w:val="13"/>
              <w:ind w:left="23"/>
              <w:jc w:val="center"/>
              <w:rPr>
                <w:b/>
                <w:sz w:val="28"/>
              </w:rPr>
            </w:pPr>
            <w:r>
              <w:rPr>
                <w:b/>
                <w:w w:val="99"/>
                <w:sz w:val="28"/>
              </w:rPr>
              <w:t>-</w:t>
            </w:r>
          </w:p>
        </w:tc>
      </w:tr>
      <w:tr w14:paraId="1471EEA2">
        <w:tblPrEx>
          <w:tblCellMar>
            <w:top w:w="0" w:type="dxa"/>
            <w:left w:w="0" w:type="dxa"/>
            <w:bottom w:w="0" w:type="dxa"/>
            <w:right w:w="0" w:type="dxa"/>
          </w:tblCellMar>
        </w:tblPrEx>
        <w:trPr>
          <w:trHeight w:val="624" w:hRule="atLeast"/>
        </w:trPr>
        <w:tc>
          <w:tcPr>
            <w:tcW w:w="8500" w:type="dxa"/>
            <w:gridSpan w:val="2"/>
          </w:tcPr>
          <w:p w14:paraId="30DD3B3E">
            <w:pPr>
              <w:pStyle w:val="13"/>
              <w:tabs>
                <w:tab w:val="left" w:leader="dot" w:pos="8028"/>
              </w:tabs>
              <w:spacing w:before="147"/>
              <w:ind w:left="890"/>
              <w:jc w:val="left"/>
              <w:rPr>
                <w:sz w:val="28"/>
              </w:rPr>
            </w:pPr>
            <w:r>
              <w:rPr>
                <w:sz w:val="28"/>
              </w:rPr>
              <w:t>第一节</w:t>
            </w:r>
            <w:r>
              <w:rPr>
                <w:spacing w:val="61"/>
                <w:w w:val="150"/>
                <w:sz w:val="28"/>
              </w:rPr>
              <w:t xml:space="preserve"> </w:t>
            </w:r>
            <w:r>
              <w:rPr>
                <w:sz w:val="28"/>
              </w:rPr>
              <w:t>指导思</w:t>
            </w:r>
            <w:r>
              <w:rPr>
                <w:spacing w:val="-10"/>
                <w:sz w:val="28"/>
              </w:rPr>
              <w:t>想</w:t>
            </w:r>
            <w:r>
              <w:rPr>
                <w:rFonts w:ascii="Times New Roman" w:eastAsia="Times New Roman"/>
                <w:sz w:val="28"/>
              </w:rPr>
              <w:tab/>
            </w:r>
            <w:r>
              <w:rPr>
                <w:rFonts w:ascii="Times New Roman" w:eastAsia="Times New Roman"/>
                <w:position w:val="2"/>
                <w:sz w:val="28"/>
              </w:rPr>
              <w:t>..</w:t>
            </w:r>
            <w:r>
              <w:rPr>
                <w:rFonts w:ascii="Times New Roman" w:eastAsia="Times New Roman"/>
                <w:spacing w:val="-18"/>
                <w:position w:val="2"/>
                <w:sz w:val="28"/>
              </w:rPr>
              <w:t xml:space="preserve"> </w:t>
            </w:r>
            <w:r>
              <w:rPr>
                <w:spacing w:val="-10"/>
                <w:sz w:val="28"/>
              </w:rPr>
              <w:t>-</w:t>
            </w:r>
          </w:p>
        </w:tc>
        <w:tc>
          <w:tcPr>
            <w:tcW w:w="353" w:type="dxa"/>
          </w:tcPr>
          <w:p w14:paraId="32367A30">
            <w:pPr>
              <w:pStyle w:val="13"/>
              <w:ind w:right="66"/>
              <w:rPr>
                <w:sz w:val="28"/>
              </w:rPr>
            </w:pPr>
            <w:r>
              <w:rPr>
                <w:spacing w:val="-5"/>
                <w:sz w:val="28"/>
              </w:rPr>
              <w:t>19</w:t>
            </w:r>
          </w:p>
        </w:tc>
        <w:tc>
          <w:tcPr>
            <w:tcW w:w="261" w:type="dxa"/>
          </w:tcPr>
          <w:p w14:paraId="6EFA53E8">
            <w:pPr>
              <w:pStyle w:val="13"/>
              <w:ind w:left="23"/>
              <w:jc w:val="center"/>
              <w:rPr>
                <w:sz w:val="28"/>
              </w:rPr>
            </w:pPr>
            <w:r>
              <w:rPr>
                <w:sz w:val="28"/>
              </w:rPr>
              <w:t>-</w:t>
            </w:r>
          </w:p>
        </w:tc>
      </w:tr>
      <w:tr w14:paraId="0E4418A3">
        <w:tblPrEx>
          <w:tblCellMar>
            <w:top w:w="0" w:type="dxa"/>
            <w:left w:w="0" w:type="dxa"/>
            <w:bottom w:w="0" w:type="dxa"/>
            <w:right w:w="0" w:type="dxa"/>
          </w:tblCellMar>
        </w:tblPrEx>
        <w:trPr>
          <w:trHeight w:val="623" w:hRule="atLeast"/>
        </w:trPr>
        <w:tc>
          <w:tcPr>
            <w:tcW w:w="8500" w:type="dxa"/>
            <w:gridSpan w:val="2"/>
          </w:tcPr>
          <w:p w14:paraId="71DC805C">
            <w:pPr>
              <w:pStyle w:val="13"/>
              <w:tabs>
                <w:tab w:val="left" w:leader="dot" w:pos="8020"/>
              </w:tabs>
              <w:spacing w:before="147"/>
              <w:ind w:left="890"/>
              <w:jc w:val="left"/>
              <w:rPr>
                <w:sz w:val="28"/>
              </w:rPr>
            </w:pPr>
            <w:r>
              <w:rPr>
                <w:spacing w:val="21"/>
                <w:sz w:val="28"/>
              </w:rPr>
              <w:t>第二</w:t>
            </w:r>
            <w:r>
              <w:rPr>
                <w:sz w:val="28"/>
              </w:rPr>
              <w:t>节</w:t>
            </w:r>
            <w:r>
              <w:rPr>
                <w:spacing w:val="205"/>
                <w:sz w:val="28"/>
              </w:rPr>
              <w:t xml:space="preserve"> </w:t>
            </w:r>
            <w:r>
              <w:rPr>
                <w:spacing w:val="21"/>
                <w:sz w:val="28"/>
              </w:rPr>
              <w:t>基本</w:t>
            </w:r>
            <w:r>
              <w:rPr>
                <w:spacing w:val="19"/>
                <w:sz w:val="28"/>
              </w:rPr>
              <w:t>原</w:t>
            </w:r>
            <w:r>
              <w:rPr>
                <w:spacing w:val="-12"/>
                <w:sz w:val="28"/>
              </w:rPr>
              <w:t>则</w:t>
            </w:r>
            <w:r>
              <w:rPr>
                <w:rFonts w:ascii="Times New Roman" w:eastAsia="Times New Roman"/>
                <w:sz w:val="28"/>
              </w:rPr>
              <w:tab/>
            </w:r>
            <w:r>
              <w:rPr>
                <w:rFonts w:ascii="Times New Roman" w:eastAsia="Times New Roman"/>
                <w:position w:val="2"/>
                <w:sz w:val="28"/>
              </w:rPr>
              <w:t>..</w:t>
            </w:r>
            <w:r>
              <w:rPr>
                <w:rFonts w:ascii="Times New Roman" w:eastAsia="Times New Roman"/>
                <w:spacing w:val="-10"/>
                <w:position w:val="2"/>
                <w:sz w:val="28"/>
              </w:rPr>
              <w:t xml:space="preserve"> </w:t>
            </w:r>
            <w:r>
              <w:rPr>
                <w:spacing w:val="-10"/>
                <w:sz w:val="28"/>
              </w:rPr>
              <w:t>-</w:t>
            </w:r>
          </w:p>
        </w:tc>
        <w:tc>
          <w:tcPr>
            <w:tcW w:w="353" w:type="dxa"/>
          </w:tcPr>
          <w:p w14:paraId="33353C83">
            <w:pPr>
              <w:pStyle w:val="13"/>
              <w:ind w:right="66"/>
              <w:rPr>
                <w:sz w:val="28"/>
              </w:rPr>
            </w:pPr>
            <w:r>
              <w:rPr>
                <w:spacing w:val="-5"/>
                <w:sz w:val="28"/>
              </w:rPr>
              <w:t>19</w:t>
            </w:r>
          </w:p>
        </w:tc>
        <w:tc>
          <w:tcPr>
            <w:tcW w:w="261" w:type="dxa"/>
          </w:tcPr>
          <w:p w14:paraId="1C5F476E">
            <w:pPr>
              <w:pStyle w:val="13"/>
              <w:ind w:left="23"/>
              <w:jc w:val="center"/>
              <w:rPr>
                <w:sz w:val="28"/>
              </w:rPr>
            </w:pPr>
            <w:r>
              <w:rPr>
                <w:sz w:val="28"/>
              </w:rPr>
              <w:t>-</w:t>
            </w:r>
          </w:p>
        </w:tc>
      </w:tr>
      <w:tr w14:paraId="14C9DDD8">
        <w:tblPrEx>
          <w:tblCellMar>
            <w:top w:w="0" w:type="dxa"/>
            <w:left w:w="0" w:type="dxa"/>
            <w:bottom w:w="0" w:type="dxa"/>
            <w:right w:w="0" w:type="dxa"/>
          </w:tblCellMar>
        </w:tblPrEx>
        <w:trPr>
          <w:trHeight w:val="624" w:hRule="atLeast"/>
        </w:trPr>
        <w:tc>
          <w:tcPr>
            <w:tcW w:w="8500" w:type="dxa"/>
            <w:gridSpan w:val="2"/>
          </w:tcPr>
          <w:p w14:paraId="6571D83D">
            <w:pPr>
              <w:pStyle w:val="13"/>
              <w:tabs>
                <w:tab w:val="left" w:leader="dot" w:pos="8020"/>
              </w:tabs>
              <w:spacing w:before="147"/>
              <w:ind w:left="890"/>
              <w:jc w:val="left"/>
              <w:rPr>
                <w:sz w:val="28"/>
              </w:rPr>
            </w:pPr>
            <w:r>
              <w:rPr>
                <w:spacing w:val="21"/>
                <w:sz w:val="28"/>
              </w:rPr>
              <w:t>第三</w:t>
            </w:r>
            <w:r>
              <w:rPr>
                <w:sz w:val="28"/>
              </w:rPr>
              <w:t>节</w:t>
            </w:r>
            <w:r>
              <w:rPr>
                <w:spacing w:val="205"/>
                <w:sz w:val="28"/>
              </w:rPr>
              <w:t xml:space="preserve"> </w:t>
            </w:r>
            <w:r>
              <w:rPr>
                <w:spacing w:val="21"/>
                <w:sz w:val="28"/>
              </w:rPr>
              <w:t>战略</w:t>
            </w:r>
            <w:r>
              <w:rPr>
                <w:spacing w:val="19"/>
                <w:sz w:val="28"/>
              </w:rPr>
              <w:t>定</w:t>
            </w:r>
            <w:r>
              <w:rPr>
                <w:spacing w:val="-12"/>
                <w:sz w:val="28"/>
              </w:rPr>
              <w:t>位</w:t>
            </w:r>
            <w:r>
              <w:rPr>
                <w:rFonts w:ascii="Times New Roman" w:eastAsia="Times New Roman"/>
                <w:sz w:val="28"/>
              </w:rPr>
              <w:tab/>
            </w:r>
            <w:r>
              <w:rPr>
                <w:rFonts w:ascii="Times New Roman" w:eastAsia="Times New Roman"/>
                <w:position w:val="2"/>
                <w:sz w:val="28"/>
              </w:rPr>
              <w:t>..</w:t>
            </w:r>
            <w:r>
              <w:rPr>
                <w:rFonts w:ascii="Times New Roman" w:eastAsia="Times New Roman"/>
                <w:spacing w:val="-10"/>
                <w:position w:val="2"/>
                <w:sz w:val="28"/>
              </w:rPr>
              <w:t xml:space="preserve"> </w:t>
            </w:r>
            <w:r>
              <w:rPr>
                <w:spacing w:val="-10"/>
                <w:sz w:val="28"/>
              </w:rPr>
              <w:t>-</w:t>
            </w:r>
          </w:p>
        </w:tc>
        <w:tc>
          <w:tcPr>
            <w:tcW w:w="353" w:type="dxa"/>
          </w:tcPr>
          <w:p w14:paraId="5B8190BF">
            <w:pPr>
              <w:pStyle w:val="13"/>
              <w:ind w:right="66"/>
              <w:rPr>
                <w:sz w:val="28"/>
              </w:rPr>
            </w:pPr>
            <w:r>
              <w:rPr>
                <w:spacing w:val="-5"/>
                <w:sz w:val="28"/>
              </w:rPr>
              <w:t>21</w:t>
            </w:r>
          </w:p>
        </w:tc>
        <w:tc>
          <w:tcPr>
            <w:tcW w:w="261" w:type="dxa"/>
          </w:tcPr>
          <w:p w14:paraId="149AE181">
            <w:pPr>
              <w:pStyle w:val="13"/>
              <w:ind w:left="23"/>
              <w:jc w:val="center"/>
              <w:rPr>
                <w:sz w:val="28"/>
              </w:rPr>
            </w:pPr>
            <w:r>
              <w:rPr>
                <w:sz w:val="28"/>
              </w:rPr>
              <w:t>-</w:t>
            </w:r>
          </w:p>
        </w:tc>
      </w:tr>
      <w:tr w14:paraId="3D478563">
        <w:tblPrEx>
          <w:tblCellMar>
            <w:top w:w="0" w:type="dxa"/>
            <w:left w:w="0" w:type="dxa"/>
            <w:bottom w:w="0" w:type="dxa"/>
            <w:right w:w="0" w:type="dxa"/>
          </w:tblCellMar>
        </w:tblPrEx>
        <w:trPr>
          <w:trHeight w:val="623" w:hRule="atLeast"/>
        </w:trPr>
        <w:tc>
          <w:tcPr>
            <w:tcW w:w="8500" w:type="dxa"/>
            <w:gridSpan w:val="2"/>
          </w:tcPr>
          <w:p w14:paraId="1F5061FD">
            <w:pPr>
              <w:pStyle w:val="13"/>
              <w:tabs>
                <w:tab w:val="left" w:leader="dot" w:pos="8020"/>
              </w:tabs>
              <w:spacing w:before="147"/>
              <w:ind w:left="890"/>
              <w:jc w:val="left"/>
              <w:rPr>
                <w:sz w:val="28"/>
              </w:rPr>
            </w:pPr>
            <w:r>
              <w:rPr>
                <w:spacing w:val="21"/>
                <w:sz w:val="28"/>
              </w:rPr>
              <w:t>第四</w:t>
            </w:r>
            <w:r>
              <w:rPr>
                <w:sz w:val="28"/>
              </w:rPr>
              <w:t>节</w:t>
            </w:r>
            <w:r>
              <w:rPr>
                <w:spacing w:val="205"/>
                <w:sz w:val="28"/>
              </w:rPr>
              <w:t xml:space="preserve"> </w:t>
            </w:r>
            <w:r>
              <w:rPr>
                <w:spacing w:val="21"/>
                <w:sz w:val="28"/>
              </w:rPr>
              <w:t>空间</w:t>
            </w:r>
            <w:r>
              <w:rPr>
                <w:spacing w:val="19"/>
                <w:sz w:val="28"/>
              </w:rPr>
              <w:t>布</w:t>
            </w:r>
            <w:r>
              <w:rPr>
                <w:spacing w:val="-12"/>
                <w:sz w:val="28"/>
              </w:rPr>
              <w:t>局</w:t>
            </w:r>
            <w:r>
              <w:rPr>
                <w:rFonts w:ascii="Times New Roman" w:eastAsia="Times New Roman"/>
                <w:sz w:val="28"/>
              </w:rPr>
              <w:tab/>
            </w:r>
            <w:r>
              <w:rPr>
                <w:rFonts w:ascii="Times New Roman" w:eastAsia="Times New Roman"/>
                <w:position w:val="2"/>
                <w:sz w:val="28"/>
              </w:rPr>
              <w:t>..</w:t>
            </w:r>
            <w:r>
              <w:rPr>
                <w:rFonts w:ascii="Times New Roman" w:eastAsia="Times New Roman"/>
                <w:spacing w:val="-10"/>
                <w:position w:val="2"/>
                <w:sz w:val="28"/>
              </w:rPr>
              <w:t xml:space="preserve"> </w:t>
            </w:r>
            <w:r>
              <w:rPr>
                <w:spacing w:val="-10"/>
                <w:sz w:val="28"/>
              </w:rPr>
              <w:t>-</w:t>
            </w:r>
          </w:p>
        </w:tc>
        <w:tc>
          <w:tcPr>
            <w:tcW w:w="353" w:type="dxa"/>
          </w:tcPr>
          <w:p w14:paraId="69CBFB6D">
            <w:pPr>
              <w:pStyle w:val="13"/>
              <w:ind w:right="66"/>
              <w:rPr>
                <w:sz w:val="28"/>
              </w:rPr>
            </w:pPr>
            <w:r>
              <w:rPr>
                <w:spacing w:val="-5"/>
                <w:sz w:val="28"/>
              </w:rPr>
              <w:t>23</w:t>
            </w:r>
          </w:p>
        </w:tc>
        <w:tc>
          <w:tcPr>
            <w:tcW w:w="261" w:type="dxa"/>
          </w:tcPr>
          <w:p w14:paraId="5179809A">
            <w:pPr>
              <w:pStyle w:val="13"/>
              <w:ind w:left="23"/>
              <w:jc w:val="center"/>
              <w:rPr>
                <w:sz w:val="28"/>
              </w:rPr>
            </w:pPr>
            <w:r>
              <w:rPr>
                <w:sz w:val="28"/>
              </w:rPr>
              <w:t>-</w:t>
            </w:r>
          </w:p>
        </w:tc>
      </w:tr>
      <w:tr w14:paraId="0259D008">
        <w:tblPrEx>
          <w:tblCellMar>
            <w:top w:w="0" w:type="dxa"/>
            <w:left w:w="0" w:type="dxa"/>
            <w:bottom w:w="0" w:type="dxa"/>
            <w:right w:w="0" w:type="dxa"/>
          </w:tblCellMar>
        </w:tblPrEx>
        <w:trPr>
          <w:trHeight w:val="623" w:hRule="atLeast"/>
        </w:trPr>
        <w:tc>
          <w:tcPr>
            <w:tcW w:w="8500" w:type="dxa"/>
            <w:gridSpan w:val="2"/>
          </w:tcPr>
          <w:p w14:paraId="7BD500F3">
            <w:pPr>
              <w:pStyle w:val="13"/>
              <w:tabs>
                <w:tab w:val="left" w:leader="dot" w:pos="8020"/>
              </w:tabs>
              <w:spacing w:before="147"/>
              <w:ind w:left="890"/>
              <w:jc w:val="left"/>
              <w:rPr>
                <w:sz w:val="28"/>
              </w:rPr>
            </w:pPr>
            <w:r>
              <w:rPr>
                <w:spacing w:val="21"/>
                <w:sz w:val="28"/>
              </w:rPr>
              <w:t>第五</w:t>
            </w:r>
            <w:r>
              <w:rPr>
                <w:sz w:val="28"/>
              </w:rPr>
              <w:t>节</w:t>
            </w:r>
            <w:r>
              <w:rPr>
                <w:spacing w:val="205"/>
                <w:sz w:val="28"/>
              </w:rPr>
              <w:t xml:space="preserve"> </w:t>
            </w:r>
            <w:r>
              <w:rPr>
                <w:spacing w:val="21"/>
                <w:sz w:val="28"/>
              </w:rPr>
              <w:t>发展</w:t>
            </w:r>
            <w:r>
              <w:rPr>
                <w:spacing w:val="19"/>
                <w:sz w:val="28"/>
              </w:rPr>
              <w:t>目</w:t>
            </w:r>
            <w:r>
              <w:rPr>
                <w:spacing w:val="-12"/>
                <w:sz w:val="28"/>
              </w:rPr>
              <w:t>标</w:t>
            </w:r>
            <w:r>
              <w:rPr>
                <w:rFonts w:ascii="Times New Roman" w:eastAsia="Times New Roman"/>
                <w:sz w:val="28"/>
              </w:rPr>
              <w:tab/>
            </w:r>
            <w:r>
              <w:rPr>
                <w:rFonts w:ascii="Times New Roman" w:eastAsia="Times New Roman"/>
                <w:position w:val="2"/>
                <w:sz w:val="28"/>
              </w:rPr>
              <w:t>..</w:t>
            </w:r>
            <w:r>
              <w:rPr>
                <w:rFonts w:ascii="Times New Roman" w:eastAsia="Times New Roman"/>
                <w:spacing w:val="-10"/>
                <w:position w:val="2"/>
                <w:sz w:val="28"/>
              </w:rPr>
              <w:t xml:space="preserve"> </w:t>
            </w:r>
            <w:r>
              <w:rPr>
                <w:spacing w:val="-10"/>
                <w:sz w:val="28"/>
              </w:rPr>
              <w:t>-</w:t>
            </w:r>
          </w:p>
        </w:tc>
        <w:tc>
          <w:tcPr>
            <w:tcW w:w="353" w:type="dxa"/>
          </w:tcPr>
          <w:p w14:paraId="35927040">
            <w:pPr>
              <w:pStyle w:val="13"/>
              <w:ind w:right="66"/>
              <w:rPr>
                <w:sz w:val="28"/>
              </w:rPr>
            </w:pPr>
            <w:r>
              <w:rPr>
                <w:spacing w:val="-5"/>
                <w:sz w:val="28"/>
              </w:rPr>
              <w:t>27</w:t>
            </w:r>
          </w:p>
        </w:tc>
        <w:tc>
          <w:tcPr>
            <w:tcW w:w="261" w:type="dxa"/>
          </w:tcPr>
          <w:p w14:paraId="4DE91866">
            <w:pPr>
              <w:pStyle w:val="13"/>
              <w:ind w:left="23"/>
              <w:jc w:val="center"/>
              <w:rPr>
                <w:sz w:val="28"/>
              </w:rPr>
            </w:pPr>
            <w:r>
              <w:rPr>
                <w:sz w:val="28"/>
              </w:rPr>
              <w:t>-</w:t>
            </w:r>
          </w:p>
        </w:tc>
      </w:tr>
      <w:tr w14:paraId="3C3AA273">
        <w:tblPrEx>
          <w:tblCellMar>
            <w:top w:w="0" w:type="dxa"/>
            <w:left w:w="0" w:type="dxa"/>
            <w:bottom w:w="0" w:type="dxa"/>
            <w:right w:w="0" w:type="dxa"/>
          </w:tblCellMar>
        </w:tblPrEx>
        <w:trPr>
          <w:trHeight w:val="623" w:hRule="atLeast"/>
        </w:trPr>
        <w:tc>
          <w:tcPr>
            <w:tcW w:w="8500" w:type="dxa"/>
            <w:gridSpan w:val="2"/>
          </w:tcPr>
          <w:p w14:paraId="4A8E879D">
            <w:pPr>
              <w:pStyle w:val="13"/>
              <w:tabs>
                <w:tab w:val="left" w:leader="dot" w:pos="8016"/>
              </w:tabs>
              <w:spacing w:before="147"/>
              <w:ind w:left="50"/>
              <w:jc w:val="left"/>
              <w:rPr>
                <w:b/>
                <w:sz w:val="28"/>
              </w:rPr>
            </w:pPr>
            <w:r>
              <w:rPr>
                <w:b/>
                <w:sz w:val="28"/>
              </w:rPr>
              <w:t>第三篇</w:t>
            </w:r>
            <w:r>
              <w:rPr>
                <w:b/>
                <w:spacing w:val="77"/>
                <w:sz w:val="28"/>
              </w:rPr>
              <w:t xml:space="preserve"> </w:t>
            </w:r>
            <w:r>
              <w:rPr>
                <w:b/>
                <w:sz w:val="28"/>
              </w:rPr>
              <w:t>聚焦转型升级，厚植产业发展新优</w:t>
            </w:r>
            <w:r>
              <w:rPr>
                <w:b/>
                <w:spacing w:val="-10"/>
                <w:sz w:val="28"/>
              </w:rPr>
              <w:t>势</w:t>
            </w:r>
            <w:r>
              <w:rPr>
                <w:rFonts w:ascii="Times New Roman" w:eastAsia="Times New Roman"/>
                <w:sz w:val="28"/>
              </w:rPr>
              <w:tab/>
            </w:r>
            <w:r>
              <w:rPr>
                <w:rFonts w:ascii="Times New Roman" w:eastAsia="Times New Roman"/>
                <w:b/>
                <w:position w:val="2"/>
                <w:sz w:val="28"/>
              </w:rPr>
              <w:t>..</w:t>
            </w:r>
            <w:r>
              <w:rPr>
                <w:rFonts w:ascii="Times New Roman" w:eastAsia="Times New Roman"/>
                <w:b/>
                <w:spacing w:val="-13"/>
                <w:position w:val="2"/>
                <w:sz w:val="28"/>
              </w:rPr>
              <w:t xml:space="preserve"> </w:t>
            </w:r>
            <w:r>
              <w:rPr>
                <w:b/>
                <w:spacing w:val="-10"/>
                <w:sz w:val="28"/>
              </w:rPr>
              <w:t>-</w:t>
            </w:r>
          </w:p>
        </w:tc>
        <w:tc>
          <w:tcPr>
            <w:tcW w:w="353" w:type="dxa"/>
          </w:tcPr>
          <w:p w14:paraId="58F58188">
            <w:pPr>
              <w:pStyle w:val="13"/>
              <w:ind w:right="68"/>
              <w:rPr>
                <w:b/>
                <w:sz w:val="28"/>
              </w:rPr>
            </w:pPr>
            <w:r>
              <w:rPr>
                <w:b/>
                <w:spacing w:val="-5"/>
                <w:sz w:val="28"/>
              </w:rPr>
              <w:t>34</w:t>
            </w:r>
          </w:p>
        </w:tc>
        <w:tc>
          <w:tcPr>
            <w:tcW w:w="261" w:type="dxa"/>
          </w:tcPr>
          <w:p w14:paraId="5D7713AC">
            <w:pPr>
              <w:pStyle w:val="13"/>
              <w:ind w:left="19"/>
              <w:jc w:val="center"/>
              <w:rPr>
                <w:b/>
                <w:sz w:val="28"/>
              </w:rPr>
            </w:pPr>
            <w:r>
              <w:rPr>
                <w:b/>
                <w:w w:val="99"/>
                <w:sz w:val="28"/>
              </w:rPr>
              <w:t>-</w:t>
            </w:r>
          </w:p>
        </w:tc>
      </w:tr>
      <w:tr w14:paraId="13DFBA0A">
        <w:tblPrEx>
          <w:tblCellMar>
            <w:top w:w="0" w:type="dxa"/>
            <w:left w:w="0" w:type="dxa"/>
            <w:bottom w:w="0" w:type="dxa"/>
            <w:right w:w="0" w:type="dxa"/>
          </w:tblCellMar>
        </w:tblPrEx>
        <w:trPr>
          <w:trHeight w:val="624" w:hRule="atLeast"/>
        </w:trPr>
        <w:tc>
          <w:tcPr>
            <w:tcW w:w="8500" w:type="dxa"/>
            <w:gridSpan w:val="2"/>
          </w:tcPr>
          <w:p w14:paraId="3076DE02">
            <w:pPr>
              <w:pStyle w:val="13"/>
              <w:tabs>
                <w:tab w:val="left" w:leader="dot" w:pos="8067"/>
              </w:tabs>
              <w:spacing w:before="147"/>
              <w:ind w:left="472"/>
              <w:jc w:val="left"/>
              <w:rPr>
                <w:b/>
                <w:sz w:val="28"/>
              </w:rPr>
            </w:pPr>
            <w:r>
              <w:rPr>
                <w:b/>
                <w:sz w:val="28"/>
              </w:rPr>
              <w:t>第三章</w:t>
            </w:r>
            <w:r>
              <w:rPr>
                <w:b/>
                <w:spacing w:val="93"/>
                <w:sz w:val="28"/>
              </w:rPr>
              <w:t xml:space="preserve"> </w:t>
            </w:r>
            <w:r>
              <w:rPr>
                <w:b/>
                <w:sz w:val="28"/>
              </w:rPr>
              <w:t>构建高质量现代产业体</w:t>
            </w:r>
            <w:r>
              <w:rPr>
                <w:b/>
                <w:spacing w:val="-10"/>
                <w:sz w:val="28"/>
              </w:rPr>
              <w:t>系</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353" w:type="dxa"/>
          </w:tcPr>
          <w:p w14:paraId="5B2FD076">
            <w:pPr>
              <w:pStyle w:val="13"/>
              <w:ind w:right="66"/>
              <w:rPr>
                <w:b/>
                <w:sz w:val="28"/>
              </w:rPr>
            </w:pPr>
            <w:r>
              <w:rPr>
                <w:b/>
                <w:spacing w:val="-5"/>
                <w:sz w:val="28"/>
              </w:rPr>
              <w:t>34</w:t>
            </w:r>
          </w:p>
        </w:tc>
        <w:tc>
          <w:tcPr>
            <w:tcW w:w="261" w:type="dxa"/>
          </w:tcPr>
          <w:p w14:paraId="545D219F">
            <w:pPr>
              <w:pStyle w:val="13"/>
              <w:ind w:left="23"/>
              <w:jc w:val="center"/>
              <w:rPr>
                <w:b/>
                <w:sz w:val="28"/>
              </w:rPr>
            </w:pPr>
            <w:r>
              <w:rPr>
                <w:b/>
                <w:w w:val="99"/>
                <w:sz w:val="28"/>
              </w:rPr>
              <w:t>-</w:t>
            </w:r>
          </w:p>
        </w:tc>
      </w:tr>
      <w:tr w14:paraId="3D3FDA70">
        <w:tblPrEx>
          <w:tblCellMar>
            <w:top w:w="0" w:type="dxa"/>
            <w:left w:w="0" w:type="dxa"/>
            <w:bottom w:w="0" w:type="dxa"/>
            <w:right w:w="0" w:type="dxa"/>
          </w:tblCellMar>
        </w:tblPrEx>
        <w:trPr>
          <w:trHeight w:val="623" w:hRule="atLeast"/>
        </w:trPr>
        <w:tc>
          <w:tcPr>
            <w:tcW w:w="8500" w:type="dxa"/>
            <w:gridSpan w:val="2"/>
          </w:tcPr>
          <w:p w14:paraId="08F0CCFB">
            <w:pPr>
              <w:pStyle w:val="13"/>
              <w:tabs>
                <w:tab w:val="left" w:leader="dot" w:pos="8080"/>
              </w:tabs>
              <w:spacing w:before="147"/>
              <w:ind w:left="890"/>
              <w:jc w:val="left"/>
              <w:rPr>
                <w:sz w:val="28"/>
              </w:rPr>
            </w:pPr>
            <w:r>
              <w:rPr>
                <w:spacing w:val="21"/>
                <w:sz w:val="28"/>
              </w:rPr>
              <w:t>第一</w:t>
            </w:r>
            <w:r>
              <w:rPr>
                <w:sz w:val="28"/>
              </w:rPr>
              <w:t>节</w:t>
            </w:r>
            <w:r>
              <w:rPr>
                <w:spacing w:val="205"/>
                <w:sz w:val="28"/>
              </w:rPr>
              <w:t xml:space="preserve"> </w:t>
            </w:r>
            <w:r>
              <w:rPr>
                <w:spacing w:val="21"/>
                <w:sz w:val="28"/>
              </w:rPr>
              <w:t>促进</w:t>
            </w:r>
            <w:r>
              <w:rPr>
                <w:spacing w:val="19"/>
                <w:sz w:val="28"/>
              </w:rPr>
              <w:t>服</w:t>
            </w:r>
            <w:r>
              <w:rPr>
                <w:spacing w:val="21"/>
                <w:sz w:val="28"/>
              </w:rPr>
              <w:t>务业高端发</w:t>
            </w:r>
            <w:r>
              <w:rPr>
                <w:spacing w:val="-10"/>
                <w:sz w:val="28"/>
              </w:rPr>
              <w:t>展</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353" w:type="dxa"/>
          </w:tcPr>
          <w:p w14:paraId="18F46744">
            <w:pPr>
              <w:pStyle w:val="13"/>
              <w:ind w:right="66"/>
              <w:rPr>
                <w:sz w:val="28"/>
              </w:rPr>
            </w:pPr>
            <w:r>
              <w:rPr>
                <w:spacing w:val="-5"/>
                <w:sz w:val="28"/>
              </w:rPr>
              <w:t>34</w:t>
            </w:r>
          </w:p>
        </w:tc>
        <w:tc>
          <w:tcPr>
            <w:tcW w:w="261" w:type="dxa"/>
          </w:tcPr>
          <w:p w14:paraId="732A6A60">
            <w:pPr>
              <w:pStyle w:val="13"/>
              <w:ind w:left="23"/>
              <w:jc w:val="center"/>
              <w:rPr>
                <w:sz w:val="28"/>
              </w:rPr>
            </w:pPr>
            <w:r>
              <w:rPr>
                <w:sz w:val="28"/>
              </w:rPr>
              <w:t>-</w:t>
            </w:r>
          </w:p>
        </w:tc>
      </w:tr>
      <w:tr w14:paraId="393E39D5">
        <w:tblPrEx>
          <w:tblCellMar>
            <w:top w:w="0" w:type="dxa"/>
            <w:left w:w="0" w:type="dxa"/>
            <w:bottom w:w="0" w:type="dxa"/>
            <w:right w:w="0" w:type="dxa"/>
          </w:tblCellMar>
        </w:tblPrEx>
        <w:trPr>
          <w:trHeight w:val="624" w:hRule="atLeast"/>
        </w:trPr>
        <w:tc>
          <w:tcPr>
            <w:tcW w:w="8500" w:type="dxa"/>
            <w:gridSpan w:val="2"/>
          </w:tcPr>
          <w:p w14:paraId="55ABD460">
            <w:pPr>
              <w:pStyle w:val="13"/>
              <w:tabs>
                <w:tab w:val="left" w:leader="dot" w:pos="8054"/>
              </w:tabs>
              <w:spacing w:before="147"/>
              <w:ind w:left="890"/>
              <w:jc w:val="left"/>
              <w:rPr>
                <w:sz w:val="28"/>
              </w:rPr>
            </w:pPr>
            <w:r>
              <w:rPr>
                <w:spacing w:val="21"/>
                <w:sz w:val="28"/>
              </w:rPr>
              <w:t>第二</w:t>
            </w:r>
            <w:r>
              <w:rPr>
                <w:sz w:val="28"/>
              </w:rPr>
              <w:t>节</w:t>
            </w:r>
            <w:r>
              <w:rPr>
                <w:spacing w:val="205"/>
                <w:sz w:val="28"/>
              </w:rPr>
              <w:t xml:space="preserve"> </w:t>
            </w:r>
            <w:r>
              <w:rPr>
                <w:spacing w:val="21"/>
                <w:sz w:val="28"/>
              </w:rPr>
              <w:t>推动</w:t>
            </w:r>
            <w:r>
              <w:rPr>
                <w:spacing w:val="19"/>
                <w:sz w:val="28"/>
              </w:rPr>
              <w:t>工</w:t>
            </w:r>
            <w:r>
              <w:rPr>
                <w:spacing w:val="21"/>
                <w:sz w:val="28"/>
              </w:rPr>
              <w:t>业转型升</w:t>
            </w:r>
            <w:r>
              <w:rPr>
                <w:spacing w:val="-10"/>
                <w:sz w:val="28"/>
              </w:rPr>
              <w:t>级</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40"/>
                <w:position w:val="2"/>
                <w:sz w:val="28"/>
              </w:rPr>
              <w:t xml:space="preserve"> </w:t>
            </w:r>
            <w:r>
              <w:rPr>
                <w:spacing w:val="-10"/>
                <w:sz w:val="28"/>
              </w:rPr>
              <w:t>-</w:t>
            </w:r>
          </w:p>
        </w:tc>
        <w:tc>
          <w:tcPr>
            <w:tcW w:w="353" w:type="dxa"/>
          </w:tcPr>
          <w:p w14:paraId="3BFF50F9">
            <w:pPr>
              <w:pStyle w:val="13"/>
              <w:ind w:right="66"/>
              <w:rPr>
                <w:sz w:val="28"/>
              </w:rPr>
            </w:pPr>
            <w:r>
              <w:rPr>
                <w:spacing w:val="-5"/>
                <w:sz w:val="28"/>
              </w:rPr>
              <w:t>53</w:t>
            </w:r>
          </w:p>
        </w:tc>
        <w:tc>
          <w:tcPr>
            <w:tcW w:w="261" w:type="dxa"/>
          </w:tcPr>
          <w:p w14:paraId="4CD24217">
            <w:pPr>
              <w:pStyle w:val="13"/>
              <w:ind w:left="23"/>
              <w:jc w:val="center"/>
              <w:rPr>
                <w:sz w:val="28"/>
              </w:rPr>
            </w:pPr>
            <w:r>
              <w:rPr>
                <w:sz w:val="28"/>
              </w:rPr>
              <w:t>-</w:t>
            </w:r>
          </w:p>
        </w:tc>
      </w:tr>
      <w:tr w14:paraId="33FEEBA3">
        <w:tblPrEx>
          <w:tblCellMar>
            <w:top w:w="0" w:type="dxa"/>
            <w:left w:w="0" w:type="dxa"/>
            <w:bottom w:w="0" w:type="dxa"/>
            <w:right w:w="0" w:type="dxa"/>
          </w:tblCellMar>
        </w:tblPrEx>
        <w:trPr>
          <w:trHeight w:val="623" w:hRule="atLeast"/>
        </w:trPr>
        <w:tc>
          <w:tcPr>
            <w:tcW w:w="8500" w:type="dxa"/>
            <w:gridSpan w:val="2"/>
          </w:tcPr>
          <w:p w14:paraId="233D732D">
            <w:pPr>
              <w:pStyle w:val="13"/>
              <w:tabs>
                <w:tab w:val="left" w:leader="dot" w:pos="8054"/>
              </w:tabs>
              <w:spacing w:before="147"/>
              <w:ind w:left="890"/>
              <w:jc w:val="left"/>
              <w:rPr>
                <w:sz w:val="28"/>
              </w:rPr>
            </w:pPr>
            <w:r>
              <w:rPr>
                <w:spacing w:val="21"/>
                <w:sz w:val="28"/>
              </w:rPr>
              <w:t>第三</w:t>
            </w:r>
            <w:r>
              <w:rPr>
                <w:sz w:val="28"/>
              </w:rPr>
              <w:t>节</w:t>
            </w:r>
            <w:r>
              <w:rPr>
                <w:spacing w:val="205"/>
                <w:sz w:val="28"/>
              </w:rPr>
              <w:t xml:space="preserve"> </w:t>
            </w:r>
            <w:r>
              <w:rPr>
                <w:spacing w:val="21"/>
                <w:sz w:val="28"/>
              </w:rPr>
              <w:t>加快</w:t>
            </w:r>
            <w:r>
              <w:rPr>
                <w:spacing w:val="19"/>
                <w:sz w:val="28"/>
              </w:rPr>
              <w:t>农</w:t>
            </w:r>
            <w:r>
              <w:rPr>
                <w:spacing w:val="21"/>
                <w:sz w:val="28"/>
              </w:rPr>
              <w:t>业提质增</w:t>
            </w:r>
            <w:r>
              <w:rPr>
                <w:spacing w:val="-10"/>
                <w:sz w:val="28"/>
              </w:rPr>
              <w:t>效</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40"/>
                <w:position w:val="2"/>
                <w:sz w:val="28"/>
              </w:rPr>
              <w:t xml:space="preserve"> </w:t>
            </w:r>
            <w:r>
              <w:rPr>
                <w:spacing w:val="-10"/>
                <w:sz w:val="28"/>
              </w:rPr>
              <w:t>-</w:t>
            </w:r>
          </w:p>
        </w:tc>
        <w:tc>
          <w:tcPr>
            <w:tcW w:w="353" w:type="dxa"/>
          </w:tcPr>
          <w:p w14:paraId="0778542D">
            <w:pPr>
              <w:pStyle w:val="13"/>
              <w:ind w:right="66"/>
              <w:rPr>
                <w:sz w:val="28"/>
              </w:rPr>
            </w:pPr>
            <w:r>
              <w:rPr>
                <w:spacing w:val="-5"/>
                <w:sz w:val="28"/>
              </w:rPr>
              <w:t>57</w:t>
            </w:r>
          </w:p>
        </w:tc>
        <w:tc>
          <w:tcPr>
            <w:tcW w:w="261" w:type="dxa"/>
          </w:tcPr>
          <w:p w14:paraId="2E41F91F">
            <w:pPr>
              <w:pStyle w:val="13"/>
              <w:ind w:left="23"/>
              <w:jc w:val="center"/>
              <w:rPr>
                <w:sz w:val="28"/>
              </w:rPr>
            </w:pPr>
            <w:r>
              <w:rPr>
                <w:sz w:val="28"/>
              </w:rPr>
              <w:t>-</w:t>
            </w:r>
          </w:p>
        </w:tc>
      </w:tr>
      <w:tr w14:paraId="3AF0FD3B">
        <w:tblPrEx>
          <w:tblCellMar>
            <w:top w:w="0" w:type="dxa"/>
            <w:left w:w="0" w:type="dxa"/>
            <w:bottom w:w="0" w:type="dxa"/>
            <w:right w:w="0" w:type="dxa"/>
          </w:tblCellMar>
        </w:tblPrEx>
        <w:trPr>
          <w:trHeight w:val="623" w:hRule="atLeast"/>
        </w:trPr>
        <w:tc>
          <w:tcPr>
            <w:tcW w:w="8500" w:type="dxa"/>
            <w:gridSpan w:val="2"/>
          </w:tcPr>
          <w:p w14:paraId="55A289BB">
            <w:pPr>
              <w:pStyle w:val="13"/>
              <w:tabs>
                <w:tab w:val="left" w:leader="dot" w:pos="8072"/>
              </w:tabs>
              <w:spacing w:before="147"/>
              <w:ind w:left="472"/>
              <w:jc w:val="left"/>
              <w:rPr>
                <w:b/>
                <w:sz w:val="28"/>
              </w:rPr>
            </w:pPr>
            <w:r>
              <w:rPr>
                <w:b/>
                <w:sz w:val="28"/>
              </w:rPr>
              <w:t>第四章</w:t>
            </w:r>
            <w:r>
              <w:rPr>
                <w:b/>
                <w:spacing w:val="89"/>
                <w:sz w:val="28"/>
              </w:rPr>
              <w:t xml:space="preserve"> </w:t>
            </w:r>
            <w:r>
              <w:rPr>
                <w:b/>
                <w:sz w:val="28"/>
              </w:rPr>
              <w:t>深入实施创新驱动发展战</w:t>
            </w:r>
            <w:r>
              <w:rPr>
                <w:b/>
                <w:spacing w:val="-10"/>
                <w:sz w:val="28"/>
              </w:rPr>
              <w:t>略</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353" w:type="dxa"/>
          </w:tcPr>
          <w:p w14:paraId="578AA9A4">
            <w:pPr>
              <w:pStyle w:val="13"/>
              <w:ind w:right="66"/>
              <w:rPr>
                <w:b/>
                <w:sz w:val="28"/>
              </w:rPr>
            </w:pPr>
            <w:r>
              <w:rPr>
                <w:b/>
                <w:spacing w:val="-5"/>
                <w:sz w:val="28"/>
              </w:rPr>
              <w:t>62</w:t>
            </w:r>
          </w:p>
        </w:tc>
        <w:tc>
          <w:tcPr>
            <w:tcW w:w="261" w:type="dxa"/>
          </w:tcPr>
          <w:p w14:paraId="7D9AE931">
            <w:pPr>
              <w:pStyle w:val="13"/>
              <w:ind w:left="23"/>
              <w:jc w:val="center"/>
              <w:rPr>
                <w:b/>
                <w:sz w:val="28"/>
              </w:rPr>
            </w:pPr>
            <w:r>
              <w:rPr>
                <w:b/>
                <w:w w:val="99"/>
                <w:sz w:val="28"/>
              </w:rPr>
              <w:t>-</w:t>
            </w:r>
          </w:p>
        </w:tc>
      </w:tr>
      <w:tr w14:paraId="07F96A08">
        <w:tblPrEx>
          <w:tblCellMar>
            <w:top w:w="0" w:type="dxa"/>
            <w:left w:w="0" w:type="dxa"/>
            <w:bottom w:w="0" w:type="dxa"/>
            <w:right w:w="0" w:type="dxa"/>
          </w:tblCellMar>
        </w:tblPrEx>
        <w:trPr>
          <w:trHeight w:val="624" w:hRule="atLeast"/>
        </w:trPr>
        <w:tc>
          <w:tcPr>
            <w:tcW w:w="8500" w:type="dxa"/>
            <w:gridSpan w:val="2"/>
          </w:tcPr>
          <w:p w14:paraId="4A2F80CC">
            <w:pPr>
              <w:pStyle w:val="13"/>
              <w:tabs>
                <w:tab w:val="left" w:leader="dot" w:pos="8054"/>
              </w:tabs>
              <w:spacing w:before="147"/>
              <w:ind w:left="890"/>
              <w:jc w:val="left"/>
              <w:rPr>
                <w:sz w:val="28"/>
              </w:rPr>
            </w:pPr>
            <w:r>
              <w:rPr>
                <w:spacing w:val="21"/>
                <w:sz w:val="28"/>
              </w:rPr>
              <w:t>第一</w:t>
            </w:r>
            <w:r>
              <w:rPr>
                <w:sz w:val="28"/>
              </w:rPr>
              <w:t>节</w:t>
            </w:r>
            <w:r>
              <w:rPr>
                <w:spacing w:val="205"/>
                <w:sz w:val="28"/>
              </w:rPr>
              <w:t xml:space="preserve"> </w:t>
            </w:r>
            <w:r>
              <w:rPr>
                <w:spacing w:val="21"/>
                <w:sz w:val="28"/>
              </w:rPr>
              <w:t>提升</w:t>
            </w:r>
            <w:r>
              <w:rPr>
                <w:spacing w:val="19"/>
                <w:sz w:val="28"/>
              </w:rPr>
              <w:t>创</w:t>
            </w:r>
            <w:r>
              <w:rPr>
                <w:spacing w:val="21"/>
                <w:sz w:val="28"/>
              </w:rPr>
              <w:t>新创业能</w:t>
            </w:r>
            <w:r>
              <w:rPr>
                <w:spacing w:val="-10"/>
                <w:sz w:val="28"/>
              </w:rPr>
              <w:t>力</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40"/>
                <w:position w:val="2"/>
                <w:sz w:val="28"/>
              </w:rPr>
              <w:t xml:space="preserve"> </w:t>
            </w:r>
            <w:r>
              <w:rPr>
                <w:spacing w:val="-10"/>
                <w:sz w:val="28"/>
              </w:rPr>
              <w:t>-</w:t>
            </w:r>
          </w:p>
        </w:tc>
        <w:tc>
          <w:tcPr>
            <w:tcW w:w="353" w:type="dxa"/>
          </w:tcPr>
          <w:p w14:paraId="1B6CED13">
            <w:pPr>
              <w:pStyle w:val="13"/>
              <w:ind w:right="66"/>
              <w:rPr>
                <w:sz w:val="28"/>
              </w:rPr>
            </w:pPr>
            <w:r>
              <w:rPr>
                <w:spacing w:val="-5"/>
                <w:sz w:val="28"/>
              </w:rPr>
              <w:t>62</w:t>
            </w:r>
          </w:p>
        </w:tc>
        <w:tc>
          <w:tcPr>
            <w:tcW w:w="261" w:type="dxa"/>
          </w:tcPr>
          <w:p w14:paraId="3CCFB903">
            <w:pPr>
              <w:pStyle w:val="13"/>
              <w:ind w:left="23"/>
              <w:jc w:val="center"/>
              <w:rPr>
                <w:sz w:val="28"/>
              </w:rPr>
            </w:pPr>
            <w:r>
              <w:rPr>
                <w:sz w:val="28"/>
              </w:rPr>
              <w:t>-</w:t>
            </w:r>
          </w:p>
        </w:tc>
      </w:tr>
      <w:tr w14:paraId="48A1C55E">
        <w:tblPrEx>
          <w:tblCellMar>
            <w:top w:w="0" w:type="dxa"/>
            <w:left w:w="0" w:type="dxa"/>
            <w:bottom w:w="0" w:type="dxa"/>
            <w:right w:w="0" w:type="dxa"/>
          </w:tblCellMar>
        </w:tblPrEx>
        <w:trPr>
          <w:trHeight w:val="623" w:hRule="atLeast"/>
        </w:trPr>
        <w:tc>
          <w:tcPr>
            <w:tcW w:w="8500" w:type="dxa"/>
            <w:gridSpan w:val="2"/>
          </w:tcPr>
          <w:p w14:paraId="06656264">
            <w:pPr>
              <w:pStyle w:val="13"/>
              <w:tabs>
                <w:tab w:val="left" w:leader="dot" w:pos="8054"/>
              </w:tabs>
              <w:spacing w:before="147"/>
              <w:ind w:left="890"/>
              <w:jc w:val="left"/>
              <w:rPr>
                <w:sz w:val="28"/>
              </w:rPr>
            </w:pPr>
            <w:r>
              <w:rPr>
                <w:spacing w:val="21"/>
                <w:sz w:val="28"/>
              </w:rPr>
              <w:t>第二</w:t>
            </w:r>
            <w:r>
              <w:rPr>
                <w:sz w:val="28"/>
              </w:rPr>
              <w:t>节</w:t>
            </w:r>
            <w:r>
              <w:rPr>
                <w:spacing w:val="205"/>
                <w:sz w:val="28"/>
              </w:rPr>
              <w:t xml:space="preserve"> </w:t>
            </w:r>
            <w:r>
              <w:rPr>
                <w:spacing w:val="21"/>
                <w:sz w:val="28"/>
              </w:rPr>
              <w:t>培育</w:t>
            </w:r>
            <w:r>
              <w:rPr>
                <w:spacing w:val="19"/>
                <w:sz w:val="28"/>
              </w:rPr>
              <w:t>创</w:t>
            </w:r>
            <w:r>
              <w:rPr>
                <w:spacing w:val="21"/>
                <w:sz w:val="28"/>
              </w:rPr>
              <w:t>新市场主</w:t>
            </w:r>
            <w:r>
              <w:rPr>
                <w:spacing w:val="-10"/>
                <w:sz w:val="28"/>
              </w:rPr>
              <w:t>体</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40"/>
                <w:position w:val="2"/>
                <w:sz w:val="28"/>
              </w:rPr>
              <w:t xml:space="preserve"> </w:t>
            </w:r>
            <w:r>
              <w:rPr>
                <w:spacing w:val="-10"/>
                <w:sz w:val="28"/>
              </w:rPr>
              <w:t>-</w:t>
            </w:r>
          </w:p>
        </w:tc>
        <w:tc>
          <w:tcPr>
            <w:tcW w:w="353" w:type="dxa"/>
          </w:tcPr>
          <w:p w14:paraId="7A7C539E">
            <w:pPr>
              <w:pStyle w:val="13"/>
              <w:ind w:right="66"/>
              <w:rPr>
                <w:sz w:val="28"/>
              </w:rPr>
            </w:pPr>
            <w:r>
              <w:rPr>
                <w:spacing w:val="-5"/>
                <w:sz w:val="28"/>
              </w:rPr>
              <w:t>64</w:t>
            </w:r>
          </w:p>
        </w:tc>
        <w:tc>
          <w:tcPr>
            <w:tcW w:w="261" w:type="dxa"/>
          </w:tcPr>
          <w:p w14:paraId="0EA0C492">
            <w:pPr>
              <w:pStyle w:val="13"/>
              <w:ind w:left="23"/>
              <w:jc w:val="center"/>
              <w:rPr>
                <w:sz w:val="28"/>
              </w:rPr>
            </w:pPr>
            <w:r>
              <w:rPr>
                <w:sz w:val="28"/>
              </w:rPr>
              <w:t>-</w:t>
            </w:r>
          </w:p>
        </w:tc>
      </w:tr>
      <w:tr w14:paraId="2032D46F">
        <w:tblPrEx>
          <w:tblCellMar>
            <w:top w:w="0" w:type="dxa"/>
            <w:left w:w="0" w:type="dxa"/>
            <w:bottom w:w="0" w:type="dxa"/>
            <w:right w:w="0" w:type="dxa"/>
          </w:tblCellMar>
        </w:tblPrEx>
        <w:trPr>
          <w:trHeight w:val="467" w:hRule="atLeast"/>
        </w:trPr>
        <w:tc>
          <w:tcPr>
            <w:tcW w:w="8500" w:type="dxa"/>
            <w:gridSpan w:val="2"/>
          </w:tcPr>
          <w:p w14:paraId="011D8710">
            <w:pPr>
              <w:pStyle w:val="13"/>
              <w:tabs>
                <w:tab w:val="left" w:leader="dot" w:pos="8054"/>
              </w:tabs>
              <w:spacing w:before="145" w:line="303" w:lineRule="exact"/>
              <w:ind w:left="890"/>
              <w:jc w:val="left"/>
              <w:rPr>
                <w:sz w:val="28"/>
              </w:rPr>
            </w:pPr>
            <w:r>
              <w:rPr>
                <w:spacing w:val="21"/>
                <w:sz w:val="28"/>
              </w:rPr>
              <w:t>第三</w:t>
            </w:r>
            <w:r>
              <w:rPr>
                <w:sz w:val="28"/>
              </w:rPr>
              <w:t>节</w:t>
            </w:r>
            <w:r>
              <w:rPr>
                <w:spacing w:val="205"/>
                <w:sz w:val="28"/>
              </w:rPr>
              <w:t xml:space="preserve"> </w:t>
            </w:r>
            <w:r>
              <w:rPr>
                <w:spacing w:val="21"/>
                <w:sz w:val="28"/>
              </w:rPr>
              <w:t>优化</w:t>
            </w:r>
            <w:r>
              <w:rPr>
                <w:spacing w:val="19"/>
                <w:sz w:val="28"/>
              </w:rPr>
              <w:t>创</w:t>
            </w:r>
            <w:r>
              <w:rPr>
                <w:spacing w:val="21"/>
                <w:sz w:val="28"/>
              </w:rPr>
              <w:t>新创业环</w:t>
            </w:r>
            <w:r>
              <w:rPr>
                <w:spacing w:val="-10"/>
                <w:sz w:val="28"/>
              </w:rPr>
              <w:t>境</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40"/>
                <w:position w:val="2"/>
                <w:sz w:val="28"/>
              </w:rPr>
              <w:t xml:space="preserve"> </w:t>
            </w:r>
            <w:r>
              <w:rPr>
                <w:spacing w:val="-10"/>
                <w:sz w:val="28"/>
              </w:rPr>
              <w:t>-</w:t>
            </w:r>
          </w:p>
        </w:tc>
        <w:tc>
          <w:tcPr>
            <w:tcW w:w="353" w:type="dxa"/>
          </w:tcPr>
          <w:p w14:paraId="64D3111B">
            <w:pPr>
              <w:pStyle w:val="13"/>
              <w:spacing w:line="300" w:lineRule="exact"/>
              <w:ind w:right="66"/>
              <w:rPr>
                <w:sz w:val="28"/>
              </w:rPr>
            </w:pPr>
            <w:r>
              <w:rPr>
                <w:spacing w:val="-5"/>
                <w:sz w:val="28"/>
              </w:rPr>
              <w:t>65</w:t>
            </w:r>
          </w:p>
        </w:tc>
        <w:tc>
          <w:tcPr>
            <w:tcW w:w="261" w:type="dxa"/>
          </w:tcPr>
          <w:p w14:paraId="10441DAB">
            <w:pPr>
              <w:pStyle w:val="13"/>
              <w:spacing w:line="300" w:lineRule="exact"/>
              <w:ind w:left="23"/>
              <w:jc w:val="center"/>
              <w:rPr>
                <w:sz w:val="28"/>
              </w:rPr>
            </w:pPr>
            <w:r>
              <w:rPr>
                <w:sz w:val="28"/>
              </w:rPr>
              <w:t>-</w:t>
            </w:r>
          </w:p>
        </w:tc>
      </w:tr>
    </w:tbl>
    <w:p w14:paraId="5B740164">
      <w:pPr>
        <w:spacing w:line="300" w:lineRule="exact"/>
        <w:jc w:val="center"/>
        <w:rPr>
          <w:sz w:val="28"/>
        </w:rPr>
        <w:sectPr>
          <w:footerReference r:id="rId4" w:type="default"/>
          <w:footerReference r:id="rId5" w:type="even"/>
          <w:pgSz w:w="11910" w:h="16840"/>
          <w:pgMar w:top="1920" w:right="1140" w:bottom="1380" w:left="1320" w:header="0" w:footer="1196" w:gutter="0"/>
          <w:pgNumType w:start="1"/>
          <w:cols w:space="720" w:num="1"/>
        </w:sectPr>
      </w:pPr>
    </w:p>
    <w:p w14:paraId="49CC9FEC">
      <w:pPr>
        <w:spacing w:before="72"/>
        <w:ind w:left="153"/>
        <w:rPr>
          <w:b/>
          <w:sz w:val="28"/>
        </w:rPr>
      </w:pPr>
      <w:r>
        <w:rPr>
          <w:b/>
          <w:spacing w:val="14"/>
          <w:position w:val="-1"/>
          <w:sz w:val="28"/>
        </w:rPr>
        <w:t>第四篇</w:t>
      </w:r>
      <w:r>
        <w:rPr>
          <w:b/>
          <w:spacing w:val="76"/>
          <w:w w:val="150"/>
          <w:position w:val="-1"/>
          <w:sz w:val="28"/>
        </w:rPr>
        <w:t xml:space="preserve"> </w:t>
      </w:r>
      <w:r>
        <w:rPr>
          <w:b/>
          <w:spacing w:val="22"/>
          <w:position w:val="-1"/>
          <w:sz w:val="28"/>
        </w:rPr>
        <w:t>践行</w:t>
      </w:r>
      <w:r>
        <w:rPr>
          <w:b/>
          <w:spacing w:val="21"/>
          <w:position w:val="-1"/>
          <w:sz w:val="28"/>
        </w:rPr>
        <w:t>金凤担</w:t>
      </w:r>
      <w:r>
        <w:rPr>
          <w:b/>
          <w:spacing w:val="22"/>
          <w:position w:val="-1"/>
          <w:sz w:val="28"/>
        </w:rPr>
        <w:t>当，</w:t>
      </w:r>
      <w:r>
        <w:rPr>
          <w:b/>
          <w:spacing w:val="21"/>
          <w:position w:val="-1"/>
          <w:sz w:val="28"/>
        </w:rPr>
        <w:t>塑</w:t>
      </w:r>
      <w:r>
        <w:rPr>
          <w:b/>
          <w:spacing w:val="23"/>
          <w:position w:val="-1"/>
          <w:sz w:val="28"/>
        </w:rPr>
        <w:t>造</w:t>
      </w:r>
      <w:r>
        <w:rPr>
          <w:b/>
          <w:spacing w:val="21"/>
          <w:position w:val="-1"/>
          <w:sz w:val="28"/>
        </w:rPr>
        <w:t>协调发</w:t>
      </w:r>
      <w:r>
        <w:rPr>
          <w:b/>
          <w:spacing w:val="23"/>
          <w:position w:val="-1"/>
          <w:sz w:val="28"/>
        </w:rPr>
        <w:t>展</w:t>
      </w:r>
      <w:r>
        <w:rPr>
          <w:b/>
          <w:spacing w:val="21"/>
          <w:position w:val="-1"/>
          <w:sz w:val="28"/>
        </w:rPr>
        <w:t>新格</w:t>
      </w:r>
      <w:r>
        <w:rPr>
          <w:b/>
          <w:spacing w:val="23"/>
          <w:position w:val="-1"/>
          <w:sz w:val="28"/>
        </w:rPr>
        <w:t>局</w:t>
      </w:r>
      <w:r>
        <w:rPr>
          <w:rFonts w:ascii="Times New Roman" w:eastAsia="Times New Roman"/>
          <w:b/>
          <w:sz w:val="28"/>
        </w:rPr>
        <w:t>..............................</w:t>
      </w:r>
      <w:r>
        <w:rPr>
          <w:b/>
          <w:spacing w:val="-12"/>
          <w:position w:val="-1"/>
          <w:sz w:val="28"/>
        </w:rPr>
        <w:t xml:space="preserve">- </w:t>
      </w:r>
      <w:r>
        <w:rPr>
          <w:b/>
          <w:position w:val="-1"/>
          <w:sz w:val="28"/>
        </w:rPr>
        <w:t>68</w:t>
      </w:r>
      <w:r>
        <w:rPr>
          <w:b/>
          <w:spacing w:val="-17"/>
          <w:position w:val="-1"/>
          <w:sz w:val="28"/>
        </w:rPr>
        <w:t xml:space="preserve"> -</w:t>
      </w:r>
    </w:p>
    <w:p w14:paraId="4A1FEC7D">
      <w:pPr>
        <w:pStyle w:val="5"/>
        <w:spacing w:before="5"/>
        <w:rPr>
          <w:b/>
          <w:sz w:val="21"/>
        </w:rPr>
      </w:pPr>
    </w:p>
    <w:tbl>
      <w:tblPr>
        <w:tblStyle w:val="11"/>
        <w:tblW w:w="0" w:type="auto"/>
        <w:tblInd w:w="111" w:type="dxa"/>
        <w:tblLayout w:type="fixed"/>
        <w:tblCellMar>
          <w:top w:w="0" w:type="dxa"/>
          <w:left w:w="0" w:type="dxa"/>
          <w:bottom w:w="0" w:type="dxa"/>
          <w:right w:w="0" w:type="dxa"/>
        </w:tblCellMar>
      </w:tblPr>
      <w:tblGrid>
        <w:gridCol w:w="8433"/>
        <w:gridCol w:w="422"/>
        <w:gridCol w:w="263"/>
      </w:tblGrid>
      <w:tr w14:paraId="0802DC58">
        <w:tblPrEx>
          <w:tblCellMar>
            <w:top w:w="0" w:type="dxa"/>
            <w:left w:w="0" w:type="dxa"/>
            <w:bottom w:w="0" w:type="dxa"/>
            <w:right w:w="0" w:type="dxa"/>
          </w:tblCellMar>
        </w:tblPrEx>
        <w:trPr>
          <w:trHeight w:val="467" w:hRule="atLeast"/>
        </w:trPr>
        <w:tc>
          <w:tcPr>
            <w:tcW w:w="8433" w:type="dxa"/>
          </w:tcPr>
          <w:p w14:paraId="45C04363">
            <w:pPr>
              <w:pStyle w:val="13"/>
              <w:tabs>
                <w:tab w:val="left" w:leader="dot" w:pos="7590"/>
              </w:tabs>
              <w:spacing w:before="0" w:line="349" w:lineRule="exact"/>
              <w:ind w:right="70"/>
              <w:rPr>
                <w:b/>
                <w:sz w:val="28"/>
              </w:rPr>
            </w:pPr>
            <w:r>
              <w:rPr>
                <w:b/>
                <w:sz w:val="28"/>
              </w:rPr>
              <w:t>第五章</w:t>
            </w:r>
            <w:r>
              <w:rPr>
                <w:b/>
                <w:spacing w:val="97"/>
                <w:sz w:val="28"/>
              </w:rPr>
              <w:t xml:space="preserve"> </w:t>
            </w:r>
            <w:r>
              <w:rPr>
                <w:b/>
                <w:sz w:val="28"/>
              </w:rPr>
              <w:t>加快推进城乡融合发</w:t>
            </w:r>
            <w:r>
              <w:rPr>
                <w:b/>
                <w:spacing w:val="-10"/>
                <w:sz w:val="28"/>
              </w:rPr>
              <w:t>展</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422" w:type="dxa"/>
          </w:tcPr>
          <w:p w14:paraId="7BE60DD8">
            <w:pPr>
              <w:pStyle w:val="13"/>
              <w:spacing w:before="0" w:line="351" w:lineRule="exact"/>
              <w:ind w:right="70"/>
              <w:rPr>
                <w:b/>
                <w:sz w:val="28"/>
              </w:rPr>
            </w:pPr>
            <w:r>
              <w:rPr>
                <w:b/>
                <w:spacing w:val="-5"/>
                <w:sz w:val="28"/>
              </w:rPr>
              <w:t>68</w:t>
            </w:r>
          </w:p>
        </w:tc>
        <w:tc>
          <w:tcPr>
            <w:tcW w:w="263" w:type="dxa"/>
          </w:tcPr>
          <w:p w14:paraId="43AE125A">
            <w:pPr>
              <w:pStyle w:val="13"/>
              <w:spacing w:before="0" w:line="351" w:lineRule="exact"/>
              <w:ind w:left="17"/>
              <w:jc w:val="center"/>
              <w:rPr>
                <w:b/>
                <w:sz w:val="28"/>
              </w:rPr>
            </w:pPr>
            <w:r>
              <w:rPr>
                <w:b/>
                <w:w w:val="99"/>
                <w:sz w:val="28"/>
              </w:rPr>
              <w:t>-</w:t>
            </w:r>
          </w:p>
        </w:tc>
      </w:tr>
      <w:tr w14:paraId="0D7880C1">
        <w:tblPrEx>
          <w:tblCellMar>
            <w:top w:w="0" w:type="dxa"/>
            <w:left w:w="0" w:type="dxa"/>
            <w:bottom w:w="0" w:type="dxa"/>
            <w:right w:w="0" w:type="dxa"/>
          </w:tblCellMar>
        </w:tblPrEx>
        <w:trPr>
          <w:trHeight w:val="624" w:hRule="atLeast"/>
        </w:trPr>
        <w:tc>
          <w:tcPr>
            <w:tcW w:w="8433" w:type="dxa"/>
          </w:tcPr>
          <w:p w14:paraId="70CBC0AE">
            <w:pPr>
              <w:pStyle w:val="13"/>
              <w:tabs>
                <w:tab w:val="left" w:leader="dot" w:pos="7164"/>
              </w:tabs>
              <w:spacing w:before="147"/>
              <w:ind w:right="66"/>
              <w:rPr>
                <w:sz w:val="28"/>
              </w:rPr>
            </w:pPr>
            <w:r>
              <w:rPr>
                <w:spacing w:val="21"/>
                <w:sz w:val="28"/>
              </w:rPr>
              <w:t>第一</w:t>
            </w:r>
            <w:r>
              <w:rPr>
                <w:sz w:val="28"/>
              </w:rPr>
              <w:t>节</w:t>
            </w:r>
            <w:r>
              <w:rPr>
                <w:spacing w:val="205"/>
                <w:sz w:val="28"/>
              </w:rPr>
              <w:t xml:space="preserve"> </w:t>
            </w:r>
            <w:r>
              <w:rPr>
                <w:spacing w:val="21"/>
                <w:sz w:val="28"/>
              </w:rPr>
              <w:t>建设</w:t>
            </w:r>
            <w:r>
              <w:rPr>
                <w:spacing w:val="19"/>
                <w:sz w:val="28"/>
              </w:rPr>
              <w:t>国</w:t>
            </w:r>
            <w:r>
              <w:rPr>
                <w:spacing w:val="21"/>
                <w:sz w:val="28"/>
              </w:rPr>
              <w:t>际品质城</w:t>
            </w:r>
            <w:r>
              <w:rPr>
                <w:spacing w:val="-10"/>
                <w:sz w:val="28"/>
              </w:rPr>
              <w:t>区</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40"/>
                <w:position w:val="2"/>
                <w:sz w:val="28"/>
              </w:rPr>
              <w:t xml:space="preserve"> </w:t>
            </w:r>
            <w:r>
              <w:rPr>
                <w:spacing w:val="-10"/>
                <w:sz w:val="28"/>
              </w:rPr>
              <w:t>-</w:t>
            </w:r>
          </w:p>
        </w:tc>
        <w:tc>
          <w:tcPr>
            <w:tcW w:w="422" w:type="dxa"/>
          </w:tcPr>
          <w:p w14:paraId="53ABD390">
            <w:pPr>
              <w:pStyle w:val="13"/>
              <w:ind w:right="68"/>
              <w:rPr>
                <w:sz w:val="28"/>
              </w:rPr>
            </w:pPr>
            <w:r>
              <w:rPr>
                <w:spacing w:val="-5"/>
                <w:sz w:val="28"/>
              </w:rPr>
              <w:t>68</w:t>
            </w:r>
          </w:p>
        </w:tc>
        <w:tc>
          <w:tcPr>
            <w:tcW w:w="263" w:type="dxa"/>
          </w:tcPr>
          <w:p w14:paraId="01E01B00">
            <w:pPr>
              <w:pStyle w:val="13"/>
              <w:ind w:left="17"/>
              <w:jc w:val="center"/>
              <w:rPr>
                <w:sz w:val="28"/>
              </w:rPr>
            </w:pPr>
            <w:r>
              <w:rPr>
                <w:sz w:val="28"/>
              </w:rPr>
              <w:t>-</w:t>
            </w:r>
          </w:p>
        </w:tc>
      </w:tr>
      <w:tr w14:paraId="3E738D3F">
        <w:tblPrEx>
          <w:tblCellMar>
            <w:top w:w="0" w:type="dxa"/>
            <w:left w:w="0" w:type="dxa"/>
            <w:bottom w:w="0" w:type="dxa"/>
            <w:right w:w="0" w:type="dxa"/>
          </w:tblCellMar>
        </w:tblPrEx>
        <w:trPr>
          <w:trHeight w:val="624" w:hRule="atLeast"/>
        </w:trPr>
        <w:tc>
          <w:tcPr>
            <w:tcW w:w="8433" w:type="dxa"/>
          </w:tcPr>
          <w:p w14:paraId="62F036F8">
            <w:pPr>
              <w:pStyle w:val="13"/>
              <w:tabs>
                <w:tab w:val="left" w:leader="dot" w:pos="7164"/>
              </w:tabs>
              <w:spacing w:before="147"/>
              <w:ind w:right="66"/>
              <w:rPr>
                <w:sz w:val="28"/>
              </w:rPr>
            </w:pPr>
            <w:r>
              <w:rPr>
                <w:spacing w:val="21"/>
                <w:sz w:val="28"/>
              </w:rPr>
              <w:t>第二</w:t>
            </w:r>
            <w:r>
              <w:rPr>
                <w:sz w:val="28"/>
              </w:rPr>
              <w:t>节</w:t>
            </w:r>
            <w:r>
              <w:rPr>
                <w:spacing w:val="205"/>
                <w:sz w:val="28"/>
              </w:rPr>
              <w:t xml:space="preserve"> </w:t>
            </w:r>
            <w:r>
              <w:rPr>
                <w:spacing w:val="21"/>
                <w:sz w:val="28"/>
              </w:rPr>
              <w:t>提升</w:t>
            </w:r>
            <w:r>
              <w:rPr>
                <w:spacing w:val="19"/>
                <w:sz w:val="28"/>
              </w:rPr>
              <w:t>重</w:t>
            </w:r>
            <w:r>
              <w:rPr>
                <w:spacing w:val="21"/>
                <w:sz w:val="28"/>
              </w:rPr>
              <w:t>点城镇功</w:t>
            </w:r>
            <w:r>
              <w:rPr>
                <w:spacing w:val="-10"/>
                <w:sz w:val="28"/>
              </w:rPr>
              <w:t>能</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40"/>
                <w:position w:val="2"/>
                <w:sz w:val="28"/>
              </w:rPr>
              <w:t xml:space="preserve"> </w:t>
            </w:r>
            <w:r>
              <w:rPr>
                <w:spacing w:val="-10"/>
                <w:sz w:val="28"/>
              </w:rPr>
              <w:t>-</w:t>
            </w:r>
          </w:p>
        </w:tc>
        <w:tc>
          <w:tcPr>
            <w:tcW w:w="422" w:type="dxa"/>
          </w:tcPr>
          <w:p w14:paraId="3479A42F">
            <w:pPr>
              <w:pStyle w:val="13"/>
              <w:ind w:right="68"/>
              <w:rPr>
                <w:sz w:val="28"/>
              </w:rPr>
            </w:pPr>
            <w:r>
              <w:rPr>
                <w:spacing w:val="-5"/>
                <w:sz w:val="28"/>
              </w:rPr>
              <w:t>73</w:t>
            </w:r>
          </w:p>
        </w:tc>
        <w:tc>
          <w:tcPr>
            <w:tcW w:w="263" w:type="dxa"/>
          </w:tcPr>
          <w:p w14:paraId="399C5B9E">
            <w:pPr>
              <w:pStyle w:val="13"/>
              <w:ind w:left="17"/>
              <w:jc w:val="center"/>
              <w:rPr>
                <w:sz w:val="28"/>
              </w:rPr>
            </w:pPr>
            <w:r>
              <w:rPr>
                <w:sz w:val="28"/>
              </w:rPr>
              <w:t>-</w:t>
            </w:r>
          </w:p>
        </w:tc>
      </w:tr>
      <w:tr w14:paraId="20E26D18">
        <w:tblPrEx>
          <w:tblCellMar>
            <w:top w:w="0" w:type="dxa"/>
            <w:left w:w="0" w:type="dxa"/>
            <w:bottom w:w="0" w:type="dxa"/>
            <w:right w:w="0" w:type="dxa"/>
          </w:tblCellMar>
        </w:tblPrEx>
        <w:trPr>
          <w:trHeight w:val="623" w:hRule="atLeast"/>
        </w:trPr>
        <w:tc>
          <w:tcPr>
            <w:tcW w:w="8433" w:type="dxa"/>
          </w:tcPr>
          <w:p w14:paraId="71FE8359">
            <w:pPr>
              <w:pStyle w:val="13"/>
              <w:tabs>
                <w:tab w:val="left" w:leader="dot" w:pos="7172"/>
              </w:tabs>
              <w:spacing w:before="147"/>
              <w:ind w:right="66"/>
              <w:rPr>
                <w:sz w:val="28"/>
              </w:rPr>
            </w:pPr>
            <w:r>
              <w:rPr>
                <w:spacing w:val="11"/>
                <w:sz w:val="28"/>
              </w:rPr>
              <w:t>第</w:t>
            </w:r>
            <w:r>
              <w:rPr>
                <w:sz w:val="28"/>
              </w:rPr>
              <w:t>三节</w:t>
            </w:r>
            <w:r>
              <w:rPr>
                <w:spacing w:val="31"/>
                <w:sz w:val="28"/>
              </w:rPr>
              <w:t xml:space="preserve">  </w:t>
            </w:r>
            <w:r>
              <w:rPr>
                <w:spacing w:val="11"/>
                <w:sz w:val="28"/>
              </w:rPr>
              <w:t>实</w:t>
            </w:r>
            <w:r>
              <w:rPr>
                <w:sz w:val="28"/>
              </w:rPr>
              <w:t>施</w:t>
            </w:r>
            <w:r>
              <w:rPr>
                <w:spacing w:val="11"/>
                <w:sz w:val="28"/>
              </w:rPr>
              <w:t>乡村</w:t>
            </w:r>
            <w:r>
              <w:rPr>
                <w:sz w:val="28"/>
              </w:rPr>
              <w:t>振</w:t>
            </w:r>
            <w:r>
              <w:rPr>
                <w:spacing w:val="11"/>
                <w:sz w:val="28"/>
              </w:rPr>
              <w:t>兴战</w:t>
            </w:r>
            <w:r>
              <w:rPr>
                <w:spacing w:val="-10"/>
                <w:sz w:val="28"/>
              </w:rPr>
              <w:t>略</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422" w:type="dxa"/>
          </w:tcPr>
          <w:p w14:paraId="4C01E8E3">
            <w:pPr>
              <w:pStyle w:val="13"/>
              <w:ind w:right="68"/>
              <w:rPr>
                <w:sz w:val="28"/>
              </w:rPr>
            </w:pPr>
            <w:r>
              <w:rPr>
                <w:spacing w:val="-5"/>
                <w:sz w:val="28"/>
              </w:rPr>
              <w:t>74</w:t>
            </w:r>
          </w:p>
        </w:tc>
        <w:tc>
          <w:tcPr>
            <w:tcW w:w="263" w:type="dxa"/>
          </w:tcPr>
          <w:p w14:paraId="00503A8A">
            <w:pPr>
              <w:pStyle w:val="13"/>
              <w:ind w:left="17"/>
              <w:jc w:val="center"/>
              <w:rPr>
                <w:sz w:val="28"/>
              </w:rPr>
            </w:pPr>
            <w:r>
              <w:rPr>
                <w:sz w:val="28"/>
              </w:rPr>
              <w:t>-</w:t>
            </w:r>
          </w:p>
        </w:tc>
      </w:tr>
      <w:tr w14:paraId="6B5EAEF6">
        <w:tblPrEx>
          <w:tblCellMar>
            <w:top w:w="0" w:type="dxa"/>
            <w:left w:w="0" w:type="dxa"/>
            <w:bottom w:w="0" w:type="dxa"/>
            <w:right w:w="0" w:type="dxa"/>
          </w:tblCellMar>
        </w:tblPrEx>
        <w:trPr>
          <w:trHeight w:val="624" w:hRule="atLeast"/>
        </w:trPr>
        <w:tc>
          <w:tcPr>
            <w:tcW w:w="8433" w:type="dxa"/>
          </w:tcPr>
          <w:p w14:paraId="297FE499">
            <w:pPr>
              <w:pStyle w:val="13"/>
              <w:tabs>
                <w:tab w:val="left" w:leader="dot" w:pos="7600"/>
              </w:tabs>
              <w:spacing w:before="147"/>
              <w:ind w:right="70"/>
              <w:rPr>
                <w:b/>
                <w:sz w:val="28"/>
              </w:rPr>
            </w:pPr>
            <w:r>
              <w:rPr>
                <w:b/>
                <w:sz w:val="28"/>
              </w:rPr>
              <w:t>第六章</w:t>
            </w:r>
            <w:r>
              <w:rPr>
                <w:b/>
                <w:spacing w:val="90"/>
                <w:sz w:val="28"/>
              </w:rPr>
              <w:t xml:space="preserve"> </w:t>
            </w:r>
            <w:r>
              <w:rPr>
                <w:b/>
                <w:sz w:val="28"/>
              </w:rPr>
              <w:t>提升城乡基础设施保障能</w:t>
            </w:r>
            <w:r>
              <w:rPr>
                <w:b/>
                <w:spacing w:val="-10"/>
                <w:sz w:val="28"/>
              </w:rPr>
              <w:t>力</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422" w:type="dxa"/>
          </w:tcPr>
          <w:p w14:paraId="2A719042">
            <w:pPr>
              <w:pStyle w:val="13"/>
              <w:ind w:right="68"/>
              <w:rPr>
                <w:b/>
                <w:sz w:val="28"/>
              </w:rPr>
            </w:pPr>
            <w:r>
              <w:rPr>
                <w:b/>
                <w:spacing w:val="-5"/>
                <w:sz w:val="28"/>
              </w:rPr>
              <w:t>78</w:t>
            </w:r>
          </w:p>
        </w:tc>
        <w:tc>
          <w:tcPr>
            <w:tcW w:w="263" w:type="dxa"/>
          </w:tcPr>
          <w:p w14:paraId="61B8032D">
            <w:pPr>
              <w:pStyle w:val="13"/>
              <w:ind w:left="17"/>
              <w:jc w:val="center"/>
              <w:rPr>
                <w:b/>
                <w:sz w:val="28"/>
              </w:rPr>
            </w:pPr>
            <w:r>
              <w:rPr>
                <w:b/>
                <w:w w:val="99"/>
                <w:sz w:val="28"/>
              </w:rPr>
              <w:t>-</w:t>
            </w:r>
          </w:p>
        </w:tc>
      </w:tr>
      <w:tr w14:paraId="398188AB">
        <w:tblPrEx>
          <w:tblCellMar>
            <w:top w:w="0" w:type="dxa"/>
            <w:left w:w="0" w:type="dxa"/>
            <w:bottom w:w="0" w:type="dxa"/>
            <w:right w:w="0" w:type="dxa"/>
          </w:tblCellMar>
        </w:tblPrEx>
        <w:trPr>
          <w:trHeight w:val="624" w:hRule="atLeast"/>
        </w:trPr>
        <w:tc>
          <w:tcPr>
            <w:tcW w:w="8433" w:type="dxa"/>
          </w:tcPr>
          <w:p w14:paraId="2A6AF680">
            <w:pPr>
              <w:pStyle w:val="13"/>
              <w:tabs>
                <w:tab w:val="left" w:leader="dot" w:pos="7135"/>
              </w:tabs>
              <w:spacing w:before="147"/>
              <w:ind w:right="66"/>
              <w:rPr>
                <w:sz w:val="28"/>
              </w:rPr>
            </w:pPr>
            <w:r>
              <w:rPr>
                <w:spacing w:val="11"/>
                <w:sz w:val="28"/>
              </w:rPr>
              <w:t>第</w:t>
            </w:r>
            <w:r>
              <w:rPr>
                <w:sz w:val="28"/>
              </w:rPr>
              <w:t>一节</w:t>
            </w:r>
            <w:r>
              <w:rPr>
                <w:spacing w:val="34"/>
                <w:sz w:val="28"/>
              </w:rPr>
              <w:t xml:space="preserve">  </w:t>
            </w:r>
            <w:r>
              <w:rPr>
                <w:spacing w:val="11"/>
                <w:sz w:val="28"/>
              </w:rPr>
              <w:t>强</w:t>
            </w:r>
            <w:r>
              <w:rPr>
                <w:sz w:val="28"/>
              </w:rPr>
              <w:t>化</w:t>
            </w:r>
            <w:r>
              <w:rPr>
                <w:spacing w:val="11"/>
                <w:sz w:val="28"/>
              </w:rPr>
              <w:t>信息</w:t>
            </w:r>
            <w:r>
              <w:rPr>
                <w:sz w:val="28"/>
              </w:rPr>
              <w:t>网</w:t>
            </w:r>
            <w:r>
              <w:rPr>
                <w:spacing w:val="11"/>
                <w:sz w:val="28"/>
              </w:rPr>
              <w:t>络体</w:t>
            </w:r>
            <w:r>
              <w:rPr>
                <w:sz w:val="28"/>
              </w:rPr>
              <w:t>系</w:t>
            </w:r>
            <w:r>
              <w:rPr>
                <w:spacing w:val="11"/>
                <w:sz w:val="28"/>
              </w:rPr>
              <w:t>建</w:t>
            </w:r>
            <w:r>
              <w:rPr>
                <w:spacing w:val="-10"/>
                <w:sz w:val="28"/>
              </w:rPr>
              <w:t>设</w:t>
            </w:r>
            <w:r>
              <w:rPr>
                <w:rFonts w:ascii="Times New Roman" w:eastAsia="Times New Roman"/>
                <w:sz w:val="28"/>
              </w:rPr>
              <w:tab/>
            </w:r>
            <w:r>
              <w:rPr>
                <w:rFonts w:ascii="Times New Roman" w:eastAsia="Times New Roman"/>
                <w:position w:val="2"/>
                <w:sz w:val="28"/>
              </w:rPr>
              <w:t>..</w:t>
            </w:r>
            <w:r>
              <w:rPr>
                <w:rFonts w:ascii="Times New Roman" w:eastAsia="Times New Roman"/>
                <w:spacing w:val="-15"/>
                <w:position w:val="2"/>
                <w:sz w:val="28"/>
              </w:rPr>
              <w:t xml:space="preserve"> </w:t>
            </w:r>
            <w:r>
              <w:rPr>
                <w:spacing w:val="-10"/>
                <w:sz w:val="28"/>
              </w:rPr>
              <w:t>-</w:t>
            </w:r>
          </w:p>
        </w:tc>
        <w:tc>
          <w:tcPr>
            <w:tcW w:w="422" w:type="dxa"/>
          </w:tcPr>
          <w:p w14:paraId="647F4BF6">
            <w:pPr>
              <w:pStyle w:val="13"/>
              <w:ind w:right="68"/>
              <w:rPr>
                <w:sz w:val="28"/>
              </w:rPr>
            </w:pPr>
            <w:r>
              <w:rPr>
                <w:spacing w:val="-5"/>
                <w:sz w:val="28"/>
              </w:rPr>
              <w:t>78</w:t>
            </w:r>
          </w:p>
        </w:tc>
        <w:tc>
          <w:tcPr>
            <w:tcW w:w="263" w:type="dxa"/>
          </w:tcPr>
          <w:p w14:paraId="029216CE">
            <w:pPr>
              <w:pStyle w:val="13"/>
              <w:ind w:left="17"/>
              <w:jc w:val="center"/>
              <w:rPr>
                <w:sz w:val="28"/>
              </w:rPr>
            </w:pPr>
            <w:r>
              <w:rPr>
                <w:sz w:val="28"/>
              </w:rPr>
              <w:t>-</w:t>
            </w:r>
          </w:p>
        </w:tc>
      </w:tr>
      <w:tr w14:paraId="00867CE3">
        <w:tblPrEx>
          <w:tblCellMar>
            <w:top w:w="0" w:type="dxa"/>
            <w:left w:w="0" w:type="dxa"/>
            <w:bottom w:w="0" w:type="dxa"/>
            <w:right w:w="0" w:type="dxa"/>
          </w:tblCellMar>
        </w:tblPrEx>
        <w:trPr>
          <w:trHeight w:val="623" w:hRule="atLeast"/>
        </w:trPr>
        <w:tc>
          <w:tcPr>
            <w:tcW w:w="8433" w:type="dxa"/>
          </w:tcPr>
          <w:p w14:paraId="3964EBEE">
            <w:pPr>
              <w:pStyle w:val="13"/>
              <w:tabs>
                <w:tab w:val="left" w:leader="dot" w:pos="7135"/>
              </w:tabs>
              <w:spacing w:before="147"/>
              <w:ind w:right="66"/>
              <w:rPr>
                <w:sz w:val="28"/>
              </w:rPr>
            </w:pPr>
            <w:r>
              <w:rPr>
                <w:spacing w:val="11"/>
                <w:sz w:val="28"/>
              </w:rPr>
              <w:t>第</w:t>
            </w:r>
            <w:r>
              <w:rPr>
                <w:sz w:val="28"/>
              </w:rPr>
              <w:t>二节</w:t>
            </w:r>
            <w:r>
              <w:rPr>
                <w:spacing w:val="34"/>
                <w:sz w:val="28"/>
              </w:rPr>
              <w:t xml:space="preserve">  </w:t>
            </w:r>
            <w:r>
              <w:rPr>
                <w:spacing w:val="11"/>
                <w:sz w:val="28"/>
              </w:rPr>
              <w:t>全</w:t>
            </w:r>
            <w:r>
              <w:rPr>
                <w:sz w:val="28"/>
              </w:rPr>
              <w:t>面</w:t>
            </w:r>
            <w:r>
              <w:rPr>
                <w:spacing w:val="11"/>
                <w:sz w:val="28"/>
              </w:rPr>
              <w:t>提升</w:t>
            </w:r>
            <w:r>
              <w:rPr>
                <w:sz w:val="28"/>
              </w:rPr>
              <w:t>市</w:t>
            </w:r>
            <w:r>
              <w:rPr>
                <w:spacing w:val="11"/>
                <w:sz w:val="28"/>
              </w:rPr>
              <w:t>政基</w:t>
            </w:r>
            <w:r>
              <w:rPr>
                <w:sz w:val="28"/>
              </w:rPr>
              <w:t>础</w:t>
            </w:r>
            <w:r>
              <w:rPr>
                <w:spacing w:val="11"/>
                <w:sz w:val="28"/>
              </w:rPr>
              <w:t>设</w:t>
            </w:r>
            <w:r>
              <w:rPr>
                <w:spacing w:val="-10"/>
                <w:sz w:val="28"/>
              </w:rPr>
              <w:t>施</w:t>
            </w:r>
            <w:r>
              <w:rPr>
                <w:rFonts w:ascii="Times New Roman" w:eastAsia="Times New Roman"/>
                <w:sz w:val="28"/>
              </w:rPr>
              <w:tab/>
            </w:r>
            <w:r>
              <w:rPr>
                <w:rFonts w:ascii="Times New Roman" w:eastAsia="Times New Roman"/>
                <w:position w:val="2"/>
                <w:sz w:val="28"/>
              </w:rPr>
              <w:t>..</w:t>
            </w:r>
            <w:r>
              <w:rPr>
                <w:rFonts w:ascii="Times New Roman" w:eastAsia="Times New Roman"/>
                <w:spacing w:val="-15"/>
                <w:position w:val="2"/>
                <w:sz w:val="28"/>
              </w:rPr>
              <w:t xml:space="preserve"> </w:t>
            </w:r>
            <w:r>
              <w:rPr>
                <w:spacing w:val="-10"/>
                <w:sz w:val="28"/>
              </w:rPr>
              <w:t>-</w:t>
            </w:r>
          </w:p>
        </w:tc>
        <w:tc>
          <w:tcPr>
            <w:tcW w:w="422" w:type="dxa"/>
          </w:tcPr>
          <w:p w14:paraId="6FBBD1D7">
            <w:pPr>
              <w:pStyle w:val="13"/>
              <w:ind w:right="68"/>
              <w:rPr>
                <w:sz w:val="28"/>
              </w:rPr>
            </w:pPr>
            <w:r>
              <w:rPr>
                <w:spacing w:val="-5"/>
                <w:sz w:val="28"/>
              </w:rPr>
              <w:t>80</w:t>
            </w:r>
          </w:p>
        </w:tc>
        <w:tc>
          <w:tcPr>
            <w:tcW w:w="263" w:type="dxa"/>
          </w:tcPr>
          <w:p w14:paraId="136E10C8">
            <w:pPr>
              <w:pStyle w:val="13"/>
              <w:ind w:left="17"/>
              <w:jc w:val="center"/>
              <w:rPr>
                <w:sz w:val="28"/>
              </w:rPr>
            </w:pPr>
            <w:r>
              <w:rPr>
                <w:sz w:val="28"/>
              </w:rPr>
              <w:t>-</w:t>
            </w:r>
          </w:p>
        </w:tc>
      </w:tr>
      <w:tr w14:paraId="33518A5C">
        <w:tblPrEx>
          <w:tblCellMar>
            <w:top w:w="0" w:type="dxa"/>
            <w:left w:w="0" w:type="dxa"/>
            <w:bottom w:w="0" w:type="dxa"/>
            <w:right w:w="0" w:type="dxa"/>
          </w:tblCellMar>
        </w:tblPrEx>
        <w:trPr>
          <w:trHeight w:val="624" w:hRule="atLeast"/>
        </w:trPr>
        <w:tc>
          <w:tcPr>
            <w:tcW w:w="8433" w:type="dxa"/>
          </w:tcPr>
          <w:p w14:paraId="4271B4BB">
            <w:pPr>
              <w:pStyle w:val="13"/>
              <w:tabs>
                <w:tab w:val="left" w:leader="dot" w:pos="7135"/>
              </w:tabs>
              <w:spacing w:before="147"/>
              <w:ind w:right="66"/>
              <w:rPr>
                <w:sz w:val="28"/>
              </w:rPr>
            </w:pPr>
            <w:r>
              <w:rPr>
                <w:spacing w:val="11"/>
                <w:sz w:val="28"/>
              </w:rPr>
              <w:t>第</w:t>
            </w:r>
            <w:r>
              <w:rPr>
                <w:sz w:val="28"/>
              </w:rPr>
              <w:t>三节</w:t>
            </w:r>
            <w:r>
              <w:rPr>
                <w:spacing w:val="34"/>
                <w:sz w:val="28"/>
              </w:rPr>
              <w:t xml:space="preserve">  </w:t>
            </w:r>
            <w:r>
              <w:rPr>
                <w:spacing w:val="11"/>
                <w:sz w:val="28"/>
              </w:rPr>
              <w:t>完</w:t>
            </w:r>
            <w:r>
              <w:rPr>
                <w:sz w:val="28"/>
              </w:rPr>
              <w:t>善</w:t>
            </w:r>
            <w:r>
              <w:rPr>
                <w:spacing w:val="11"/>
                <w:sz w:val="28"/>
              </w:rPr>
              <w:t>高效</w:t>
            </w:r>
            <w:r>
              <w:rPr>
                <w:sz w:val="28"/>
              </w:rPr>
              <w:t>衔</w:t>
            </w:r>
            <w:r>
              <w:rPr>
                <w:spacing w:val="11"/>
                <w:sz w:val="28"/>
              </w:rPr>
              <w:t>接区</w:t>
            </w:r>
            <w:r>
              <w:rPr>
                <w:sz w:val="28"/>
              </w:rPr>
              <w:t>域</w:t>
            </w:r>
            <w:r>
              <w:rPr>
                <w:spacing w:val="11"/>
                <w:sz w:val="28"/>
              </w:rPr>
              <w:t>路</w:t>
            </w:r>
            <w:r>
              <w:rPr>
                <w:spacing w:val="-10"/>
                <w:sz w:val="28"/>
              </w:rPr>
              <w:t>网</w:t>
            </w:r>
            <w:r>
              <w:rPr>
                <w:rFonts w:ascii="Times New Roman" w:eastAsia="Times New Roman"/>
                <w:sz w:val="28"/>
              </w:rPr>
              <w:tab/>
            </w:r>
            <w:r>
              <w:rPr>
                <w:rFonts w:ascii="Times New Roman" w:eastAsia="Times New Roman"/>
                <w:position w:val="2"/>
                <w:sz w:val="28"/>
              </w:rPr>
              <w:t>..</w:t>
            </w:r>
            <w:r>
              <w:rPr>
                <w:rFonts w:ascii="Times New Roman" w:eastAsia="Times New Roman"/>
                <w:spacing w:val="-15"/>
                <w:position w:val="2"/>
                <w:sz w:val="28"/>
              </w:rPr>
              <w:t xml:space="preserve"> </w:t>
            </w:r>
            <w:r>
              <w:rPr>
                <w:spacing w:val="-10"/>
                <w:sz w:val="28"/>
              </w:rPr>
              <w:t>-</w:t>
            </w:r>
          </w:p>
        </w:tc>
        <w:tc>
          <w:tcPr>
            <w:tcW w:w="422" w:type="dxa"/>
          </w:tcPr>
          <w:p w14:paraId="1F2F407B">
            <w:pPr>
              <w:pStyle w:val="13"/>
              <w:ind w:right="68"/>
              <w:rPr>
                <w:sz w:val="28"/>
              </w:rPr>
            </w:pPr>
            <w:r>
              <w:rPr>
                <w:spacing w:val="-5"/>
                <w:sz w:val="28"/>
              </w:rPr>
              <w:t>81</w:t>
            </w:r>
          </w:p>
        </w:tc>
        <w:tc>
          <w:tcPr>
            <w:tcW w:w="263" w:type="dxa"/>
          </w:tcPr>
          <w:p w14:paraId="72C965C1">
            <w:pPr>
              <w:pStyle w:val="13"/>
              <w:ind w:left="17"/>
              <w:jc w:val="center"/>
              <w:rPr>
                <w:sz w:val="28"/>
              </w:rPr>
            </w:pPr>
            <w:r>
              <w:rPr>
                <w:sz w:val="28"/>
              </w:rPr>
              <w:t>-</w:t>
            </w:r>
          </w:p>
        </w:tc>
      </w:tr>
      <w:tr w14:paraId="40851CE0">
        <w:tblPrEx>
          <w:tblCellMar>
            <w:top w:w="0" w:type="dxa"/>
            <w:left w:w="0" w:type="dxa"/>
            <w:bottom w:w="0" w:type="dxa"/>
            <w:right w:w="0" w:type="dxa"/>
          </w:tblCellMar>
        </w:tblPrEx>
        <w:trPr>
          <w:trHeight w:val="623" w:hRule="atLeast"/>
        </w:trPr>
        <w:tc>
          <w:tcPr>
            <w:tcW w:w="8433" w:type="dxa"/>
          </w:tcPr>
          <w:p w14:paraId="5A35BEF7">
            <w:pPr>
              <w:pStyle w:val="13"/>
              <w:tabs>
                <w:tab w:val="left" w:leader="dot" w:pos="7966"/>
              </w:tabs>
              <w:spacing w:before="147"/>
              <w:ind w:right="73"/>
              <w:rPr>
                <w:b/>
                <w:sz w:val="28"/>
              </w:rPr>
            </w:pPr>
            <w:r>
              <w:rPr>
                <w:b/>
                <w:sz w:val="28"/>
              </w:rPr>
              <w:t>第五篇</w:t>
            </w:r>
            <w:r>
              <w:rPr>
                <w:b/>
                <w:spacing w:val="77"/>
                <w:sz w:val="28"/>
              </w:rPr>
              <w:t xml:space="preserve"> </w:t>
            </w:r>
            <w:r>
              <w:rPr>
                <w:b/>
                <w:sz w:val="28"/>
              </w:rPr>
              <w:t>推动绿色发展，打造生态园林化城</w:t>
            </w:r>
            <w:r>
              <w:rPr>
                <w:b/>
                <w:spacing w:val="-10"/>
                <w:sz w:val="28"/>
              </w:rPr>
              <w:t>区</w:t>
            </w:r>
            <w:r>
              <w:rPr>
                <w:rFonts w:ascii="Times New Roman" w:eastAsia="Times New Roman"/>
                <w:sz w:val="28"/>
              </w:rPr>
              <w:tab/>
            </w:r>
            <w:r>
              <w:rPr>
                <w:rFonts w:ascii="Times New Roman" w:eastAsia="Times New Roman"/>
                <w:b/>
                <w:position w:val="2"/>
                <w:sz w:val="28"/>
              </w:rPr>
              <w:t>..</w:t>
            </w:r>
            <w:r>
              <w:rPr>
                <w:rFonts w:ascii="Times New Roman" w:eastAsia="Times New Roman"/>
                <w:b/>
                <w:spacing w:val="-13"/>
                <w:position w:val="2"/>
                <w:sz w:val="28"/>
              </w:rPr>
              <w:t xml:space="preserve"> </w:t>
            </w:r>
            <w:r>
              <w:rPr>
                <w:b/>
                <w:spacing w:val="-10"/>
                <w:sz w:val="28"/>
              </w:rPr>
              <w:t>-</w:t>
            </w:r>
          </w:p>
        </w:tc>
        <w:tc>
          <w:tcPr>
            <w:tcW w:w="422" w:type="dxa"/>
          </w:tcPr>
          <w:p w14:paraId="5AEBF7E0">
            <w:pPr>
              <w:pStyle w:val="13"/>
              <w:ind w:right="70"/>
              <w:rPr>
                <w:b/>
                <w:sz w:val="28"/>
              </w:rPr>
            </w:pPr>
            <w:r>
              <w:rPr>
                <w:b/>
                <w:spacing w:val="-5"/>
                <w:sz w:val="28"/>
              </w:rPr>
              <w:t>84</w:t>
            </w:r>
          </w:p>
        </w:tc>
        <w:tc>
          <w:tcPr>
            <w:tcW w:w="263" w:type="dxa"/>
          </w:tcPr>
          <w:p w14:paraId="299126AA">
            <w:pPr>
              <w:pStyle w:val="13"/>
              <w:ind w:left="13"/>
              <w:jc w:val="center"/>
              <w:rPr>
                <w:b/>
                <w:sz w:val="28"/>
              </w:rPr>
            </w:pPr>
            <w:r>
              <w:rPr>
                <w:b/>
                <w:w w:val="99"/>
                <w:sz w:val="28"/>
              </w:rPr>
              <w:t>-</w:t>
            </w:r>
          </w:p>
        </w:tc>
      </w:tr>
      <w:tr w14:paraId="13944B5D">
        <w:tblPrEx>
          <w:tblCellMar>
            <w:top w:w="0" w:type="dxa"/>
            <w:left w:w="0" w:type="dxa"/>
            <w:bottom w:w="0" w:type="dxa"/>
            <w:right w:w="0" w:type="dxa"/>
          </w:tblCellMar>
        </w:tblPrEx>
        <w:trPr>
          <w:trHeight w:val="624" w:hRule="atLeast"/>
        </w:trPr>
        <w:tc>
          <w:tcPr>
            <w:tcW w:w="8433" w:type="dxa"/>
          </w:tcPr>
          <w:p w14:paraId="4DB1A467">
            <w:pPr>
              <w:pStyle w:val="13"/>
              <w:tabs>
                <w:tab w:val="left" w:leader="dot" w:pos="7590"/>
              </w:tabs>
              <w:spacing w:before="147"/>
              <w:ind w:right="70"/>
              <w:rPr>
                <w:b/>
                <w:sz w:val="28"/>
              </w:rPr>
            </w:pPr>
            <w:r>
              <w:rPr>
                <w:b/>
                <w:sz w:val="28"/>
              </w:rPr>
              <w:t>第七章</w:t>
            </w:r>
            <w:r>
              <w:rPr>
                <w:b/>
                <w:spacing w:val="97"/>
                <w:sz w:val="28"/>
              </w:rPr>
              <w:t xml:space="preserve"> </w:t>
            </w:r>
            <w:r>
              <w:rPr>
                <w:b/>
                <w:sz w:val="28"/>
              </w:rPr>
              <w:t>全面优化生态空间格</w:t>
            </w:r>
            <w:r>
              <w:rPr>
                <w:b/>
                <w:spacing w:val="-10"/>
                <w:sz w:val="28"/>
              </w:rPr>
              <w:t>局</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422" w:type="dxa"/>
          </w:tcPr>
          <w:p w14:paraId="32FCD3E4">
            <w:pPr>
              <w:pStyle w:val="13"/>
              <w:ind w:right="70"/>
              <w:rPr>
                <w:b/>
                <w:sz w:val="28"/>
              </w:rPr>
            </w:pPr>
            <w:r>
              <w:rPr>
                <w:b/>
                <w:spacing w:val="-5"/>
                <w:sz w:val="28"/>
              </w:rPr>
              <w:t>84</w:t>
            </w:r>
          </w:p>
        </w:tc>
        <w:tc>
          <w:tcPr>
            <w:tcW w:w="263" w:type="dxa"/>
          </w:tcPr>
          <w:p w14:paraId="2859AED1">
            <w:pPr>
              <w:pStyle w:val="13"/>
              <w:ind w:left="17"/>
              <w:jc w:val="center"/>
              <w:rPr>
                <w:b/>
                <w:sz w:val="28"/>
              </w:rPr>
            </w:pPr>
            <w:r>
              <w:rPr>
                <w:b/>
                <w:w w:val="99"/>
                <w:sz w:val="28"/>
              </w:rPr>
              <w:t>-</w:t>
            </w:r>
          </w:p>
        </w:tc>
      </w:tr>
      <w:tr w14:paraId="0C727063">
        <w:tblPrEx>
          <w:tblCellMar>
            <w:top w:w="0" w:type="dxa"/>
            <w:left w:w="0" w:type="dxa"/>
            <w:bottom w:w="0" w:type="dxa"/>
            <w:right w:w="0" w:type="dxa"/>
          </w:tblCellMar>
        </w:tblPrEx>
        <w:trPr>
          <w:trHeight w:val="623" w:hRule="atLeast"/>
        </w:trPr>
        <w:tc>
          <w:tcPr>
            <w:tcW w:w="8433" w:type="dxa"/>
          </w:tcPr>
          <w:p w14:paraId="3B1BF48B">
            <w:pPr>
              <w:pStyle w:val="13"/>
              <w:tabs>
                <w:tab w:val="left" w:leader="dot" w:pos="7135"/>
              </w:tabs>
              <w:spacing w:before="147"/>
              <w:ind w:right="66"/>
              <w:rPr>
                <w:sz w:val="28"/>
              </w:rPr>
            </w:pPr>
            <w:r>
              <w:rPr>
                <w:spacing w:val="11"/>
                <w:sz w:val="28"/>
              </w:rPr>
              <w:t>第</w:t>
            </w:r>
            <w:r>
              <w:rPr>
                <w:sz w:val="28"/>
              </w:rPr>
              <w:t>一节</w:t>
            </w:r>
            <w:r>
              <w:rPr>
                <w:spacing w:val="34"/>
                <w:sz w:val="28"/>
              </w:rPr>
              <w:t xml:space="preserve">  </w:t>
            </w:r>
            <w:r>
              <w:rPr>
                <w:spacing w:val="11"/>
                <w:sz w:val="28"/>
              </w:rPr>
              <w:t>落</w:t>
            </w:r>
            <w:r>
              <w:rPr>
                <w:sz w:val="28"/>
              </w:rPr>
              <w:t>实</w:t>
            </w:r>
            <w:r>
              <w:rPr>
                <w:spacing w:val="11"/>
                <w:sz w:val="28"/>
              </w:rPr>
              <w:t>国土</w:t>
            </w:r>
            <w:r>
              <w:rPr>
                <w:sz w:val="28"/>
              </w:rPr>
              <w:t>空</w:t>
            </w:r>
            <w:r>
              <w:rPr>
                <w:spacing w:val="11"/>
                <w:sz w:val="28"/>
              </w:rPr>
              <w:t>间开</w:t>
            </w:r>
            <w:r>
              <w:rPr>
                <w:sz w:val="28"/>
              </w:rPr>
              <w:t>发</w:t>
            </w:r>
            <w:r>
              <w:rPr>
                <w:spacing w:val="11"/>
                <w:sz w:val="28"/>
              </w:rPr>
              <w:t>规</w:t>
            </w:r>
            <w:r>
              <w:rPr>
                <w:spacing w:val="-10"/>
                <w:sz w:val="28"/>
              </w:rPr>
              <w:t>划</w:t>
            </w:r>
            <w:r>
              <w:rPr>
                <w:rFonts w:ascii="Times New Roman" w:eastAsia="Times New Roman"/>
                <w:sz w:val="28"/>
              </w:rPr>
              <w:tab/>
            </w:r>
            <w:r>
              <w:rPr>
                <w:rFonts w:ascii="Times New Roman" w:eastAsia="Times New Roman"/>
                <w:position w:val="2"/>
                <w:sz w:val="28"/>
              </w:rPr>
              <w:t>..</w:t>
            </w:r>
            <w:r>
              <w:rPr>
                <w:rFonts w:ascii="Times New Roman" w:eastAsia="Times New Roman"/>
                <w:spacing w:val="-15"/>
                <w:position w:val="2"/>
                <w:sz w:val="28"/>
              </w:rPr>
              <w:t xml:space="preserve"> </w:t>
            </w:r>
            <w:r>
              <w:rPr>
                <w:spacing w:val="-10"/>
                <w:sz w:val="28"/>
              </w:rPr>
              <w:t>-</w:t>
            </w:r>
          </w:p>
        </w:tc>
        <w:tc>
          <w:tcPr>
            <w:tcW w:w="422" w:type="dxa"/>
          </w:tcPr>
          <w:p w14:paraId="3A815675">
            <w:pPr>
              <w:pStyle w:val="13"/>
              <w:ind w:right="68"/>
              <w:rPr>
                <w:sz w:val="28"/>
              </w:rPr>
            </w:pPr>
            <w:r>
              <w:rPr>
                <w:spacing w:val="-5"/>
                <w:sz w:val="28"/>
              </w:rPr>
              <w:t>84</w:t>
            </w:r>
          </w:p>
        </w:tc>
        <w:tc>
          <w:tcPr>
            <w:tcW w:w="263" w:type="dxa"/>
          </w:tcPr>
          <w:p w14:paraId="0EDE97CE">
            <w:pPr>
              <w:pStyle w:val="13"/>
              <w:ind w:left="17"/>
              <w:jc w:val="center"/>
              <w:rPr>
                <w:sz w:val="28"/>
              </w:rPr>
            </w:pPr>
            <w:r>
              <w:rPr>
                <w:sz w:val="28"/>
              </w:rPr>
              <w:t>-</w:t>
            </w:r>
          </w:p>
        </w:tc>
      </w:tr>
      <w:tr w14:paraId="357D3B24">
        <w:tblPrEx>
          <w:tblCellMar>
            <w:top w:w="0" w:type="dxa"/>
            <w:left w:w="0" w:type="dxa"/>
            <w:bottom w:w="0" w:type="dxa"/>
            <w:right w:w="0" w:type="dxa"/>
          </w:tblCellMar>
        </w:tblPrEx>
        <w:trPr>
          <w:trHeight w:val="624" w:hRule="atLeast"/>
        </w:trPr>
        <w:tc>
          <w:tcPr>
            <w:tcW w:w="8433" w:type="dxa"/>
          </w:tcPr>
          <w:p w14:paraId="1D4E426F">
            <w:pPr>
              <w:pStyle w:val="13"/>
              <w:tabs>
                <w:tab w:val="left" w:leader="dot" w:pos="7135"/>
              </w:tabs>
              <w:spacing w:before="147"/>
              <w:ind w:right="66"/>
              <w:rPr>
                <w:sz w:val="28"/>
              </w:rPr>
            </w:pPr>
            <w:r>
              <w:rPr>
                <w:spacing w:val="11"/>
                <w:sz w:val="28"/>
              </w:rPr>
              <w:t>第</w:t>
            </w:r>
            <w:r>
              <w:rPr>
                <w:sz w:val="28"/>
              </w:rPr>
              <w:t>二节</w:t>
            </w:r>
            <w:r>
              <w:rPr>
                <w:spacing w:val="34"/>
                <w:sz w:val="28"/>
              </w:rPr>
              <w:t xml:space="preserve">  </w:t>
            </w:r>
            <w:r>
              <w:rPr>
                <w:spacing w:val="11"/>
                <w:sz w:val="28"/>
              </w:rPr>
              <w:t>加</w:t>
            </w:r>
            <w:r>
              <w:rPr>
                <w:sz w:val="28"/>
              </w:rPr>
              <w:t>快</w:t>
            </w:r>
            <w:r>
              <w:rPr>
                <w:spacing w:val="11"/>
                <w:sz w:val="28"/>
              </w:rPr>
              <w:t>形成</w:t>
            </w:r>
            <w:r>
              <w:rPr>
                <w:sz w:val="28"/>
              </w:rPr>
              <w:t>整</w:t>
            </w:r>
            <w:r>
              <w:rPr>
                <w:spacing w:val="11"/>
                <w:sz w:val="28"/>
              </w:rPr>
              <w:t>体生</w:t>
            </w:r>
            <w:r>
              <w:rPr>
                <w:sz w:val="28"/>
              </w:rPr>
              <w:t>态</w:t>
            </w:r>
            <w:r>
              <w:rPr>
                <w:spacing w:val="11"/>
                <w:sz w:val="28"/>
              </w:rPr>
              <w:t>系</w:t>
            </w:r>
            <w:r>
              <w:rPr>
                <w:spacing w:val="-10"/>
                <w:sz w:val="28"/>
              </w:rPr>
              <w:t>统</w:t>
            </w:r>
            <w:r>
              <w:rPr>
                <w:rFonts w:ascii="Times New Roman" w:eastAsia="Times New Roman"/>
                <w:sz w:val="28"/>
              </w:rPr>
              <w:tab/>
            </w:r>
            <w:r>
              <w:rPr>
                <w:rFonts w:ascii="Times New Roman" w:eastAsia="Times New Roman"/>
                <w:position w:val="2"/>
                <w:sz w:val="28"/>
              </w:rPr>
              <w:t>..</w:t>
            </w:r>
            <w:r>
              <w:rPr>
                <w:rFonts w:ascii="Times New Roman" w:eastAsia="Times New Roman"/>
                <w:spacing w:val="-15"/>
                <w:position w:val="2"/>
                <w:sz w:val="28"/>
              </w:rPr>
              <w:t xml:space="preserve"> </w:t>
            </w:r>
            <w:r>
              <w:rPr>
                <w:spacing w:val="-10"/>
                <w:sz w:val="28"/>
              </w:rPr>
              <w:t>-</w:t>
            </w:r>
          </w:p>
        </w:tc>
        <w:tc>
          <w:tcPr>
            <w:tcW w:w="422" w:type="dxa"/>
          </w:tcPr>
          <w:p w14:paraId="5E576634">
            <w:pPr>
              <w:pStyle w:val="13"/>
              <w:ind w:right="68"/>
              <w:rPr>
                <w:sz w:val="28"/>
              </w:rPr>
            </w:pPr>
            <w:r>
              <w:rPr>
                <w:spacing w:val="-5"/>
                <w:sz w:val="28"/>
              </w:rPr>
              <w:t>85</w:t>
            </w:r>
          </w:p>
        </w:tc>
        <w:tc>
          <w:tcPr>
            <w:tcW w:w="263" w:type="dxa"/>
          </w:tcPr>
          <w:p w14:paraId="59F8B67A">
            <w:pPr>
              <w:pStyle w:val="13"/>
              <w:ind w:left="17"/>
              <w:jc w:val="center"/>
              <w:rPr>
                <w:sz w:val="28"/>
              </w:rPr>
            </w:pPr>
            <w:r>
              <w:rPr>
                <w:sz w:val="28"/>
              </w:rPr>
              <w:t>-</w:t>
            </w:r>
          </w:p>
        </w:tc>
      </w:tr>
      <w:tr w14:paraId="65EDD172">
        <w:tblPrEx>
          <w:tblCellMar>
            <w:top w:w="0" w:type="dxa"/>
            <w:left w:w="0" w:type="dxa"/>
            <w:bottom w:w="0" w:type="dxa"/>
            <w:right w:w="0" w:type="dxa"/>
          </w:tblCellMar>
        </w:tblPrEx>
        <w:trPr>
          <w:trHeight w:val="624" w:hRule="atLeast"/>
        </w:trPr>
        <w:tc>
          <w:tcPr>
            <w:tcW w:w="8433" w:type="dxa"/>
          </w:tcPr>
          <w:p w14:paraId="20529F3C">
            <w:pPr>
              <w:pStyle w:val="13"/>
              <w:tabs>
                <w:tab w:val="left" w:leader="dot" w:pos="7135"/>
              </w:tabs>
              <w:spacing w:before="147"/>
              <w:ind w:right="66"/>
              <w:rPr>
                <w:sz w:val="28"/>
              </w:rPr>
            </w:pPr>
            <w:r>
              <w:rPr>
                <w:spacing w:val="11"/>
                <w:sz w:val="28"/>
              </w:rPr>
              <w:t>第</w:t>
            </w:r>
            <w:r>
              <w:rPr>
                <w:sz w:val="28"/>
              </w:rPr>
              <w:t>三节</w:t>
            </w:r>
            <w:r>
              <w:rPr>
                <w:spacing w:val="34"/>
                <w:sz w:val="28"/>
              </w:rPr>
              <w:t xml:space="preserve">  </w:t>
            </w:r>
            <w:r>
              <w:rPr>
                <w:spacing w:val="11"/>
                <w:sz w:val="28"/>
              </w:rPr>
              <w:t>构</w:t>
            </w:r>
            <w:r>
              <w:rPr>
                <w:sz w:val="28"/>
              </w:rPr>
              <w:t>建</w:t>
            </w:r>
            <w:r>
              <w:rPr>
                <w:spacing w:val="11"/>
                <w:sz w:val="28"/>
              </w:rPr>
              <w:t>美丽</w:t>
            </w:r>
            <w:r>
              <w:rPr>
                <w:sz w:val="28"/>
              </w:rPr>
              <w:t>宜</w:t>
            </w:r>
            <w:r>
              <w:rPr>
                <w:spacing w:val="11"/>
                <w:sz w:val="28"/>
              </w:rPr>
              <w:t>居公</w:t>
            </w:r>
            <w:r>
              <w:rPr>
                <w:sz w:val="28"/>
              </w:rPr>
              <w:t>园</w:t>
            </w:r>
            <w:r>
              <w:rPr>
                <w:spacing w:val="11"/>
                <w:sz w:val="28"/>
              </w:rPr>
              <w:t>城</w:t>
            </w:r>
            <w:r>
              <w:rPr>
                <w:spacing w:val="-10"/>
                <w:sz w:val="28"/>
              </w:rPr>
              <w:t>区</w:t>
            </w:r>
            <w:r>
              <w:rPr>
                <w:rFonts w:ascii="Times New Roman" w:eastAsia="Times New Roman"/>
                <w:sz w:val="28"/>
              </w:rPr>
              <w:tab/>
            </w:r>
            <w:r>
              <w:rPr>
                <w:rFonts w:ascii="Times New Roman" w:eastAsia="Times New Roman"/>
                <w:position w:val="2"/>
                <w:sz w:val="28"/>
              </w:rPr>
              <w:t>..</w:t>
            </w:r>
            <w:r>
              <w:rPr>
                <w:rFonts w:ascii="Times New Roman" w:eastAsia="Times New Roman"/>
                <w:spacing w:val="-15"/>
                <w:position w:val="2"/>
                <w:sz w:val="28"/>
              </w:rPr>
              <w:t xml:space="preserve"> </w:t>
            </w:r>
            <w:r>
              <w:rPr>
                <w:spacing w:val="-10"/>
                <w:sz w:val="28"/>
              </w:rPr>
              <w:t>-</w:t>
            </w:r>
          </w:p>
        </w:tc>
        <w:tc>
          <w:tcPr>
            <w:tcW w:w="422" w:type="dxa"/>
          </w:tcPr>
          <w:p w14:paraId="1CB37B65">
            <w:pPr>
              <w:pStyle w:val="13"/>
              <w:ind w:right="68"/>
              <w:rPr>
                <w:sz w:val="28"/>
              </w:rPr>
            </w:pPr>
            <w:r>
              <w:rPr>
                <w:spacing w:val="-5"/>
                <w:sz w:val="28"/>
              </w:rPr>
              <w:t>85</w:t>
            </w:r>
          </w:p>
        </w:tc>
        <w:tc>
          <w:tcPr>
            <w:tcW w:w="263" w:type="dxa"/>
          </w:tcPr>
          <w:p w14:paraId="2C9186D1">
            <w:pPr>
              <w:pStyle w:val="13"/>
              <w:ind w:left="17"/>
              <w:jc w:val="center"/>
              <w:rPr>
                <w:sz w:val="28"/>
              </w:rPr>
            </w:pPr>
            <w:r>
              <w:rPr>
                <w:sz w:val="28"/>
              </w:rPr>
              <w:t>-</w:t>
            </w:r>
          </w:p>
        </w:tc>
      </w:tr>
      <w:tr w14:paraId="24E95193">
        <w:tblPrEx>
          <w:tblCellMar>
            <w:top w:w="0" w:type="dxa"/>
            <w:left w:w="0" w:type="dxa"/>
            <w:bottom w:w="0" w:type="dxa"/>
            <w:right w:w="0" w:type="dxa"/>
          </w:tblCellMar>
        </w:tblPrEx>
        <w:trPr>
          <w:trHeight w:val="623" w:hRule="atLeast"/>
        </w:trPr>
        <w:tc>
          <w:tcPr>
            <w:tcW w:w="8433" w:type="dxa"/>
          </w:tcPr>
          <w:p w14:paraId="6F88F43A">
            <w:pPr>
              <w:pStyle w:val="13"/>
              <w:tabs>
                <w:tab w:val="left" w:leader="dot" w:pos="7135"/>
              </w:tabs>
              <w:spacing w:before="147"/>
              <w:ind w:right="66"/>
              <w:rPr>
                <w:sz w:val="28"/>
              </w:rPr>
            </w:pPr>
            <w:r>
              <w:rPr>
                <w:spacing w:val="11"/>
                <w:sz w:val="28"/>
              </w:rPr>
              <w:t>第</w:t>
            </w:r>
            <w:r>
              <w:rPr>
                <w:sz w:val="28"/>
              </w:rPr>
              <w:t>四节</w:t>
            </w:r>
            <w:r>
              <w:rPr>
                <w:spacing w:val="34"/>
                <w:sz w:val="28"/>
              </w:rPr>
              <w:t xml:space="preserve">  </w:t>
            </w:r>
            <w:r>
              <w:rPr>
                <w:spacing w:val="11"/>
                <w:sz w:val="28"/>
              </w:rPr>
              <w:t>打</w:t>
            </w:r>
            <w:r>
              <w:rPr>
                <w:sz w:val="28"/>
              </w:rPr>
              <w:t>造</w:t>
            </w:r>
            <w:r>
              <w:rPr>
                <w:spacing w:val="11"/>
                <w:sz w:val="28"/>
              </w:rPr>
              <w:t>宜居</w:t>
            </w:r>
            <w:r>
              <w:rPr>
                <w:sz w:val="28"/>
              </w:rPr>
              <w:t>生</w:t>
            </w:r>
            <w:r>
              <w:rPr>
                <w:spacing w:val="11"/>
                <w:sz w:val="28"/>
              </w:rPr>
              <w:t>态乡</w:t>
            </w:r>
            <w:r>
              <w:rPr>
                <w:sz w:val="28"/>
              </w:rPr>
              <w:t>村</w:t>
            </w:r>
            <w:r>
              <w:rPr>
                <w:spacing w:val="11"/>
                <w:sz w:val="28"/>
              </w:rPr>
              <w:t>空</w:t>
            </w:r>
            <w:r>
              <w:rPr>
                <w:spacing w:val="-10"/>
                <w:sz w:val="28"/>
              </w:rPr>
              <w:t>间</w:t>
            </w:r>
            <w:r>
              <w:rPr>
                <w:rFonts w:ascii="Times New Roman" w:eastAsia="Times New Roman"/>
                <w:sz w:val="28"/>
              </w:rPr>
              <w:tab/>
            </w:r>
            <w:r>
              <w:rPr>
                <w:rFonts w:ascii="Times New Roman" w:eastAsia="Times New Roman"/>
                <w:position w:val="2"/>
                <w:sz w:val="28"/>
              </w:rPr>
              <w:t>..</w:t>
            </w:r>
            <w:r>
              <w:rPr>
                <w:rFonts w:ascii="Times New Roman" w:eastAsia="Times New Roman"/>
                <w:spacing w:val="-15"/>
                <w:position w:val="2"/>
                <w:sz w:val="28"/>
              </w:rPr>
              <w:t xml:space="preserve"> </w:t>
            </w:r>
            <w:r>
              <w:rPr>
                <w:spacing w:val="-10"/>
                <w:sz w:val="28"/>
              </w:rPr>
              <w:t>-</w:t>
            </w:r>
          </w:p>
        </w:tc>
        <w:tc>
          <w:tcPr>
            <w:tcW w:w="422" w:type="dxa"/>
          </w:tcPr>
          <w:p w14:paraId="740E51E6">
            <w:pPr>
              <w:pStyle w:val="13"/>
              <w:ind w:right="68"/>
              <w:rPr>
                <w:sz w:val="28"/>
              </w:rPr>
            </w:pPr>
            <w:r>
              <w:rPr>
                <w:spacing w:val="-5"/>
                <w:sz w:val="28"/>
              </w:rPr>
              <w:t>87</w:t>
            </w:r>
          </w:p>
        </w:tc>
        <w:tc>
          <w:tcPr>
            <w:tcW w:w="263" w:type="dxa"/>
          </w:tcPr>
          <w:p w14:paraId="6468D612">
            <w:pPr>
              <w:pStyle w:val="13"/>
              <w:ind w:left="17"/>
              <w:jc w:val="center"/>
              <w:rPr>
                <w:sz w:val="28"/>
              </w:rPr>
            </w:pPr>
            <w:r>
              <w:rPr>
                <w:sz w:val="28"/>
              </w:rPr>
              <w:t>-</w:t>
            </w:r>
          </w:p>
        </w:tc>
      </w:tr>
      <w:tr w14:paraId="30A7D250">
        <w:tblPrEx>
          <w:tblCellMar>
            <w:top w:w="0" w:type="dxa"/>
            <w:left w:w="0" w:type="dxa"/>
            <w:bottom w:w="0" w:type="dxa"/>
            <w:right w:w="0" w:type="dxa"/>
          </w:tblCellMar>
        </w:tblPrEx>
        <w:trPr>
          <w:trHeight w:val="623" w:hRule="atLeast"/>
        </w:trPr>
        <w:tc>
          <w:tcPr>
            <w:tcW w:w="8433" w:type="dxa"/>
          </w:tcPr>
          <w:p w14:paraId="25EB307F">
            <w:pPr>
              <w:pStyle w:val="13"/>
              <w:tabs>
                <w:tab w:val="left" w:leader="dot" w:pos="7595"/>
              </w:tabs>
              <w:spacing w:before="147"/>
              <w:ind w:right="70"/>
              <w:rPr>
                <w:b/>
                <w:sz w:val="28"/>
              </w:rPr>
            </w:pPr>
            <w:r>
              <w:rPr>
                <w:b/>
                <w:sz w:val="28"/>
              </w:rPr>
              <w:t>第八章</w:t>
            </w:r>
            <w:r>
              <w:rPr>
                <w:b/>
                <w:spacing w:val="93"/>
                <w:sz w:val="28"/>
              </w:rPr>
              <w:t xml:space="preserve"> </w:t>
            </w:r>
            <w:r>
              <w:rPr>
                <w:b/>
                <w:sz w:val="28"/>
              </w:rPr>
              <w:t>纵深推进污染防治攻坚</w:t>
            </w:r>
            <w:r>
              <w:rPr>
                <w:b/>
                <w:spacing w:val="-10"/>
                <w:sz w:val="28"/>
              </w:rPr>
              <w:t>战</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422" w:type="dxa"/>
          </w:tcPr>
          <w:p w14:paraId="4AB0458A">
            <w:pPr>
              <w:pStyle w:val="13"/>
              <w:ind w:right="68"/>
              <w:rPr>
                <w:b/>
                <w:sz w:val="28"/>
              </w:rPr>
            </w:pPr>
            <w:r>
              <w:rPr>
                <w:b/>
                <w:spacing w:val="-5"/>
                <w:sz w:val="28"/>
              </w:rPr>
              <w:t>88</w:t>
            </w:r>
          </w:p>
        </w:tc>
        <w:tc>
          <w:tcPr>
            <w:tcW w:w="263" w:type="dxa"/>
          </w:tcPr>
          <w:p w14:paraId="67688AF5">
            <w:pPr>
              <w:pStyle w:val="13"/>
              <w:ind w:left="17"/>
              <w:jc w:val="center"/>
              <w:rPr>
                <w:b/>
                <w:sz w:val="28"/>
              </w:rPr>
            </w:pPr>
            <w:r>
              <w:rPr>
                <w:b/>
                <w:w w:val="99"/>
                <w:sz w:val="28"/>
              </w:rPr>
              <w:t>-</w:t>
            </w:r>
          </w:p>
        </w:tc>
      </w:tr>
      <w:tr w14:paraId="39139005">
        <w:tblPrEx>
          <w:tblCellMar>
            <w:top w:w="0" w:type="dxa"/>
            <w:left w:w="0" w:type="dxa"/>
            <w:bottom w:w="0" w:type="dxa"/>
            <w:right w:w="0" w:type="dxa"/>
          </w:tblCellMar>
        </w:tblPrEx>
        <w:trPr>
          <w:trHeight w:val="624" w:hRule="atLeast"/>
        </w:trPr>
        <w:tc>
          <w:tcPr>
            <w:tcW w:w="8433" w:type="dxa"/>
          </w:tcPr>
          <w:p w14:paraId="313C23D3">
            <w:pPr>
              <w:pStyle w:val="13"/>
              <w:tabs>
                <w:tab w:val="left" w:leader="dot" w:pos="7135"/>
              </w:tabs>
              <w:spacing w:before="147"/>
              <w:ind w:right="66"/>
              <w:rPr>
                <w:sz w:val="28"/>
              </w:rPr>
            </w:pPr>
            <w:r>
              <w:rPr>
                <w:spacing w:val="11"/>
                <w:sz w:val="28"/>
              </w:rPr>
              <w:t>第</w:t>
            </w:r>
            <w:r>
              <w:rPr>
                <w:sz w:val="28"/>
              </w:rPr>
              <w:t>一节</w:t>
            </w:r>
            <w:r>
              <w:rPr>
                <w:spacing w:val="34"/>
                <w:sz w:val="28"/>
              </w:rPr>
              <w:t xml:space="preserve">  </w:t>
            </w:r>
            <w:r>
              <w:rPr>
                <w:spacing w:val="11"/>
                <w:sz w:val="28"/>
              </w:rPr>
              <w:t>坚</w:t>
            </w:r>
            <w:r>
              <w:rPr>
                <w:sz w:val="28"/>
              </w:rPr>
              <w:t>持</w:t>
            </w:r>
            <w:r>
              <w:rPr>
                <w:spacing w:val="11"/>
                <w:sz w:val="28"/>
              </w:rPr>
              <w:t>空</w:t>
            </w:r>
            <w:r>
              <w:rPr>
                <w:sz w:val="28"/>
              </w:rPr>
              <w:t>气</w:t>
            </w:r>
            <w:r>
              <w:rPr>
                <w:spacing w:val="11"/>
                <w:sz w:val="28"/>
              </w:rPr>
              <w:t>“四</w:t>
            </w:r>
            <w:r>
              <w:rPr>
                <w:sz w:val="28"/>
              </w:rPr>
              <w:t>尘</w:t>
            </w:r>
            <w:r>
              <w:rPr>
                <w:spacing w:val="11"/>
                <w:sz w:val="28"/>
              </w:rPr>
              <w:t>”共</w:t>
            </w:r>
            <w:r>
              <w:rPr>
                <w:spacing w:val="-10"/>
                <w:sz w:val="28"/>
              </w:rPr>
              <w:t>治</w:t>
            </w:r>
            <w:r>
              <w:rPr>
                <w:rFonts w:ascii="Times New Roman" w:hAnsi="Times New Roman" w:eastAsia="Times New Roman"/>
                <w:sz w:val="28"/>
              </w:rPr>
              <w:tab/>
            </w:r>
            <w:r>
              <w:rPr>
                <w:rFonts w:ascii="Times New Roman" w:hAnsi="Times New Roman" w:eastAsia="Times New Roman"/>
                <w:position w:val="2"/>
                <w:sz w:val="28"/>
              </w:rPr>
              <w:t>..</w:t>
            </w:r>
            <w:r>
              <w:rPr>
                <w:rFonts w:ascii="Times New Roman" w:hAnsi="Times New Roman" w:eastAsia="Times New Roman"/>
                <w:spacing w:val="-15"/>
                <w:position w:val="2"/>
                <w:sz w:val="28"/>
              </w:rPr>
              <w:t xml:space="preserve"> </w:t>
            </w:r>
            <w:r>
              <w:rPr>
                <w:spacing w:val="-10"/>
                <w:sz w:val="28"/>
              </w:rPr>
              <w:t>-</w:t>
            </w:r>
          </w:p>
        </w:tc>
        <w:tc>
          <w:tcPr>
            <w:tcW w:w="422" w:type="dxa"/>
          </w:tcPr>
          <w:p w14:paraId="6B372A8B">
            <w:pPr>
              <w:pStyle w:val="13"/>
              <w:ind w:right="68"/>
              <w:rPr>
                <w:sz w:val="28"/>
              </w:rPr>
            </w:pPr>
            <w:r>
              <w:rPr>
                <w:spacing w:val="-5"/>
                <w:sz w:val="28"/>
              </w:rPr>
              <w:t>88</w:t>
            </w:r>
          </w:p>
        </w:tc>
        <w:tc>
          <w:tcPr>
            <w:tcW w:w="263" w:type="dxa"/>
          </w:tcPr>
          <w:p w14:paraId="3E680EFB">
            <w:pPr>
              <w:pStyle w:val="13"/>
              <w:ind w:left="17"/>
              <w:jc w:val="center"/>
              <w:rPr>
                <w:sz w:val="28"/>
              </w:rPr>
            </w:pPr>
            <w:r>
              <w:rPr>
                <w:sz w:val="28"/>
              </w:rPr>
              <w:t>-</w:t>
            </w:r>
          </w:p>
        </w:tc>
      </w:tr>
      <w:tr w14:paraId="53E9815B">
        <w:tblPrEx>
          <w:tblCellMar>
            <w:top w:w="0" w:type="dxa"/>
            <w:left w:w="0" w:type="dxa"/>
            <w:bottom w:w="0" w:type="dxa"/>
            <w:right w:w="0" w:type="dxa"/>
          </w:tblCellMar>
        </w:tblPrEx>
        <w:trPr>
          <w:trHeight w:val="623" w:hRule="atLeast"/>
        </w:trPr>
        <w:tc>
          <w:tcPr>
            <w:tcW w:w="8433" w:type="dxa"/>
          </w:tcPr>
          <w:p w14:paraId="3E88EBAE">
            <w:pPr>
              <w:pStyle w:val="13"/>
              <w:tabs>
                <w:tab w:val="left" w:leader="dot" w:pos="7135"/>
              </w:tabs>
              <w:spacing w:before="147"/>
              <w:ind w:right="66"/>
              <w:rPr>
                <w:sz w:val="28"/>
              </w:rPr>
            </w:pPr>
            <w:r>
              <w:rPr>
                <w:spacing w:val="11"/>
                <w:sz w:val="28"/>
              </w:rPr>
              <w:t>第</w:t>
            </w:r>
            <w:r>
              <w:rPr>
                <w:sz w:val="28"/>
              </w:rPr>
              <w:t>二节</w:t>
            </w:r>
            <w:r>
              <w:rPr>
                <w:spacing w:val="34"/>
                <w:sz w:val="28"/>
              </w:rPr>
              <w:t xml:space="preserve">  </w:t>
            </w:r>
            <w:r>
              <w:rPr>
                <w:spacing w:val="11"/>
                <w:sz w:val="28"/>
              </w:rPr>
              <w:t>坚</w:t>
            </w:r>
            <w:r>
              <w:rPr>
                <w:sz w:val="28"/>
              </w:rPr>
              <w:t>持</w:t>
            </w:r>
            <w:r>
              <w:rPr>
                <w:spacing w:val="11"/>
                <w:sz w:val="28"/>
              </w:rPr>
              <w:t>水</w:t>
            </w:r>
            <w:r>
              <w:rPr>
                <w:sz w:val="28"/>
              </w:rPr>
              <w:t>体</w:t>
            </w:r>
            <w:r>
              <w:rPr>
                <w:spacing w:val="11"/>
                <w:sz w:val="28"/>
              </w:rPr>
              <w:t>“五</w:t>
            </w:r>
            <w:r>
              <w:rPr>
                <w:sz w:val="28"/>
              </w:rPr>
              <w:t>水</w:t>
            </w:r>
            <w:r>
              <w:rPr>
                <w:spacing w:val="11"/>
                <w:sz w:val="28"/>
              </w:rPr>
              <w:t>”同</w:t>
            </w:r>
            <w:r>
              <w:rPr>
                <w:spacing w:val="-10"/>
                <w:sz w:val="28"/>
              </w:rPr>
              <w:t>治</w:t>
            </w:r>
            <w:r>
              <w:rPr>
                <w:rFonts w:ascii="Times New Roman" w:hAnsi="Times New Roman" w:eastAsia="Times New Roman"/>
                <w:sz w:val="28"/>
              </w:rPr>
              <w:tab/>
            </w:r>
            <w:r>
              <w:rPr>
                <w:rFonts w:ascii="Times New Roman" w:hAnsi="Times New Roman" w:eastAsia="Times New Roman"/>
                <w:position w:val="2"/>
                <w:sz w:val="28"/>
              </w:rPr>
              <w:t>..</w:t>
            </w:r>
            <w:r>
              <w:rPr>
                <w:rFonts w:ascii="Times New Roman" w:hAnsi="Times New Roman" w:eastAsia="Times New Roman"/>
                <w:spacing w:val="-15"/>
                <w:position w:val="2"/>
                <w:sz w:val="28"/>
              </w:rPr>
              <w:t xml:space="preserve"> </w:t>
            </w:r>
            <w:r>
              <w:rPr>
                <w:spacing w:val="-10"/>
                <w:sz w:val="28"/>
              </w:rPr>
              <w:t>-</w:t>
            </w:r>
          </w:p>
        </w:tc>
        <w:tc>
          <w:tcPr>
            <w:tcW w:w="422" w:type="dxa"/>
          </w:tcPr>
          <w:p w14:paraId="25C64037">
            <w:pPr>
              <w:pStyle w:val="13"/>
              <w:ind w:right="68"/>
              <w:rPr>
                <w:sz w:val="28"/>
              </w:rPr>
            </w:pPr>
            <w:r>
              <w:rPr>
                <w:spacing w:val="-5"/>
                <w:sz w:val="28"/>
              </w:rPr>
              <w:t>88</w:t>
            </w:r>
          </w:p>
        </w:tc>
        <w:tc>
          <w:tcPr>
            <w:tcW w:w="263" w:type="dxa"/>
          </w:tcPr>
          <w:p w14:paraId="419A34D4">
            <w:pPr>
              <w:pStyle w:val="13"/>
              <w:ind w:left="17"/>
              <w:jc w:val="center"/>
              <w:rPr>
                <w:sz w:val="28"/>
              </w:rPr>
            </w:pPr>
            <w:r>
              <w:rPr>
                <w:sz w:val="28"/>
              </w:rPr>
              <w:t>-</w:t>
            </w:r>
          </w:p>
        </w:tc>
      </w:tr>
      <w:tr w14:paraId="61ED6D1C">
        <w:tblPrEx>
          <w:tblCellMar>
            <w:top w:w="0" w:type="dxa"/>
            <w:left w:w="0" w:type="dxa"/>
            <w:bottom w:w="0" w:type="dxa"/>
            <w:right w:w="0" w:type="dxa"/>
          </w:tblCellMar>
        </w:tblPrEx>
        <w:trPr>
          <w:trHeight w:val="624" w:hRule="atLeast"/>
        </w:trPr>
        <w:tc>
          <w:tcPr>
            <w:tcW w:w="8433" w:type="dxa"/>
          </w:tcPr>
          <w:p w14:paraId="40145FD1">
            <w:pPr>
              <w:pStyle w:val="13"/>
              <w:tabs>
                <w:tab w:val="left" w:leader="dot" w:pos="7135"/>
              </w:tabs>
              <w:spacing w:before="147"/>
              <w:ind w:right="66"/>
              <w:rPr>
                <w:sz w:val="28"/>
              </w:rPr>
            </w:pPr>
            <w:r>
              <w:rPr>
                <w:spacing w:val="11"/>
                <w:sz w:val="28"/>
              </w:rPr>
              <w:t>第</w:t>
            </w:r>
            <w:r>
              <w:rPr>
                <w:sz w:val="28"/>
              </w:rPr>
              <w:t>三节</w:t>
            </w:r>
            <w:r>
              <w:rPr>
                <w:spacing w:val="34"/>
                <w:sz w:val="28"/>
              </w:rPr>
              <w:t xml:space="preserve">  </w:t>
            </w:r>
            <w:r>
              <w:rPr>
                <w:spacing w:val="11"/>
                <w:sz w:val="28"/>
              </w:rPr>
              <w:t>坚</w:t>
            </w:r>
            <w:r>
              <w:rPr>
                <w:sz w:val="28"/>
              </w:rPr>
              <w:t>持</w:t>
            </w:r>
            <w:r>
              <w:rPr>
                <w:spacing w:val="11"/>
                <w:sz w:val="28"/>
              </w:rPr>
              <w:t>土</w:t>
            </w:r>
            <w:r>
              <w:rPr>
                <w:sz w:val="28"/>
              </w:rPr>
              <w:t>壤</w:t>
            </w:r>
            <w:r>
              <w:rPr>
                <w:spacing w:val="11"/>
                <w:sz w:val="28"/>
              </w:rPr>
              <w:t>“六</w:t>
            </w:r>
            <w:r>
              <w:rPr>
                <w:sz w:val="28"/>
              </w:rPr>
              <w:t>废</w:t>
            </w:r>
            <w:r>
              <w:rPr>
                <w:spacing w:val="11"/>
                <w:sz w:val="28"/>
              </w:rPr>
              <w:t>”联</w:t>
            </w:r>
            <w:r>
              <w:rPr>
                <w:spacing w:val="-10"/>
                <w:sz w:val="28"/>
              </w:rPr>
              <w:t>治</w:t>
            </w:r>
            <w:r>
              <w:rPr>
                <w:rFonts w:ascii="Times New Roman" w:hAnsi="Times New Roman" w:eastAsia="Times New Roman"/>
                <w:sz w:val="28"/>
              </w:rPr>
              <w:tab/>
            </w:r>
            <w:r>
              <w:rPr>
                <w:rFonts w:ascii="Times New Roman" w:hAnsi="Times New Roman" w:eastAsia="Times New Roman"/>
                <w:position w:val="2"/>
                <w:sz w:val="28"/>
              </w:rPr>
              <w:t>..</w:t>
            </w:r>
            <w:r>
              <w:rPr>
                <w:rFonts w:ascii="Times New Roman" w:hAnsi="Times New Roman" w:eastAsia="Times New Roman"/>
                <w:spacing w:val="-15"/>
                <w:position w:val="2"/>
                <w:sz w:val="28"/>
              </w:rPr>
              <w:t xml:space="preserve"> </w:t>
            </w:r>
            <w:r>
              <w:rPr>
                <w:spacing w:val="-10"/>
                <w:sz w:val="28"/>
              </w:rPr>
              <w:t>-</w:t>
            </w:r>
          </w:p>
        </w:tc>
        <w:tc>
          <w:tcPr>
            <w:tcW w:w="422" w:type="dxa"/>
          </w:tcPr>
          <w:p w14:paraId="68ACB402">
            <w:pPr>
              <w:pStyle w:val="13"/>
              <w:ind w:right="68"/>
              <w:rPr>
                <w:sz w:val="28"/>
              </w:rPr>
            </w:pPr>
            <w:r>
              <w:rPr>
                <w:spacing w:val="-5"/>
                <w:sz w:val="28"/>
              </w:rPr>
              <w:t>89</w:t>
            </w:r>
          </w:p>
        </w:tc>
        <w:tc>
          <w:tcPr>
            <w:tcW w:w="263" w:type="dxa"/>
          </w:tcPr>
          <w:p w14:paraId="44829DD2">
            <w:pPr>
              <w:pStyle w:val="13"/>
              <w:ind w:left="17"/>
              <w:jc w:val="center"/>
              <w:rPr>
                <w:sz w:val="28"/>
              </w:rPr>
            </w:pPr>
            <w:r>
              <w:rPr>
                <w:sz w:val="28"/>
              </w:rPr>
              <w:t>-</w:t>
            </w:r>
          </w:p>
        </w:tc>
      </w:tr>
      <w:tr w14:paraId="5632C425">
        <w:tblPrEx>
          <w:tblCellMar>
            <w:top w:w="0" w:type="dxa"/>
            <w:left w:w="0" w:type="dxa"/>
            <w:bottom w:w="0" w:type="dxa"/>
            <w:right w:w="0" w:type="dxa"/>
          </w:tblCellMar>
        </w:tblPrEx>
        <w:trPr>
          <w:trHeight w:val="623" w:hRule="atLeast"/>
        </w:trPr>
        <w:tc>
          <w:tcPr>
            <w:tcW w:w="8433" w:type="dxa"/>
          </w:tcPr>
          <w:p w14:paraId="6C7FB39F">
            <w:pPr>
              <w:pStyle w:val="13"/>
              <w:tabs>
                <w:tab w:val="left" w:leader="dot" w:pos="7590"/>
              </w:tabs>
              <w:spacing w:before="147"/>
              <w:ind w:right="70"/>
              <w:rPr>
                <w:b/>
                <w:sz w:val="28"/>
              </w:rPr>
            </w:pPr>
            <w:r>
              <w:rPr>
                <w:b/>
                <w:sz w:val="28"/>
              </w:rPr>
              <w:t>第九章</w:t>
            </w:r>
            <w:r>
              <w:rPr>
                <w:b/>
                <w:spacing w:val="97"/>
                <w:sz w:val="28"/>
              </w:rPr>
              <w:t xml:space="preserve"> </w:t>
            </w:r>
            <w:r>
              <w:rPr>
                <w:b/>
                <w:sz w:val="28"/>
              </w:rPr>
              <w:t>倡导绿色生产生活方</w:t>
            </w:r>
            <w:r>
              <w:rPr>
                <w:b/>
                <w:spacing w:val="-10"/>
                <w:sz w:val="28"/>
              </w:rPr>
              <w:t>式</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422" w:type="dxa"/>
          </w:tcPr>
          <w:p w14:paraId="7A1ABC8A">
            <w:pPr>
              <w:pStyle w:val="13"/>
              <w:ind w:right="70"/>
              <w:rPr>
                <w:b/>
                <w:sz w:val="28"/>
              </w:rPr>
            </w:pPr>
            <w:r>
              <w:rPr>
                <w:b/>
                <w:spacing w:val="-5"/>
                <w:sz w:val="28"/>
              </w:rPr>
              <w:t>89</w:t>
            </w:r>
          </w:p>
        </w:tc>
        <w:tc>
          <w:tcPr>
            <w:tcW w:w="263" w:type="dxa"/>
          </w:tcPr>
          <w:p w14:paraId="6EBFFBFB">
            <w:pPr>
              <w:pStyle w:val="13"/>
              <w:ind w:left="17"/>
              <w:jc w:val="center"/>
              <w:rPr>
                <w:b/>
                <w:sz w:val="28"/>
              </w:rPr>
            </w:pPr>
            <w:r>
              <w:rPr>
                <w:b/>
                <w:w w:val="99"/>
                <w:sz w:val="28"/>
              </w:rPr>
              <w:t>-</w:t>
            </w:r>
          </w:p>
        </w:tc>
      </w:tr>
      <w:tr w14:paraId="2018C623">
        <w:tblPrEx>
          <w:tblCellMar>
            <w:top w:w="0" w:type="dxa"/>
            <w:left w:w="0" w:type="dxa"/>
            <w:bottom w:w="0" w:type="dxa"/>
            <w:right w:w="0" w:type="dxa"/>
          </w:tblCellMar>
        </w:tblPrEx>
        <w:trPr>
          <w:trHeight w:val="623" w:hRule="atLeast"/>
        </w:trPr>
        <w:tc>
          <w:tcPr>
            <w:tcW w:w="8433" w:type="dxa"/>
          </w:tcPr>
          <w:p w14:paraId="749B91EF">
            <w:pPr>
              <w:pStyle w:val="13"/>
              <w:tabs>
                <w:tab w:val="left" w:leader="dot" w:pos="7154"/>
              </w:tabs>
              <w:spacing w:before="147"/>
              <w:ind w:right="66"/>
              <w:rPr>
                <w:sz w:val="28"/>
              </w:rPr>
            </w:pPr>
            <w:r>
              <w:rPr>
                <w:sz w:val="28"/>
              </w:rPr>
              <w:t>第一节</w:t>
            </w:r>
            <w:r>
              <w:rPr>
                <w:spacing w:val="53"/>
                <w:w w:val="150"/>
                <w:sz w:val="28"/>
              </w:rPr>
              <w:t xml:space="preserve"> </w:t>
            </w:r>
            <w:r>
              <w:rPr>
                <w:sz w:val="28"/>
              </w:rPr>
              <w:t>加强资源节约利</w:t>
            </w:r>
            <w:r>
              <w:rPr>
                <w:spacing w:val="-10"/>
                <w:sz w:val="28"/>
              </w:rPr>
              <w:t>用</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30"/>
                <w:position w:val="2"/>
                <w:sz w:val="28"/>
              </w:rPr>
              <w:t xml:space="preserve"> </w:t>
            </w:r>
            <w:r>
              <w:rPr>
                <w:spacing w:val="-10"/>
                <w:sz w:val="28"/>
              </w:rPr>
              <w:t>-</w:t>
            </w:r>
          </w:p>
        </w:tc>
        <w:tc>
          <w:tcPr>
            <w:tcW w:w="422" w:type="dxa"/>
          </w:tcPr>
          <w:p w14:paraId="0F3A7D81">
            <w:pPr>
              <w:pStyle w:val="13"/>
              <w:ind w:right="68"/>
              <w:rPr>
                <w:sz w:val="28"/>
              </w:rPr>
            </w:pPr>
            <w:r>
              <w:rPr>
                <w:spacing w:val="-5"/>
                <w:sz w:val="28"/>
              </w:rPr>
              <w:t>89</w:t>
            </w:r>
          </w:p>
        </w:tc>
        <w:tc>
          <w:tcPr>
            <w:tcW w:w="263" w:type="dxa"/>
          </w:tcPr>
          <w:p w14:paraId="51ED851F">
            <w:pPr>
              <w:pStyle w:val="13"/>
              <w:ind w:left="17"/>
              <w:jc w:val="center"/>
              <w:rPr>
                <w:sz w:val="28"/>
              </w:rPr>
            </w:pPr>
            <w:r>
              <w:rPr>
                <w:sz w:val="28"/>
              </w:rPr>
              <w:t>-</w:t>
            </w:r>
          </w:p>
        </w:tc>
      </w:tr>
      <w:tr w14:paraId="5F00C5D9">
        <w:tblPrEx>
          <w:tblCellMar>
            <w:top w:w="0" w:type="dxa"/>
            <w:left w:w="0" w:type="dxa"/>
            <w:bottom w:w="0" w:type="dxa"/>
            <w:right w:w="0" w:type="dxa"/>
          </w:tblCellMar>
        </w:tblPrEx>
        <w:trPr>
          <w:trHeight w:val="467" w:hRule="atLeast"/>
        </w:trPr>
        <w:tc>
          <w:tcPr>
            <w:tcW w:w="8433" w:type="dxa"/>
          </w:tcPr>
          <w:p w14:paraId="7175F851">
            <w:pPr>
              <w:pStyle w:val="13"/>
              <w:tabs>
                <w:tab w:val="left" w:leader="dot" w:pos="7172"/>
              </w:tabs>
              <w:spacing w:before="145" w:line="303" w:lineRule="exact"/>
              <w:ind w:right="66"/>
              <w:rPr>
                <w:sz w:val="28"/>
              </w:rPr>
            </w:pPr>
            <w:r>
              <w:rPr>
                <w:spacing w:val="11"/>
                <w:sz w:val="28"/>
              </w:rPr>
              <w:t>第</w:t>
            </w:r>
            <w:r>
              <w:rPr>
                <w:sz w:val="28"/>
              </w:rPr>
              <w:t>二节</w:t>
            </w:r>
            <w:r>
              <w:rPr>
                <w:spacing w:val="31"/>
                <w:sz w:val="28"/>
              </w:rPr>
              <w:t xml:space="preserve">  </w:t>
            </w:r>
            <w:r>
              <w:rPr>
                <w:spacing w:val="11"/>
                <w:sz w:val="28"/>
              </w:rPr>
              <w:t>提</w:t>
            </w:r>
            <w:r>
              <w:rPr>
                <w:sz w:val="28"/>
              </w:rPr>
              <w:t>高</w:t>
            </w:r>
            <w:r>
              <w:rPr>
                <w:spacing w:val="11"/>
                <w:sz w:val="28"/>
              </w:rPr>
              <w:t>资源</w:t>
            </w:r>
            <w:r>
              <w:rPr>
                <w:sz w:val="28"/>
              </w:rPr>
              <w:t>综</w:t>
            </w:r>
            <w:r>
              <w:rPr>
                <w:spacing w:val="11"/>
                <w:sz w:val="28"/>
              </w:rPr>
              <w:t>合利</w:t>
            </w:r>
            <w:r>
              <w:rPr>
                <w:spacing w:val="-10"/>
                <w:sz w:val="28"/>
              </w:rPr>
              <w:t>用</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422" w:type="dxa"/>
          </w:tcPr>
          <w:p w14:paraId="55C41FD4">
            <w:pPr>
              <w:pStyle w:val="13"/>
              <w:spacing w:line="300" w:lineRule="exact"/>
              <w:ind w:right="68"/>
              <w:rPr>
                <w:sz w:val="28"/>
              </w:rPr>
            </w:pPr>
            <w:r>
              <w:rPr>
                <w:spacing w:val="-5"/>
                <w:sz w:val="28"/>
              </w:rPr>
              <w:t>90</w:t>
            </w:r>
          </w:p>
        </w:tc>
        <w:tc>
          <w:tcPr>
            <w:tcW w:w="263" w:type="dxa"/>
          </w:tcPr>
          <w:p w14:paraId="6005F123">
            <w:pPr>
              <w:pStyle w:val="13"/>
              <w:spacing w:line="300" w:lineRule="exact"/>
              <w:ind w:left="17"/>
              <w:jc w:val="center"/>
              <w:rPr>
                <w:sz w:val="28"/>
              </w:rPr>
            </w:pPr>
            <w:r>
              <w:rPr>
                <w:sz w:val="28"/>
              </w:rPr>
              <w:t>-</w:t>
            </w:r>
          </w:p>
        </w:tc>
      </w:tr>
    </w:tbl>
    <w:p w14:paraId="4FD810FE">
      <w:pPr>
        <w:spacing w:line="300" w:lineRule="exact"/>
        <w:jc w:val="center"/>
        <w:rPr>
          <w:sz w:val="28"/>
        </w:rPr>
        <w:sectPr>
          <w:pgSz w:w="11910" w:h="16840"/>
          <w:pgMar w:top="1740" w:right="1140" w:bottom="1380" w:left="1320" w:header="0" w:footer="1196" w:gutter="0"/>
          <w:cols w:space="720" w:num="1"/>
        </w:sectPr>
      </w:pPr>
    </w:p>
    <w:p w14:paraId="5B0EA63E">
      <w:pPr>
        <w:spacing w:before="72"/>
        <w:ind w:right="274"/>
        <w:jc w:val="right"/>
        <w:rPr>
          <w:sz w:val="28"/>
        </w:rPr>
      </w:pPr>
      <w:r>
        <w:rPr>
          <w:spacing w:val="3"/>
          <w:position w:val="-1"/>
          <w:sz w:val="28"/>
        </w:rPr>
        <w:t>第三节</w:t>
      </w:r>
      <w:r>
        <w:rPr>
          <w:spacing w:val="78"/>
          <w:w w:val="150"/>
          <w:position w:val="-1"/>
          <w:sz w:val="28"/>
        </w:rPr>
        <w:t xml:space="preserve"> </w:t>
      </w:r>
      <w:r>
        <w:rPr>
          <w:spacing w:val="5"/>
          <w:position w:val="-1"/>
          <w:sz w:val="28"/>
        </w:rPr>
        <w:t>形成绿色生活方式</w:t>
      </w:r>
      <w:r>
        <w:rPr>
          <w:rFonts w:ascii="Times New Roman" w:eastAsia="Times New Roman"/>
          <w:sz w:val="28"/>
        </w:rPr>
        <w:t>.......................................................</w:t>
      </w:r>
      <w:r>
        <w:rPr>
          <w:spacing w:val="-6"/>
          <w:position w:val="-1"/>
          <w:sz w:val="28"/>
        </w:rPr>
        <w:t xml:space="preserve">- </w:t>
      </w:r>
      <w:r>
        <w:rPr>
          <w:position w:val="-1"/>
          <w:sz w:val="28"/>
        </w:rPr>
        <w:t>90</w:t>
      </w:r>
      <w:r>
        <w:rPr>
          <w:spacing w:val="-11"/>
          <w:position w:val="-1"/>
          <w:sz w:val="28"/>
        </w:rPr>
        <w:t xml:space="preserve"> -</w:t>
      </w:r>
    </w:p>
    <w:p w14:paraId="5C0C6EC4">
      <w:pPr>
        <w:spacing w:before="264"/>
        <w:ind w:right="277"/>
        <w:jc w:val="right"/>
        <w:rPr>
          <w:b/>
          <w:sz w:val="28"/>
        </w:rPr>
      </w:pPr>
      <w:r>
        <w:rPr>
          <w:b/>
          <w:position w:val="-1"/>
          <w:sz w:val="28"/>
        </w:rPr>
        <w:t>第六</w:t>
      </w:r>
      <w:r>
        <w:rPr>
          <w:b/>
          <w:spacing w:val="23"/>
          <w:position w:val="-1"/>
          <w:sz w:val="28"/>
        </w:rPr>
        <w:t>篇 深</w:t>
      </w:r>
      <w:r>
        <w:rPr>
          <w:b/>
          <w:position w:val="-1"/>
          <w:sz w:val="28"/>
        </w:rPr>
        <w:t>化改革开放，优化高效发展新环境</w:t>
      </w:r>
      <w:r>
        <w:rPr>
          <w:rFonts w:ascii="Times New Roman" w:eastAsia="Times New Roman"/>
          <w:b/>
          <w:spacing w:val="-1"/>
          <w:sz w:val="28"/>
        </w:rPr>
        <w:t xml:space="preserve">.................................... </w:t>
      </w:r>
      <w:r>
        <w:rPr>
          <w:b/>
          <w:spacing w:val="-16"/>
          <w:position w:val="-1"/>
          <w:sz w:val="28"/>
        </w:rPr>
        <w:t xml:space="preserve">- </w:t>
      </w:r>
      <w:r>
        <w:rPr>
          <w:b/>
          <w:position w:val="-1"/>
          <w:sz w:val="28"/>
        </w:rPr>
        <w:t>92</w:t>
      </w:r>
      <w:r>
        <w:rPr>
          <w:b/>
          <w:spacing w:val="-21"/>
          <w:position w:val="-1"/>
          <w:sz w:val="28"/>
        </w:rPr>
        <w:t xml:space="preserve"> -</w:t>
      </w:r>
    </w:p>
    <w:p w14:paraId="640231AA">
      <w:pPr>
        <w:pStyle w:val="5"/>
        <w:spacing w:before="5"/>
        <w:rPr>
          <w:b/>
          <w:sz w:val="21"/>
        </w:rPr>
      </w:pPr>
    </w:p>
    <w:tbl>
      <w:tblPr>
        <w:tblStyle w:val="11"/>
        <w:tblW w:w="0" w:type="auto"/>
        <w:tblInd w:w="111" w:type="dxa"/>
        <w:tblLayout w:type="fixed"/>
        <w:tblCellMar>
          <w:top w:w="0" w:type="dxa"/>
          <w:left w:w="0" w:type="dxa"/>
          <w:bottom w:w="0" w:type="dxa"/>
          <w:right w:w="0" w:type="dxa"/>
        </w:tblCellMar>
      </w:tblPr>
      <w:tblGrid>
        <w:gridCol w:w="8359"/>
        <w:gridCol w:w="495"/>
        <w:gridCol w:w="262"/>
      </w:tblGrid>
      <w:tr w14:paraId="7DE79597">
        <w:tblPrEx>
          <w:tblCellMar>
            <w:top w:w="0" w:type="dxa"/>
            <w:left w:w="0" w:type="dxa"/>
            <w:bottom w:w="0" w:type="dxa"/>
            <w:right w:w="0" w:type="dxa"/>
          </w:tblCellMar>
        </w:tblPrEx>
        <w:trPr>
          <w:trHeight w:val="467" w:hRule="atLeast"/>
        </w:trPr>
        <w:tc>
          <w:tcPr>
            <w:tcW w:w="8359" w:type="dxa"/>
          </w:tcPr>
          <w:p w14:paraId="43382624">
            <w:pPr>
              <w:pStyle w:val="13"/>
              <w:tabs>
                <w:tab w:val="left" w:leader="dot" w:pos="7595"/>
              </w:tabs>
              <w:spacing w:before="0" w:line="349" w:lineRule="exact"/>
              <w:ind w:right="-15"/>
              <w:rPr>
                <w:b/>
                <w:sz w:val="28"/>
              </w:rPr>
            </w:pPr>
            <w:r>
              <w:rPr>
                <w:b/>
                <w:sz w:val="28"/>
              </w:rPr>
              <w:t>第十章</w:t>
            </w:r>
            <w:r>
              <w:rPr>
                <w:b/>
                <w:spacing w:val="93"/>
                <w:sz w:val="28"/>
              </w:rPr>
              <w:t xml:space="preserve"> </w:t>
            </w:r>
            <w:r>
              <w:rPr>
                <w:b/>
                <w:sz w:val="28"/>
              </w:rPr>
              <w:t>全方位深化对外开放合</w:t>
            </w:r>
            <w:r>
              <w:rPr>
                <w:b/>
                <w:spacing w:val="-10"/>
                <w:sz w:val="28"/>
              </w:rPr>
              <w:t>作</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495" w:type="dxa"/>
          </w:tcPr>
          <w:p w14:paraId="5C1C15AF">
            <w:pPr>
              <w:pStyle w:val="13"/>
              <w:spacing w:before="0" w:line="351" w:lineRule="exact"/>
              <w:ind w:left="-1" w:right="67"/>
              <w:rPr>
                <w:b/>
                <w:sz w:val="28"/>
              </w:rPr>
            </w:pPr>
            <w:r>
              <w:rPr>
                <w:b/>
                <w:spacing w:val="-5"/>
                <w:sz w:val="28"/>
              </w:rPr>
              <w:t>92</w:t>
            </w:r>
          </w:p>
        </w:tc>
        <w:tc>
          <w:tcPr>
            <w:tcW w:w="262" w:type="dxa"/>
          </w:tcPr>
          <w:p w14:paraId="3C78B5EA">
            <w:pPr>
              <w:pStyle w:val="13"/>
              <w:spacing w:before="0" w:line="351" w:lineRule="exact"/>
              <w:ind w:left="20"/>
              <w:jc w:val="center"/>
              <w:rPr>
                <w:b/>
                <w:sz w:val="28"/>
              </w:rPr>
            </w:pPr>
            <w:r>
              <w:rPr>
                <w:b/>
                <w:w w:val="99"/>
                <w:sz w:val="28"/>
              </w:rPr>
              <w:t>-</w:t>
            </w:r>
          </w:p>
        </w:tc>
      </w:tr>
      <w:tr w14:paraId="1DE87729">
        <w:tblPrEx>
          <w:tblCellMar>
            <w:top w:w="0" w:type="dxa"/>
            <w:left w:w="0" w:type="dxa"/>
            <w:bottom w:w="0" w:type="dxa"/>
            <w:right w:w="0" w:type="dxa"/>
          </w:tblCellMar>
        </w:tblPrEx>
        <w:trPr>
          <w:trHeight w:val="624" w:hRule="atLeast"/>
        </w:trPr>
        <w:tc>
          <w:tcPr>
            <w:tcW w:w="8359" w:type="dxa"/>
          </w:tcPr>
          <w:p w14:paraId="3862BBEA">
            <w:pPr>
              <w:pStyle w:val="13"/>
              <w:tabs>
                <w:tab w:val="left" w:leader="dot" w:pos="7135"/>
              </w:tabs>
              <w:spacing w:before="147"/>
              <w:ind w:right="-15"/>
              <w:rPr>
                <w:sz w:val="28"/>
              </w:rPr>
            </w:pPr>
            <w:r>
              <w:rPr>
                <w:spacing w:val="11"/>
                <w:sz w:val="28"/>
              </w:rPr>
              <w:t>第</w:t>
            </w:r>
            <w:r>
              <w:rPr>
                <w:sz w:val="28"/>
              </w:rPr>
              <w:t>一节</w:t>
            </w:r>
            <w:r>
              <w:rPr>
                <w:spacing w:val="34"/>
                <w:sz w:val="28"/>
              </w:rPr>
              <w:t xml:space="preserve">  </w:t>
            </w:r>
            <w:r>
              <w:rPr>
                <w:spacing w:val="11"/>
                <w:sz w:val="28"/>
              </w:rPr>
              <w:t>提</w:t>
            </w:r>
            <w:r>
              <w:rPr>
                <w:sz w:val="28"/>
              </w:rPr>
              <w:t>升</w:t>
            </w:r>
            <w:r>
              <w:rPr>
                <w:spacing w:val="11"/>
                <w:sz w:val="28"/>
              </w:rPr>
              <w:t>开放</w:t>
            </w:r>
            <w:r>
              <w:rPr>
                <w:sz w:val="28"/>
              </w:rPr>
              <w:t>平</w:t>
            </w:r>
            <w:r>
              <w:rPr>
                <w:spacing w:val="11"/>
                <w:sz w:val="28"/>
              </w:rPr>
              <w:t>台支</w:t>
            </w:r>
            <w:r>
              <w:rPr>
                <w:sz w:val="28"/>
              </w:rPr>
              <w:t>撑</w:t>
            </w:r>
            <w:r>
              <w:rPr>
                <w:spacing w:val="11"/>
                <w:sz w:val="28"/>
              </w:rPr>
              <w:t>能</w:t>
            </w:r>
            <w:r>
              <w:rPr>
                <w:spacing w:val="-10"/>
                <w:sz w:val="28"/>
              </w:rPr>
              <w:t>力</w:t>
            </w:r>
            <w:r>
              <w:rPr>
                <w:rFonts w:ascii="Times New Roman" w:eastAsia="Times New Roman"/>
                <w:sz w:val="28"/>
              </w:rPr>
              <w:tab/>
            </w:r>
            <w:r>
              <w:rPr>
                <w:rFonts w:ascii="Times New Roman" w:eastAsia="Times New Roman"/>
                <w:position w:val="2"/>
                <w:sz w:val="28"/>
              </w:rPr>
              <w:t>..</w:t>
            </w:r>
            <w:r>
              <w:rPr>
                <w:rFonts w:ascii="Times New Roman" w:eastAsia="Times New Roman"/>
                <w:spacing w:val="-15"/>
                <w:position w:val="2"/>
                <w:sz w:val="28"/>
              </w:rPr>
              <w:t xml:space="preserve"> </w:t>
            </w:r>
            <w:r>
              <w:rPr>
                <w:spacing w:val="-10"/>
                <w:sz w:val="28"/>
              </w:rPr>
              <w:t>-</w:t>
            </w:r>
          </w:p>
        </w:tc>
        <w:tc>
          <w:tcPr>
            <w:tcW w:w="495" w:type="dxa"/>
          </w:tcPr>
          <w:p w14:paraId="3ECFD5CD">
            <w:pPr>
              <w:pStyle w:val="13"/>
              <w:ind w:left="-1" w:right="67"/>
              <w:rPr>
                <w:sz w:val="28"/>
              </w:rPr>
            </w:pPr>
            <w:r>
              <w:rPr>
                <w:spacing w:val="-5"/>
                <w:sz w:val="28"/>
              </w:rPr>
              <w:t>92</w:t>
            </w:r>
          </w:p>
        </w:tc>
        <w:tc>
          <w:tcPr>
            <w:tcW w:w="262" w:type="dxa"/>
          </w:tcPr>
          <w:p w14:paraId="4649F27D">
            <w:pPr>
              <w:pStyle w:val="13"/>
              <w:ind w:left="20"/>
              <w:jc w:val="center"/>
              <w:rPr>
                <w:sz w:val="28"/>
              </w:rPr>
            </w:pPr>
            <w:r>
              <w:rPr>
                <w:sz w:val="28"/>
              </w:rPr>
              <w:t>-</w:t>
            </w:r>
          </w:p>
        </w:tc>
      </w:tr>
      <w:tr w14:paraId="527EF5F7">
        <w:tblPrEx>
          <w:tblCellMar>
            <w:top w:w="0" w:type="dxa"/>
            <w:left w:w="0" w:type="dxa"/>
            <w:bottom w:w="0" w:type="dxa"/>
            <w:right w:w="0" w:type="dxa"/>
          </w:tblCellMar>
        </w:tblPrEx>
        <w:trPr>
          <w:trHeight w:val="623" w:hRule="atLeast"/>
        </w:trPr>
        <w:tc>
          <w:tcPr>
            <w:tcW w:w="8359" w:type="dxa"/>
          </w:tcPr>
          <w:p w14:paraId="7A3019E3">
            <w:pPr>
              <w:pStyle w:val="13"/>
              <w:tabs>
                <w:tab w:val="left" w:leader="dot" w:pos="7135"/>
              </w:tabs>
              <w:spacing w:before="147"/>
              <w:ind w:right="-15"/>
              <w:rPr>
                <w:sz w:val="28"/>
              </w:rPr>
            </w:pPr>
            <w:r>
              <w:rPr>
                <w:spacing w:val="11"/>
                <w:sz w:val="28"/>
              </w:rPr>
              <w:t>第</w:t>
            </w:r>
            <w:r>
              <w:rPr>
                <w:sz w:val="28"/>
              </w:rPr>
              <w:t>二节</w:t>
            </w:r>
            <w:r>
              <w:rPr>
                <w:spacing w:val="34"/>
                <w:sz w:val="28"/>
              </w:rPr>
              <w:t xml:space="preserve">  </w:t>
            </w:r>
            <w:r>
              <w:rPr>
                <w:spacing w:val="11"/>
                <w:sz w:val="28"/>
              </w:rPr>
              <w:t>拓</w:t>
            </w:r>
            <w:r>
              <w:rPr>
                <w:sz w:val="28"/>
              </w:rPr>
              <w:t>宽</w:t>
            </w:r>
            <w:r>
              <w:rPr>
                <w:spacing w:val="11"/>
                <w:sz w:val="28"/>
              </w:rPr>
              <w:t>对外</w:t>
            </w:r>
            <w:r>
              <w:rPr>
                <w:sz w:val="28"/>
              </w:rPr>
              <w:t>开</w:t>
            </w:r>
            <w:r>
              <w:rPr>
                <w:spacing w:val="11"/>
                <w:sz w:val="28"/>
              </w:rPr>
              <w:t>放合</w:t>
            </w:r>
            <w:r>
              <w:rPr>
                <w:sz w:val="28"/>
              </w:rPr>
              <w:t>作</w:t>
            </w:r>
            <w:r>
              <w:rPr>
                <w:spacing w:val="11"/>
                <w:sz w:val="28"/>
              </w:rPr>
              <w:t>渠</w:t>
            </w:r>
            <w:r>
              <w:rPr>
                <w:spacing w:val="-10"/>
                <w:sz w:val="28"/>
              </w:rPr>
              <w:t>道</w:t>
            </w:r>
            <w:r>
              <w:rPr>
                <w:rFonts w:ascii="Times New Roman" w:eastAsia="Times New Roman"/>
                <w:sz w:val="28"/>
              </w:rPr>
              <w:tab/>
            </w:r>
            <w:r>
              <w:rPr>
                <w:rFonts w:ascii="Times New Roman" w:eastAsia="Times New Roman"/>
                <w:position w:val="2"/>
                <w:sz w:val="28"/>
              </w:rPr>
              <w:t>..</w:t>
            </w:r>
            <w:r>
              <w:rPr>
                <w:rFonts w:ascii="Times New Roman" w:eastAsia="Times New Roman"/>
                <w:spacing w:val="-15"/>
                <w:position w:val="2"/>
                <w:sz w:val="28"/>
              </w:rPr>
              <w:t xml:space="preserve"> </w:t>
            </w:r>
            <w:r>
              <w:rPr>
                <w:spacing w:val="-10"/>
                <w:sz w:val="28"/>
              </w:rPr>
              <w:t>-</w:t>
            </w:r>
          </w:p>
        </w:tc>
        <w:tc>
          <w:tcPr>
            <w:tcW w:w="495" w:type="dxa"/>
          </w:tcPr>
          <w:p w14:paraId="225E09EF">
            <w:pPr>
              <w:pStyle w:val="13"/>
              <w:ind w:left="-1" w:right="67"/>
              <w:rPr>
                <w:sz w:val="28"/>
              </w:rPr>
            </w:pPr>
            <w:r>
              <w:rPr>
                <w:spacing w:val="-5"/>
                <w:sz w:val="28"/>
              </w:rPr>
              <w:t>93</w:t>
            </w:r>
          </w:p>
        </w:tc>
        <w:tc>
          <w:tcPr>
            <w:tcW w:w="262" w:type="dxa"/>
          </w:tcPr>
          <w:p w14:paraId="0CAFE208">
            <w:pPr>
              <w:pStyle w:val="13"/>
              <w:ind w:left="20"/>
              <w:jc w:val="center"/>
              <w:rPr>
                <w:sz w:val="28"/>
              </w:rPr>
            </w:pPr>
            <w:r>
              <w:rPr>
                <w:sz w:val="28"/>
              </w:rPr>
              <w:t>-</w:t>
            </w:r>
          </w:p>
        </w:tc>
      </w:tr>
      <w:tr w14:paraId="671BDC28">
        <w:tblPrEx>
          <w:tblCellMar>
            <w:top w:w="0" w:type="dxa"/>
            <w:left w:w="0" w:type="dxa"/>
            <w:bottom w:w="0" w:type="dxa"/>
            <w:right w:w="0" w:type="dxa"/>
          </w:tblCellMar>
        </w:tblPrEx>
        <w:trPr>
          <w:trHeight w:val="624" w:hRule="atLeast"/>
        </w:trPr>
        <w:tc>
          <w:tcPr>
            <w:tcW w:w="8359" w:type="dxa"/>
          </w:tcPr>
          <w:p w14:paraId="6BAEF33F">
            <w:pPr>
              <w:pStyle w:val="13"/>
              <w:tabs>
                <w:tab w:val="left" w:leader="dot" w:pos="7135"/>
              </w:tabs>
              <w:spacing w:before="147"/>
              <w:ind w:right="-15"/>
              <w:rPr>
                <w:sz w:val="28"/>
              </w:rPr>
            </w:pPr>
            <w:r>
              <w:rPr>
                <w:spacing w:val="11"/>
                <w:sz w:val="28"/>
              </w:rPr>
              <w:t>第</w:t>
            </w:r>
            <w:r>
              <w:rPr>
                <w:sz w:val="28"/>
              </w:rPr>
              <w:t>三节</w:t>
            </w:r>
            <w:r>
              <w:rPr>
                <w:spacing w:val="34"/>
                <w:sz w:val="28"/>
              </w:rPr>
              <w:t xml:space="preserve">  </w:t>
            </w:r>
            <w:r>
              <w:rPr>
                <w:spacing w:val="11"/>
                <w:sz w:val="28"/>
              </w:rPr>
              <w:t>融</w:t>
            </w:r>
            <w:r>
              <w:rPr>
                <w:sz w:val="28"/>
              </w:rPr>
              <w:t>入</w:t>
            </w:r>
            <w:r>
              <w:rPr>
                <w:spacing w:val="11"/>
                <w:sz w:val="28"/>
              </w:rPr>
              <w:t>沿黄</w:t>
            </w:r>
            <w:r>
              <w:rPr>
                <w:sz w:val="28"/>
              </w:rPr>
              <w:t>城</w:t>
            </w:r>
            <w:r>
              <w:rPr>
                <w:spacing w:val="11"/>
                <w:sz w:val="28"/>
              </w:rPr>
              <w:t>市群</w:t>
            </w:r>
            <w:r>
              <w:rPr>
                <w:sz w:val="28"/>
              </w:rPr>
              <w:t>一</w:t>
            </w:r>
            <w:r>
              <w:rPr>
                <w:spacing w:val="11"/>
                <w:sz w:val="28"/>
              </w:rPr>
              <w:t>体</w:t>
            </w:r>
            <w:r>
              <w:rPr>
                <w:spacing w:val="-10"/>
                <w:sz w:val="28"/>
              </w:rPr>
              <w:t>化</w:t>
            </w:r>
            <w:r>
              <w:rPr>
                <w:rFonts w:ascii="Times New Roman" w:eastAsia="Times New Roman"/>
                <w:sz w:val="28"/>
              </w:rPr>
              <w:tab/>
            </w:r>
            <w:r>
              <w:rPr>
                <w:rFonts w:ascii="Times New Roman" w:eastAsia="Times New Roman"/>
                <w:position w:val="2"/>
                <w:sz w:val="28"/>
              </w:rPr>
              <w:t>..</w:t>
            </w:r>
            <w:r>
              <w:rPr>
                <w:rFonts w:ascii="Times New Roman" w:eastAsia="Times New Roman"/>
                <w:spacing w:val="-15"/>
                <w:position w:val="2"/>
                <w:sz w:val="28"/>
              </w:rPr>
              <w:t xml:space="preserve"> </w:t>
            </w:r>
            <w:r>
              <w:rPr>
                <w:spacing w:val="-10"/>
                <w:sz w:val="28"/>
              </w:rPr>
              <w:t>-</w:t>
            </w:r>
          </w:p>
        </w:tc>
        <w:tc>
          <w:tcPr>
            <w:tcW w:w="495" w:type="dxa"/>
          </w:tcPr>
          <w:p w14:paraId="31B6B505">
            <w:pPr>
              <w:pStyle w:val="13"/>
              <w:ind w:left="-1" w:right="67"/>
              <w:rPr>
                <w:sz w:val="28"/>
              </w:rPr>
            </w:pPr>
            <w:r>
              <w:rPr>
                <w:spacing w:val="-5"/>
                <w:sz w:val="28"/>
              </w:rPr>
              <w:t>94</w:t>
            </w:r>
          </w:p>
        </w:tc>
        <w:tc>
          <w:tcPr>
            <w:tcW w:w="262" w:type="dxa"/>
          </w:tcPr>
          <w:p w14:paraId="494B417B">
            <w:pPr>
              <w:pStyle w:val="13"/>
              <w:ind w:left="20"/>
              <w:jc w:val="center"/>
              <w:rPr>
                <w:sz w:val="28"/>
              </w:rPr>
            </w:pPr>
            <w:r>
              <w:rPr>
                <w:sz w:val="28"/>
              </w:rPr>
              <w:t>-</w:t>
            </w:r>
          </w:p>
        </w:tc>
      </w:tr>
      <w:tr w14:paraId="4EAA71F9">
        <w:tblPrEx>
          <w:tblCellMar>
            <w:top w:w="0" w:type="dxa"/>
            <w:left w:w="0" w:type="dxa"/>
            <w:bottom w:w="0" w:type="dxa"/>
            <w:right w:w="0" w:type="dxa"/>
          </w:tblCellMar>
        </w:tblPrEx>
        <w:trPr>
          <w:trHeight w:val="624" w:hRule="atLeast"/>
        </w:trPr>
        <w:tc>
          <w:tcPr>
            <w:tcW w:w="8359" w:type="dxa"/>
          </w:tcPr>
          <w:p w14:paraId="32D9C785">
            <w:pPr>
              <w:pStyle w:val="13"/>
              <w:tabs>
                <w:tab w:val="left" w:leader="dot" w:pos="7600"/>
              </w:tabs>
              <w:spacing w:before="147"/>
              <w:ind w:right="-15"/>
              <w:rPr>
                <w:b/>
                <w:sz w:val="28"/>
              </w:rPr>
            </w:pPr>
            <w:r>
              <w:rPr>
                <w:b/>
                <w:sz w:val="28"/>
              </w:rPr>
              <w:t>第十一章</w:t>
            </w:r>
            <w:r>
              <w:rPr>
                <w:b/>
                <w:spacing w:val="89"/>
                <w:sz w:val="28"/>
              </w:rPr>
              <w:t xml:space="preserve"> </w:t>
            </w:r>
            <w:r>
              <w:rPr>
                <w:b/>
                <w:sz w:val="28"/>
              </w:rPr>
              <w:t>积极营造国际化营商环</w:t>
            </w:r>
            <w:r>
              <w:rPr>
                <w:b/>
                <w:spacing w:val="-10"/>
                <w:sz w:val="28"/>
              </w:rPr>
              <w:t>境</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495" w:type="dxa"/>
          </w:tcPr>
          <w:p w14:paraId="67C7FCC0">
            <w:pPr>
              <w:pStyle w:val="13"/>
              <w:ind w:left="-1" w:right="67"/>
              <w:rPr>
                <w:b/>
                <w:sz w:val="28"/>
              </w:rPr>
            </w:pPr>
            <w:r>
              <w:rPr>
                <w:b/>
                <w:spacing w:val="-5"/>
                <w:sz w:val="28"/>
              </w:rPr>
              <w:t>96</w:t>
            </w:r>
          </w:p>
        </w:tc>
        <w:tc>
          <w:tcPr>
            <w:tcW w:w="262" w:type="dxa"/>
          </w:tcPr>
          <w:p w14:paraId="7E383DDE">
            <w:pPr>
              <w:pStyle w:val="13"/>
              <w:ind w:left="20"/>
              <w:jc w:val="center"/>
              <w:rPr>
                <w:b/>
                <w:sz w:val="28"/>
              </w:rPr>
            </w:pPr>
            <w:r>
              <w:rPr>
                <w:b/>
                <w:w w:val="99"/>
                <w:sz w:val="28"/>
              </w:rPr>
              <w:t>-</w:t>
            </w:r>
          </w:p>
        </w:tc>
      </w:tr>
      <w:tr w14:paraId="7717591D">
        <w:tblPrEx>
          <w:tblCellMar>
            <w:top w:w="0" w:type="dxa"/>
            <w:left w:w="0" w:type="dxa"/>
            <w:bottom w:w="0" w:type="dxa"/>
            <w:right w:w="0" w:type="dxa"/>
          </w:tblCellMar>
        </w:tblPrEx>
        <w:trPr>
          <w:trHeight w:val="623" w:hRule="atLeast"/>
        </w:trPr>
        <w:tc>
          <w:tcPr>
            <w:tcW w:w="8359" w:type="dxa"/>
          </w:tcPr>
          <w:p w14:paraId="7BE32EE7">
            <w:pPr>
              <w:pStyle w:val="13"/>
              <w:tabs>
                <w:tab w:val="left" w:leader="dot" w:pos="7183"/>
              </w:tabs>
              <w:spacing w:before="147"/>
              <w:ind w:right="-15"/>
              <w:rPr>
                <w:sz w:val="28"/>
              </w:rPr>
            </w:pPr>
            <w:r>
              <w:rPr>
                <w:spacing w:val="11"/>
                <w:sz w:val="28"/>
              </w:rPr>
              <w:t>第</w:t>
            </w:r>
            <w:r>
              <w:rPr>
                <w:sz w:val="28"/>
              </w:rPr>
              <w:t>一节</w:t>
            </w:r>
            <w:r>
              <w:rPr>
                <w:spacing w:val="40"/>
                <w:sz w:val="28"/>
              </w:rPr>
              <w:t xml:space="preserve">  </w:t>
            </w:r>
            <w:r>
              <w:rPr>
                <w:spacing w:val="11"/>
                <w:sz w:val="28"/>
              </w:rPr>
              <w:t>打</w:t>
            </w:r>
            <w:r>
              <w:rPr>
                <w:sz w:val="28"/>
              </w:rPr>
              <w:t>造</w:t>
            </w:r>
            <w:r>
              <w:rPr>
                <w:spacing w:val="11"/>
                <w:sz w:val="28"/>
              </w:rPr>
              <w:t>符合</w:t>
            </w:r>
            <w:r>
              <w:rPr>
                <w:sz w:val="28"/>
              </w:rPr>
              <w:t>国</w:t>
            </w:r>
            <w:r>
              <w:rPr>
                <w:spacing w:val="11"/>
                <w:sz w:val="28"/>
              </w:rPr>
              <w:t>际惯</w:t>
            </w:r>
            <w:r>
              <w:rPr>
                <w:sz w:val="28"/>
              </w:rPr>
              <w:t>例</w:t>
            </w:r>
            <w:r>
              <w:rPr>
                <w:spacing w:val="11"/>
                <w:sz w:val="28"/>
              </w:rPr>
              <w:t>的政</w:t>
            </w:r>
            <w:r>
              <w:rPr>
                <w:sz w:val="28"/>
              </w:rPr>
              <w:t>务</w:t>
            </w:r>
            <w:r>
              <w:rPr>
                <w:spacing w:val="11"/>
                <w:sz w:val="28"/>
              </w:rPr>
              <w:t>环</w:t>
            </w:r>
            <w:r>
              <w:rPr>
                <w:spacing w:val="-10"/>
                <w:sz w:val="28"/>
              </w:rPr>
              <w:t>境</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495" w:type="dxa"/>
          </w:tcPr>
          <w:p w14:paraId="558B3EC4">
            <w:pPr>
              <w:pStyle w:val="13"/>
              <w:ind w:left="-1" w:right="67"/>
              <w:rPr>
                <w:sz w:val="28"/>
              </w:rPr>
            </w:pPr>
            <w:r>
              <w:rPr>
                <w:spacing w:val="-5"/>
                <w:sz w:val="28"/>
              </w:rPr>
              <w:t>96</w:t>
            </w:r>
          </w:p>
        </w:tc>
        <w:tc>
          <w:tcPr>
            <w:tcW w:w="262" w:type="dxa"/>
          </w:tcPr>
          <w:p w14:paraId="59F3BFF1">
            <w:pPr>
              <w:pStyle w:val="13"/>
              <w:ind w:left="20"/>
              <w:jc w:val="center"/>
              <w:rPr>
                <w:sz w:val="28"/>
              </w:rPr>
            </w:pPr>
            <w:r>
              <w:rPr>
                <w:sz w:val="28"/>
              </w:rPr>
              <w:t>-</w:t>
            </w:r>
          </w:p>
        </w:tc>
      </w:tr>
      <w:tr w14:paraId="1BDB72F5">
        <w:tblPrEx>
          <w:tblCellMar>
            <w:top w:w="0" w:type="dxa"/>
            <w:left w:w="0" w:type="dxa"/>
            <w:bottom w:w="0" w:type="dxa"/>
            <w:right w:w="0" w:type="dxa"/>
          </w:tblCellMar>
        </w:tblPrEx>
        <w:trPr>
          <w:trHeight w:val="624" w:hRule="atLeast"/>
        </w:trPr>
        <w:tc>
          <w:tcPr>
            <w:tcW w:w="8359" w:type="dxa"/>
          </w:tcPr>
          <w:p w14:paraId="55C2A233">
            <w:pPr>
              <w:pStyle w:val="13"/>
              <w:tabs>
                <w:tab w:val="left" w:leader="dot" w:pos="7183"/>
              </w:tabs>
              <w:spacing w:before="147"/>
              <w:ind w:right="-15"/>
              <w:rPr>
                <w:sz w:val="28"/>
              </w:rPr>
            </w:pPr>
            <w:r>
              <w:rPr>
                <w:spacing w:val="11"/>
                <w:sz w:val="28"/>
              </w:rPr>
              <w:t>第</w:t>
            </w:r>
            <w:r>
              <w:rPr>
                <w:sz w:val="28"/>
              </w:rPr>
              <w:t>二节</w:t>
            </w:r>
            <w:r>
              <w:rPr>
                <w:spacing w:val="40"/>
                <w:sz w:val="28"/>
              </w:rPr>
              <w:t xml:space="preserve">  </w:t>
            </w:r>
            <w:r>
              <w:rPr>
                <w:spacing w:val="11"/>
                <w:sz w:val="28"/>
              </w:rPr>
              <w:t>营</w:t>
            </w:r>
            <w:r>
              <w:rPr>
                <w:sz w:val="28"/>
              </w:rPr>
              <w:t>造</w:t>
            </w:r>
            <w:r>
              <w:rPr>
                <w:spacing w:val="11"/>
                <w:sz w:val="28"/>
              </w:rPr>
              <w:t>高效</w:t>
            </w:r>
            <w:r>
              <w:rPr>
                <w:sz w:val="28"/>
              </w:rPr>
              <w:t>便</w:t>
            </w:r>
            <w:r>
              <w:rPr>
                <w:spacing w:val="11"/>
                <w:sz w:val="28"/>
              </w:rPr>
              <w:t>捷的</w:t>
            </w:r>
            <w:r>
              <w:rPr>
                <w:sz w:val="28"/>
              </w:rPr>
              <w:t>企</w:t>
            </w:r>
            <w:r>
              <w:rPr>
                <w:spacing w:val="11"/>
                <w:sz w:val="28"/>
              </w:rPr>
              <w:t>业生</w:t>
            </w:r>
            <w:r>
              <w:rPr>
                <w:sz w:val="28"/>
              </w:rPr>
              <w:t>态</w:t>
            </w:r>
            <w:r>
              <w:rPr>
                <w:spacing w:val="11"/>
                <w:sz w:val="28"/>
              </w:rPr>
              <w:t>环</w:t>
            </w:r>
            <w:r>
              <w:rPr>
                <w:spacing w:val="-10"/>
                <w:sz w:val="28"/>
              </w:rPr>
              <w:t>境</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495" w:type="dxa"/>
          </w:tcPr>
          <w:p w14:paraId="26D55153">
            <w:pPr>
              <w:pStyle w:val="13"/>
              <w:ind w:left="-1" w:right="67"/>
              <w:rPr>
                <w:sz w:val="28"/>
              </w:rPr>
            </w:pPr>
            <w:r>
              <w:rPr>
                <w:spacing w:val="-5"/>
                <w:sz w:val="28"/>
              </w:rPr>
              <w:t>97</w:t>
            </w:r>
          </w:p>
        </w:tc>
        <w:tc>
          <w:tcPr>
            <w:tcW w:w="262" w:type="dxa"/>
          </w:tcPr>
          <w:p w14:paraId="609DABFA">
            <w:pPr>
              <w:pStyle w:val="13"/>
              <w:ind w:left="20"/>
              <w:jc w:val="center"/>
              <w:rPr>
                <w:sz w:val="28"/>
              </w:rPr>
            </w:pPr>
            <w:r>
              <w:rPr>
                <w:sz w:val="28"/>
              </w:rPr>
              <w:t>-</w:t>
            </w:r>
          </w:p>
        </w:tc>
      </w:tr>
      <w:tr w14:paraId="6DAC7AE7">
        <w:tblPrEx>
          <w:tblCellMar>
            <w:top w:w="0" w:type="dxa"/>
            <w:left w:w="0" w:type="dxa"/>
            <w:bottom w:w="0" w:type="dxa"/>
            <w:right w:w="0" w:type="dxa"/>
          </w:tblCellMar>
        </w:tblPrEx>
        <w:trPr>
          <w:trHeight w:val="623" w:hRule="atLeast"/>
        </w:trPr>
        <w:tc>
          <w:tcPr>
            <w:tcW w:w="8359" w:type="dxa"/>
          </w:tcPr>
          <w:p w14:paraId="4CD5F260">
            <w:pPr>
              <w:pStyle w:val="13"/>
              <w:tabs>
                <w:tab w:val="left" w:leader="dot" w:pos="7183"/>
              </w:tabs>
              <w:spacing w:before="147"/>
              <w:ind w:right="-15"/>
              <w:rPr>
                <w:sz w:val="28"/>
              </w:rPr>
            </w:pPr>
            <w:r>
              <w:rPr>
                <w:spacing w:val="11"/>
                <w:sz w:val="28"/>
              </w:rPr>
              <w:t>第</w:t>
            </w:r>
            <w:r>
              <w:rPr>
                <w:sz w:val="28"/>
              </w:rPr>
              <w:t>三节</w:t>
            </w:r>
            <w:r>
              <w:rPr>
                <w:spacing w:val="40"/>
                <w:sz w:val="28"/>
              </w:rPr>
              <w:t xml:space="preserve">  </w:t>
            </w:r>
            <w:r>
              <w:rPr>
                <w:spacing w:val="11"/>
                <w:sz w:val="28"/>
              </w:rPr>
              <w:t>提</w:t>
            </w:r>
            <w:r>
              <w:rPr>
                <w:sz w:val="28"/>
              </w:rPr>
              <w:t>升</w:t>
            </w:r>
            <w:r>
              <w:rPr>
                <w:spacing w:val="11"/>
                <w:sz w:val="28"/>
              </w:rPr>
              <w:t>具备</w:t>
            </w:r>
            <w:r>
              <w:rPr>
                <w:sz w:val="28"/>
              </w:rPr>
              <w:t>国</w:t>
            </w:r>
            <w:r>
              <w:rPr>
                <w:spacing w:val="11"/>
                <w:sz w:val="28"/>
              </w:rPr>
              <w:t>际水</w:t>
            </w:r>
            <w:r>
              <w:rPr>
                <w:sz w:val="28"/>
              </w:rPr>
              <w:t>准</w:t>
            </w:r>
            <w:r>
              <w:rPr>
                <w:spacing w:val="11"/>
                <w:sz w:val="28"/>
              </w:rPr>
              <w:t>的市</w:t>
            </w:r>
            <w:r>
              <w:rPr>
                <w:sz w:val="28"/>
              </w:rPr>
              <w:t>场</w:t>
            </w:r>
            <w:r>
              <w:rPr>
                <w:spacing w:val="11"/>
                <w:sz w:val="28"/>
              </w:rPr>
              <w:t>环</w:t>
            </w:r>
            <w:r>
              <w:rPr>
                <w:spacing w:val="-10"/>
                <w:sz w:val="28"/>
              </w:rPr>
              <w:t>境</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495" w:type="dxa"/>
          </w:tcPr>
          <w:p w14:paraId="46C030C1">
            <w:pPr>
              <w:pStyle w:val="13"/>
              <w:ind w:left="-1" w:right="67"/>
              <w:rPr>
                <w:sz w:val="28"/>
              </w:rPr>
            </w:pPr>
            <w:r>
              <w:rPr>
                <w:spacing w:val="-5"/>
                <w:sz w:val="28"/>
              </w:rPr>
              <w:t>98</w:t>
            </w:r>
          </w:p>
        </w:tc>
        <w:tc>
          <w:tcPr>
            <w:tcW w:w="262" w:type="dxa"/>
          </w:tcPr>
          <w:p w14:paraId="561B3AD2">
            <w:pPr>
              <w:pStyle w:val="13"/>
              <w:ind w:left="20"/>
              <w:jc w:val="center"/>
              <w:rPr>
                <w:sz w:val="28"/>
              </w:rPr>
            </w:pPr>
            <w:r>
              <w:rPr>
                <w:sz w:val="28"/>
              </w:rPr>
              <w:t>-</w:t>
            </w:r>
          </w:p>
        </w:tc>
      </w:tr>
      <w:tr w14:paraId="6E87E898">
        <w:tblPrEx>
          <w:tblCellMar>
            <w:top w:w="0" w:type="dxa"/>
            <w:left w:w="0" w:type="dxa"/>
            <w:bottom w:w="0" w:type="dxa"/>
            <w:right w:w="0" w:type="dxa"/>
          </w:tblCellMar>
        </w:tblPrEx>
        <w:trPr>
          <w:trHeight w:val="624" w:hRule="atLeast"/>
        </w:trPr>
        <w:tc>
          <w:tcPr>
            <w:tcW w:w="8359" w:type="dxa"/>
          </w:tcPr>
          <w:p w14:paraId="0CF3F059">
            <w:pPr>
              <w:pStyle w:val="13"/>
              <w:tabs>
                <w:tab w:val="left" w:leader="dot" w:pos="7183"/>
              </w:tabs>
              <w:spacing w:before="147"/>
              <w:ind w:right="-15"/>
              <w:rPr>
                <w:sz w:val="28"/>
              </w:rPr>
            </w:pPr>
            <w:r>
              <w:rPr>
                <w:spacing w:val="11"/>
                <w:sz w:val="28"/>
              </w:rPr>
              <w:t>第</w:t>
            </w:r>
            <w:r>
              <w:rPr>
                <w:sz w:val="28"/>
              </w:rPr>
              <w:t>四节</w:t>
            </w:r>
            <w:r>
              <w:rPr>
                <w:spacing w:val="40"/>
                <w:sz w:val="28"/>
              </w:rPr>
              <w:t xml:space="preserve">  </w:t>
            </w:r>
            <w:r>
              <w:rPr>
                <w:spacing w:val="11"/>
                <w:sz w:val="28"/>
              </w:rPr>
              <w:t>打</w:t>
            </w:r>
            <w:r>
              <w:rPr>
                <w:sz w:val="28"/>
              </w:rPr>
              <w:t>造</w:t>
            </w:r>
            <w:r>
              <w:rPr>
                <w:spacing w:val="11"/>
                <w:sz w:val="28"/>
              </w:rPr>
              <w:t>精准</w:t>
            </w:r>
            <w:r>
              <w:rPr>
                <w:sz w:val="28"/>
              </w:rPr>
              <w:t>高</w:t>
            </w:r>
            <w:r>
              <w:rPr>
                <w:spacing w:val="11"/>
                <w:sz w:val="28"/>
              </w:rPr>
              <w:t>效的</w:t>
            </w:r>
            <w:r>
              <w:rPr>
                <w:sz w:val="28"/>
              </w:rPr>
              <w:t>招</w:t>
            </w:r>
            <w:r>
              <w:rPr>
                <w:spacing w:val="11"/>
                <w:sz w:val="28"/>
              </w:rPr>
              <w:t>商选</w:t>
            </w:r>
            <w:r>
              <w:rPr>
                <w:sz w:val="28"/>
              </w:rPr>
              <w:t>资</w:t>
            </w:r>
            <w:r>
              <w:rPr>
                <w:spacing w:val="11"/>
                <w:sz w:val="28"/>
              </w:rPr>
              <w:t>体</w:t>
            </w:r>
            <w:r>
              <w:rPr>
                <w:spacing w:val="-10"/>
                <w:sz w:val="28"/>
              </w:rPr>
              <w:t>系</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495" w:type="dxa"/>
          </w:tcPr>
          <w:p w14:paraId="055846B3">
            <w:pPr>
              <w:pStyle w:val="13"/>
              <w:ind w:left="-1" w:right="67"/>
              <w:rPr>
                <w:sz w:val="28"/>
              </w:rPr>
            </w:pPr>
            <w:r>
              <w:rPr>
                <w:spacing w:val="-5"/>
                <w:sz w:val="28"/>
              </w:rPr>
              <w:t>98</w:t>
            </w:r>
          </w:p>
        </w:tc>
        <w:tc>
          <w:tcPr>
            <w:tcW w:w="262" w:type="dxa"/>
          </w:tcPr>
          <w:p w14:paraId="269CF5A1">
            <w:pPr>
              <w:pStyle w:val="13"/>
              <w:ind w:left="20"/>
              <w:jc w:val="center"/>
              <w:rPr>
                <w:sz w:val="28"/>
              </w:rPr>
            </w:pPr>
            <w:r>
              <w:rPr>
                <w:sz w:val="28"/>
              </w:rPr>
              <w:t>-</w:t>
            </w:r>
          </w:p>
        </w:tc>
      </w:tr>
      <w:tr w14:paraId="0EE7D7FA">
        <w:tblPrEx>
          <w:tblCellMar>
            <w:top w:w="0" w:type="dxa"/>
            <w:left w:w="0" w:type="dxa"/>
            <w:bottom w:w="0" w:type="dxa"/>
            <w:right w:w="0" w:type="dxa"/>
          </w:tblCellMar>
        </w:tblPrEx>
        <w:trPr>
          <w:trHeight w:val="623" w:hRule="atLeast"/>
        </w:trPr>
        <w:tc>
          <w:tcPr>
            <w:tcW w:w="8359" w:type="dxa"/>
          </w:tcPr>
          <w:p w14:paraId="6EF2F784">
            <w:pPr>
              <w:pStyle w:val="13"/>
              <w:tabs>
                <w:tab w:val="left" w:leader="dot" w:pos="7595"/>
              </w:tabs>
              <w:spacing w:before="147"/>
              <w:ind w:right="-15"/>
              <w:rPr>
                <w:b/>
                <w:sz w:val="28"/>
              </w:rPr>
            </w:pPr>
            <w:r>
              <w:rPr>
                <w:b/>
                <w:sz w:val="28"/>
              </w:rPr>
              <w:t>第十二章</w:t>
            </w:r>
            <w:r>
              <w:rPr>
                <w:b/>
                <w:spacing w:val="93"/>
                <w:sz w:val="28"/>
              </w:rPr>
              <w:t xml:space="preserve"> </w:t>
            </w:r>
            <w:r>
              <w:rPr>
                <w:b/>
                <w:sz w:val="28"/>
              </w:rPr>
              <w:t>深化改革完善体制机</w:t>
            </w:r>
            <w:r>
              <w:rPr>
                <w:b/>
                <w:spacing w:val="-10"/>
                <w:sz w:val="28"/>
              </w:rPr>
              <w:t>制</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495" w:type="dxa"/>
          </w:tcPr>
          <w:p w14:paraId="7A0E7D28">
            <w:pPr>
              <w:pStyle w:val="13"/>
              <w:ind w:left="-1" w:right="67"/>
              <w:rPr>
                <w:b/>
                <w:sz w:val="28"/>
              </w:rPr>
            </w:pPr>
            <w:r>
              <w:rPr>
                <w:b/>
                <w:spacing w:val="-5"/>
                <w:sz w:val="28"/>
              </w:rPr>
              <w:t>99</w:t>
            </w:r>
          </w:p>
        </w:tc>
        <w:tc>
          <w:tcPr>
            <w:tcW w:w="262" w:type="dxa"/>
          </w:tcPr>
          <w:p w14:paraId="18E471A0">
            <w:pPr>
              <w:pStyle w:val="13"/>
              <w:ind w:left="20"/>
              <w:jc w:val="center"/>
              <w:rPr>
                <w:b/>
                <w:sz w:val="28"/>
              </w:rPr>
            </w:pPr>
            <w:r>
              <w:rPr>
                <w:b/>
                <w:w w:val="99"/>
                <w:sz w:val="28"/>
              </w:rPr>
              <w:t>-</w:t>
            </w:r>
          </w:p>
        </w:tc>
      </w:tr>
      <w:tr w14:paraId="3E2444F1">
        <w:tblPrEx>
          <w:tblCellMar>
            <w:top w:w="0" w:type="dxa"/>
            <w:left w:w="0" w:type="dxa"/>
            <w:bottom w:w="0" w:type="dxa"/>
            <w:right w:w="0" w:type="dxa"/>
          </w:tblCellMar>
        </w:tblPrEx>
        <w:trPr>
          <w:trHeight w:val="624" w:hRule="atLeast"/>
        </w:trPr>
        <w:tc>
          <w:tcPr>
            <w:tcW w:w="8359" w:type="dxa"/>
          </w:tcPr>
          <w:p w14:paraId="6F5544EB">
            <w:pPr>
              <w:pStyle w:val="13"/>
              <w:tabs>
                <w:tab w:val="left" w:leader="dot" w:pos="7159"/>
              </w:tabs>
              <w:spacing w:before="147"/>
              <w:ind w:right="-15"/>
              <w:rPr>
                <w:sz w:val="28"/>
              </w:rPr>
            </w:pPr>
            <w:r>
              <w:rPr>
                <w:sz w:val="28"/>
              </w:rPr>
              <w:t>第一节</w:t>
            </w:r>
            <w:r>
              <w:rPr>
                <w:spacing w:val="50"/>
                <w:w w:val="150"/>
                <w:sz w:val="28"/>
              </w:rPr>
              <w:t xml:space="preserve"> </w:t>
            </w:r>
            <w:r>
              <w:rPr>
                <w:sz w:val="28"/>
              </w:rPr>
              <w:t>深化服务型政府改</w:t>
            </w:r>
            <w:r>
              <w:rPr>
                <w:spacing w:val="-10"/>
                <w:sz w:val="28"/>
              </w:rPr>
              <w:t>革</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35"/>
                <w:position w:val="2"/>
                <w:sz w:val="28"/>
              </w:rPr>
              <w:t xml:space="preserve"> </w:t>
            </w:r>
            <w:r>
              <w:rPr>
                <w:spacing w:val="-10"/>
                <w:sz w:val="28"/>
              </w:rPr>
              <w:t>-</w:t>
            </w:r>
          </w:p>
        </w:tc>
        <w:tc>
          <w:tcPr>
            <w:tcW w:w="495" w:type="dxa"/>
          </w:tcPr>
          <w:p w14:paraId="3541E6EE">
            <w:pPr>
              <w:pStyle w:val="13"/>
              <w:ind w:left="-1" w:right="67"/>
              <w:rPr>
                <w:sz w:val="28"/>
              </w:rPr>
            </w:pPr>
            <w:r>
              <w:rPr>
                <w:spacing w:val="-5"/>
                <w:sz w:val="28"/>
              </w:rPr>
              <w:t>99</w:t>
            </w:r>
          </w:p>
        </w:tc>
        <w:tc>
          <w:tcPr>
            <w:tcW w:w="262" w:type="dxa"/>
          </w:tcPr>
          <w:p w14:paraId="3C45002B">
            <w:pPr>
              <w:pStyle w:val="13"/>
              <w:ind w:left="20"/>
              <w:jc w:val="center"/>
              <w:rPr>
                <w:sz w:val="28"/>
              </w:rPr>
            </w:pPr>
            <w:r>
              <w:rPr>
                <w:sz w:val="28"/>
              </w:rPr>
              <w:t>-</w:t>
            </w:r>
          </w:p>
        </w:tc>
      </w:tr>
      <w:tr w14:paraId="6F6932EE">
        <w:tblPrEx>
          <w:tblCellMar>
            <w:top w:w="0" w:type="dxa"/>
            <w:left w:w="0" w:type="dxa"/>
            <w:bottom w:w="0" w:type="dxa"/>
            <w:right w:w="0" w:type="dxa"/>
          </w:tblCellMar>
        </w:tblPrEx>
        <w:trPr>
          <w:trHeight w:val="624" w:hRule="atLeast"/>
        </w:trPr>
        <w:tc>
          <w:tcPr>
            <w:tcW w:w="8359" w:type="dxa"/>
          </w:tcPr>
          <w:p w14:paraId="1075AACB">
            <w:pPr>
              <w:pStyle w:val="13"/>
              <w:tabs>
                <w:tab w:val="left" w:leader="dot" w:pos="7028"/>
              </w:tabs>
              <w:spacing w:before="147"/>
              <w:ind w:right="131"/>
              <w:rPr>
                <w:sz w:val="28"/>
              </w:rPr>
            </w:pPr>
            <w:r>
              <w:rPr>
                <w:sz w:val="28"/>
              </w:rPr>
              <w:t>第二节</w:t>
            </w:r>
            <w:r>
              <w:rPr>
                <w:spacing w:val="48"/>
                <w:w w:val="150"/>
                <w:sz w:val="28"/>
              </w:rPr>
              <w:t xml:space="preserve"> </w:t>
            </w:r>
            <w:r>
              <w:rPr>
                <w:sz w:val="28"/>
              </w:rPr>
              <w:t>实施要素配置市场化改</w:t>
            </w:r>
            <w:r>
              <w:rPr>
                <w:spacing w:val="-10"/>
                <w:sz w:val="28"/>
              </w:rPr>
              <w:t>革</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495" w:type="dxa"/>
          </w:tcPr>
          <w:p w14:paraId="0D25EE0A">
            <w:pPr>
              <w:pStyle w:val="13"/>
              <w:ind w:left="-1" w:right="67"/>
              <w:rPr>
                <w:sz w:val="28"/>
              </w:rPr>
            </w:pPr>
            <w:r>
              <w:rPr>
                <w:spacing w:val="-5"/>
                <w:sz w:val="28"/>
              </w:rPr>
              <w:t>100</w:t>
            </w:r>
          </w:p>
        </w:tc>
        <w:tc>
          <w:tcPr>
            <w:tcW w:w="262" w:type="dxa"/>
          </w:tcPr>
          <w:p w14:paraId="0329A345">
            <w:pPr>
              <w:pStyle w:val="13"/>
              <w:ind w:left="20"/>
              <w:jc w:val="center"/>
              <w:rPr>
                <w:sz w:val="28"/>
              </w:rPr>
            </w:pPr>
            <w:r>
              <w:rPr>
                <w:sz w:val="28"/>
              </w:rPr>
              <w:t>-</w:t>
            </w:r>
          </w:p>
        </w:tc>
      </w:tr>
      <w:tr w14:paraId="1F6EADA9">
        <w:tblPrEx>
          <w:tblCellMar>
            <w:top w:w="0" w:type="dxa"/>
            <w:left w:w="0" w:type="dxa"/>
            <w:bottom w:w="0" w:type="dxa"/>
            <w:right w:w="0" w:type="dxa"/>
          </w:tblCellMar>
        </w:tblPrEx>
        <w:trPr>
          <w:trHeight w:val="623" w:hRule="atLeast"/>
        </w:trPr>
        <w:tc>
          <w:tcPr>
            <w:tcW w:w="8359" w:type="dxa"/>
          </w:tcPr>
          <w:p w14:paraId="31D3BC64">
            <w:pPr>
              <w:pStyle w:val="13"/>
              <w:tabs>
                <w:tab w:val="left" w:leader="dot" w:pos="7024"/>
              </w:tabs>
              <w:spacing w:before="147"/>
              <w:ind w:right="131"/>
              <w:rPr>
                <w:sz w:val="28"/>
              </w:rPr>
            </w:pPr>
            <w:r>
              <w:rPr>
                <w:sz w:val="28"/>
              </w:rPr>
              <w:t>第三节</w:t>
            </w:r>
            <w:r>
              <w:rPr>
                <w:spacing w:val="49"/>
                <w:w w:val="150"/>
                <w:sz w:val="28"/>
              </w:rPr>
              <w:t xml:space="preserve"> </w:t>
            </w:r>
            <w:r>
              <w:rPr>
                <w:sz w:val="28"/>
              </w:rPr>
              <w:t>健全城乡融合发展机</w:t>
            </w:r>
            <w:r>
              <w:rPr>
                <w:spacing w:val="-10"/>
                <w:sz w:val="28"/>
              </w:rPr>
              <w:t>制</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39"/>
                <w:position w:val="2"/>
                <w:sz w:val="28"/>
              </w:rPr>
              <w:t xml:space="preserve"> </w:t>
            </w:r>
            <w:r>
              <w:rPr>
                <w:spacing w:val="-10"/>
                <w:sz w:val="28"/>
              </w:rPr>
              <w:t>-</w:t>
            </w:r>
          </w:p>
        </w:tc>
        <w:tc>
          <w:tcPr>
            <w:tcW w:w="495" w:type="dxa"/>
          </w:tcPr>
          <w:p w14:paraId="22EF1056">
            <w:pPr>
              <w:pStyle w:val="13"/>
              <w:ind w:left="-1" w:right="67"/>
              <w:rPr>
                <w:sz w:val="28"/>
              </w:rPr>
            </w:pPr>
            <w:r>
              <w:rPr>
                <w:spacing w:val="-5"/>
                <w:sz w:val="28"/>
              </w:rPr>
              <w:t>103</w:t>
            </w:r>
          </w:p>
        </w:tc>
        <w:tc>
          <w:tcPr>
            <w:tcW w:w="262" w:type="dxa"/>
          </w:tcPr>
          <w:p w14:paraId="48527C13">
            <w:pPr>
              <w:pStyle w:val="13"/>
              <w:ind w:left="20"/>
              <w:jc w:val="center"/>
              <w:rPr>
                <w:sz w:val="28"/>
              </w:rPr>
            </w:pPr>
            <w:r>
              <w:rPr>
                <w:sz w:val="28"/>
              </w:rPr>
              <w:t>-</w:t>
            </w:r>
          </w:p>
        </w:tc>
      </w:tr>
      <w:tr w14:paraId="77FF898D">
        <w:tblPrEx>
          <w:tblCellMar>
            <w:top w:w="0" w:type="dxa"/>
            <w:left w:w="0" w:type="dxa"/>
            <w:bottom w:w="0" w:type="dxa"/>
            <w:right w:w="0" w:type="dxa"/>
          </w:tblCellMar>
        </w:tblPrEx>
        <w:trPr>
          <w:trHeight w:val="623" w:hRule="atLeast"/>
        </w:trPr>
        <w:tc>
          <w:tcPr>
            <w:tcW w:w="8359" w:type="dxa"/>
          </w:tcPr>
          <w:p w14:paraId="7408EE2E">
            <w:pPr>
              <w:pStyle w:val="13"/>
              <w:tabs>
                <w:tab w:val="left" w:leader="dot" w:pos="7024"/>
              </w:tabs>
              <w:spacing w:before="147"/>
              <w:ind w:right="131"/>
              <w:rPr>
                <w:sz w:val="28"/>
              </w:rPr>
            </w:pPr>
            <w:r>
              <w:rPr>
                <w:sz w:val="28"/>
              </w:rPr>
              <w:t>第四节</w:t>
            </w:r>
            <w:r>
              <w:rPr>
                <w:spacing w:val="49"/>
                <w:w w:val="150"/>
                <w:sz w:val="28"/>
              </w:rPr>
              <w:t xml:space="preserve"> </w:t>
            </w:r>
            <w:r>
              <w:rPr>
                <w:sz w:val="28"/>
              </w:rPr>
              <w:t>突出重点领域体制改</w:t>
            </w:r>
            <w:r>
              <w:rPr>
                <w:spacing w:val="-10"/>
                <w:sz w:val="28"/>
              </w:rPr>
              <w:t>革</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39"/>
                <w:position w:val="2"/>
                <w:sz w:val="28"/>
              </w:rPr>
              <w:t xml:space="preserve"> </w:t>
            </w:r>
            <w:r>
              <w:rPr>
                <w:spacing w:val="-10"/>
                <w:sz w:val="28"/>
              </w:rPr>
              <w:t>-</w:t>
            </w:r>
          </w:p>
        </w:tc>
        <w:tc>
          <w:tcPr>
            <w:tcW w:w="495" w:type="dxa"/>
          </w:tcPr>
          <w:p w14:paraId="15A646FC">
            <w:pPr>
              <w:pStyle w:val="13"/>
              <w:ind w:left="-1" w:right="67"/>
              <w:rPr>
                <w:sz w:val="28"/>
              </w:rPr>
            </w:pPr>
            <w:r>
              <w:rPr>
                <w:spacing w:val="-5"/>
                <w:sz w:val="28"/>
              </w:rPr>
              <w:t>105</w:t>
            </w:r>
          </w:p>
        </w:tc>
        <w:tc>
          <w:tcPr>
            <w:tcW w:w="262" w:type="dxa"/>
          </w:tcPr>
          <w:p w14:paraId="26FDF728">
            <w:pPr>
              <w:pStyle w:val="13"/>
              <w:ind w:left="20"/>
              <w:jc w:val="center"/>
              <w:rPr>
                <w:sz w:val="28"/>
              </w:rPr>
            </w:pPr>
            <w:r>
              <w:rPr>
                <w:sz w:val="28"/>
              </w:rPr>
              <w:t>-</w:t>
            </w:r>
          </w:p>
        </w:tc>
      </w:tr>
      <w:tr w14:paraId="799F0CCE">
        <w:tblPrEx>
          <w:tblCellMar>
            <w:top w:w="0" w:type="dxa"/>
            <w:left w:w="0" w:type="dxa"/>
            <w:bottom w:w="0" w:type="dxa"/>
            <w:right w:w="0" w:type="dxa"/>
          </w:tblCellMar>
        </w:tblPrEx>
        <w:trPr>
          <w:trHeight w:val="624" w:hRule="atLeast"/>
        </w:trPr>
        <w:tc>
          <w:tcPr>
            <w:tcW w:w="8359" w:type="dxa"/>
          </w:tcPr>
          <w:p w14:paraId="214CE621">
            <w:pPr>
              <w:pStyle w:val="13"/>
              <w:tabs>
                <w:tab w:val="left" w:leader="dot" w:pos="7878"/>
              </w:tabs>
              <w:spacing w:before="147"/>
              <w:ind w:left="50"/>
              <w:jc w:val="left"/>
              <w:rPr>
                <w:b/>
                <w:sz w:val="28"/>
              </w:rPr>
            </w:pPr>
            <w:r>
              <w:rPr>
                <w:b/>
                <w:sz w:val="28"/>
              </w:rPr>
              <w:t>第七篇</w:t>
            </w:r>
            <w:r>
              <w:rPr>
                <w:b/>
                <w:spacing w:val="77"/>
                <w:sz w:val="28"/>
              </w:rPr>
              <w:t xml:space="preserve"> </w:t>
            </w:r>
            <w:r>
              <w:rPr>
                <w:b/>
                <w:sz w:val="28"/>
              </w:rPr>
              <w:t>坚持人民至上，共享全面发展新成</w:t>
            </w:r>
            <w:r>
              <w:rPr>
                <w:b/>
                <w:spacing w:val="-10"/>
                <w:sz w:val="28"/>
              </w:rPr>
              <w:t>果</w:t>
            </w:r>
            <w:r>
              <w:rPr>
                <w:rFonts w:ascii="Times New Roman" w:eastAsia="Times New Roman"/>
                <w:sz w:val="28"/>
              </w:rPr>
              <w:tab/>
            </w:r>
            <w:r>
              <w:rPr>
                <w:rFonts w:ascii="Times New Roman" w:eastAsia="Times New Roman"/>
                <w:b/>
                <w:position w:val="2"/>
                <w:sz w:val="28"/>
              </w:rPr>
              <w:t>..</w:t>
            </w:r>
            <w:r>
              <w:rPr>
                <w:rFonts w:ascii="Times New Roman" w:eastAsia="Times New Roman"/>
                <w:b/>
                <w:spacing w:val="-15"/>
                <w:position w:val="2"/>
                <w:sz w:val="28"/>
              </w:rPr>
              <w:t xml:space="preserve"> </w:t>
            </w:r>
            <w:r>
              <w:rPr>
                <w:b/>
                <w:spacing w:val="-10"/>
                <w:sz w:val="28"/>
              </w:rPr>
              <w:t>-</w:t>
            </w:r>
          </w:p>
        </w:tc>
        <w:tc>
          <w:tcPr>
            <w:tcW w:w="495" w:type="dxa"/>
          </w:tcPr>
          <w:p w14:paraId="1E2535DD">
            <w:pPr>
              <w:pStyle w:val="13"/>
              <w:ind w:left="-1" w:right="69"/>
              <w:rPr>
                <w:b/>
                <w:sz w:val="28"/>
              </w:rPr>
            </w:pPr>
            <w:r>
              <w:rPr>
                <w:b/>
                <w:spacing w:val="-5"/>
                <w:sz w:val="28"/>
              </w:rPr>
              <w:t>107</w:t>
            </w:r>
          </w:p>
        </w:tc>
        <w:tc>
          <w:tcPr>
            <w:tcW w:w="262" w:type="dxa"/>
          </w:tcPr>
          <w:p w14:paraId="149029C4">
            <w:pPr>
              <w:pStyle w:val="13"/>
              <w:ind w:left="16"/>
              <w:jc w:val="center"/>
              <w:rPr>
                <w:b/>
                <w:sz w:val="28"/>
              </w:rPr>
            </w:pPr>
            <w:r>
              <w:rPr>
                <w:b/>
                <w:w w:val="99"/>
                <w:sz w:val="28"/>
              </w:rPr>
              <w:t>-</w:t>
            </w:r>
          </w:p>
        </w:tc>
      </w:tr>
      <w:tr w14:paraId="4AB0C3CF">
        <w:tblPrEx>
          <w:tblCellMar>
            <w:top w:w="0" w:type="dxa"/>
            <w:left w:w="0" w:type="dxa"/>
            <w:bottom w:w="0" w:type="dxa"/>
            <w:right w:w="0" w:type="dxa"/>
          </w:tblCellMar>
        </w:tblPrEx>
        <w:trPr>
          <w:trHeight w:val="623" w:hRule="atLeast"/>
        </w:trPr>
        <w:tc>
          <w:tcPr>
            <w:tcW w:w="8359" w:type="dxa"/>
          </w:tcPr>
          <w:p w14:paraId="65BB3B69">
            <w:pPr>
              <w:pStyle w:val="13"/>
              <w:tabs>
                <w:tab w:val="left" w:leader="dot" w:pos="7464"/>
              </w:tabs>
              <w:spacing w:before="147"/>
              <w:ind w:right="136"/>
              <w:rPr>
                <w:b/>
                <w:sz w:val="28"/>
              </w:rPr>
            </w:pPr>
            <w:r>
              <w:rPr>
                <w:b/>
                <w:sz w:val="28"/>
              </w:rPr>
              <w:t>第十三章</w:t>
            </w:r>
            <w:r>
              <w:rPr>
                <w:b/>
                <w:spacing w:val="89"/>
                <w:sz w:val="28"/>
              </w:rPr>
              <w:t xml:space="preserve"> </w:t>
            </w:r>
            <w:r>
              <w:rPr>
                <w:b/>
                <w:sz w:val="28"/>
              </w:rPr>
              <w:t>持续改善和增进民生福</w:t>
            </w:r>
            <w:r>
              <w:rPr>
                <w:b/>
                <w:spacing w:val="-10"/>
                <w:sz w:val="28"/>
              </w:rPr>
              <w:t>祉</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495" w:type="dxa"/>
          </w:tcPr>
          <w:p w14:paraId="5AE31FA8">
            <w:pPr>
              <w:pStyle w:val="13"/>
              <w:ind w:left="-1" w:right="67"/>
              <w:rPr>
                <w:b/>
                <w:sz w:val="28"/>
              </w:rPr>
            </w:pPr>
            <w:r>
              <w:rPr>
                <w:b/>
                <w:spacing w:val="-5"/>
                <w:sz w:val="28"/>
              </w:rPr>
              <w:t>107</w:t>
            </w:r>
          </w:p>
        </w:tc>
        <w:tc>
          <w:tcPr>
            <w:tcW w:w="262" w:type="dxa"/>
          </w:tcPr>
          <w:p w14:paraId="56425B2D">
            <w:pPr>
              <w:pStyle w:val="13"/>
              <w:ind w:left="20"/>
              <w:jc w:val="center"/>
              <w:rPr>
                <w:b/>
                <w:sz w:val="28"/>
              </w:rPr>
            </w:pPr>
            <w:r>
              <w:rPr>
                <w:b/>
                <w:w w:val="99"/>
                <w:sz w:val="28"/>
              </w:rPr>
              <w:t>-</w:t>
            </w:r>
          </w:p>
        </w:tc>
      </w:tr>
      <w:tr w14:paraId="0FD55BB7">
        <w:tblPrEx>
          <w:tblCellMar>
            <w:top w:w="0" w:type="dxa"/>
            <w:left w:w="0" w:type="dxa"/>
            <w:bottom w:w="0" w:type="dxa"/>
            <w:right w:w="0" w:type="dxa"/>
          </w:tblCellMar>
        </w:tblPrEx>
        <w:trPr>
          <w:trHeight w:val="624" w:hRule="atLeast"/>
        </w:trPr>
        <w:tc>
          <w:tcPr>
            <w:tcW w:w="8359" w:type="dxa"/>
          </w:tcPr>
          <w:p w14:paraId="7A54BCB4">
            <w:pPr>
              <w:pStyle w:val="13"/>
              <w:tabs>
                <w:tab w:val="left" w:leader="dot" w:pos="6997"/>
              </w:tabs>
              <w:spacing w:before="147"/>
              <w:ind w:right="131"/>
              <w:rPr>
                <w:sz w:val="28"/>
              </w:rPr>
            </w:pPr>
            <w:r>
              <w:rPr>
                <w:spacing w:val="11"/>
                <w:sz w:val="28"/>
              </w:rPr>
              <w:t>第</w:t>
            </w:r>
            <w:r>
              <w:rPr>
                <w:sz w:val="28"/>
              </w:rPr>
              <w:t>一节</w:t>
            </w:r>
            <w:r>
              <w:rPr>
                <w:spacing w:val="34"/>
                <w:sz w:val="28"/>
              </w:rPr>
              <w:t xml:space="preserve">  </w:t>
            </w:r>
            <w:r>
              <w:rPr>
                <w:spacing w:val="11"/>
                <w:sz w:val="28"/>
              </w:rPr>
              <w:t>实</w:t>
            </w:r>
            <w:r>
              <w:rPr>
                <w:sz w:val="28"/>
              </w:rPr>
              <w:t>现</w:t>
            </w:r>
            <w:r>
              <w:rPr>
                <w:spacing w:val="11"/>
                <w:sz w:val="28"/>
              </w:rPr>
              <w:t>更加</w:t>
            </w:r>
            <w:r>
              <w:rPr>
                <w:sz w:val="28"/>
              </w:rPr>
              <w:t>充</w:t>
            </w:r>
            <w:r>
              <w:rPr>
                <w:spacing w:val="11"/>
                <w:sz w:val="28"/>
              </w:rPr>
              <w:t>分就</w:t>
            </w:r>
            <w:r>
              <w:rPr>
                <w:sz w:val="28"/>
              </w:rPr>
              <w:t>业</w:t>
            </w:r>
            <w:r>
              <w:rPr>
                <w:spacing w:val="11"/>
                <w:sz w:val="28"/>
              </w:rPr>
              <w:t>创</w:t>
            </w:r>
            <w:r>
              <w:rPr>
                <w:spacing w:val="-10"/>
                <w:sz w:val="28"/>
              </w:rPr>
              <w:t>业</w:t>
            </w:r>
            <w:r>
              <w:rPr>
                <w:rFonts w:ascii="Times New Roman" w:eastAsia="Times New Roman"/>
                <w:sz w:val="28"/>
              </w:rPr>
              <w:tab/>
            </w:r>
            <w:r>
              <w:rPr>
                <w:rFonts w:ascii="Times New Roman" w:eastAsia="Times New Roman"/>
                <w:position w:val="2"/>
                <w:sz w:val="28"/>
              </w:rPr>
              <w:t>..</w:t>
            </w:r>
            <w:r>
              <w:rPr>
                <w:rFonts w:ascii="Times New Roman" w:eastAsia="Times New Roman"/>
                <w:spacing w:val="-16"/>
                <w:position w:val="2"/>
                <w:sz w:val="28"/>
              </w:rPr>
              <w:t xml:space="preserve"> </w:t>
            </w:r>
            <w:r>
              <w:rPr>
                <w:spacing w:val="-10"/>
                <w:sz w:val="28"/>
              </w:rPr>
              <w:t>-</w:t>
            </w:r>
          </w:p>
        </w:tc>
        <w:tc>
          <w:tcPr>
            <w:tcW w:w="495" w:type="dxa"/>
          </w:tcPr>
          <w:p w14:paraId="1FD843CC">
            <w:pPr>
              <w:pStyle w:val="13"/>
              <w:ind w:left="-1" w:right="67"/>
              <w:rPr>
                <w:sz w:val="28"/>
              </w:rPr>
            </w:pPr>
            <w:r>
              <w:rPr>
                <w:spacing w:val="-5"/>
                <w:sz w:val="28"/>
              </w:rPr>
              <w:t>107</w:t>
            </w:r>
          </w:p>
        </w:tc>
        <w:tc>
          <w:tcPr>
            <w:tcW w:w="262" w:type="dxa"/>
          </w:tcPr>
          <w:p w14:paraId="46ADAD12">
            <w:pPr>
              <w:pStyle w:val="13"/>
              <w:ind w:left="20"/>
              <w:jc w:val="center"/>
              <w:rPr>
                <w:sz w:val="28"/>
              </w:rPr>
            </w:pPr>
            <w:r>
              <w:rPr>
                <w:sz w:val="28"/>
              </w:rPr>
              <w:t>-</w:t>
            </w:r>
          </w:p>
        </w:tc>
      </w:tr>
      <w:tr w14:paraId="06E9934B">
        <w:tblPrEx>
          <w:tblCellMar>
            <w:top w:w="0" w:type="dxa"/>
            <w:left w:w="0" w:type="dxa"/>
            <w:bottom w:w="0" w:type="dxa"/>
            <w:right w:w="0" w:type="dxa"/>
          </w:tblCellMar>
        </w:tblPrEx>
        <w:trPr>
          <w:trHeight w:val="623" w:hRule="atLeast"/>
        </w:trPr>
        <w:tc>
          <w:tcPr>
            <w:tcW w:w="8359" w:type="dxa"/>
          </w:tcPr>
          <w:p w14:paraId="072C3C99">
            <w:pPr>
              <w:pStyle w:val="13"/>
              <w:tabs>
                <w:tab w:val="left" w:leader="dot" w:pos="6997"/>
              </w:tabs>
              <w:spacing w:before="147"/>
              <w:ind w:right="131"/>
              <w:rPr>
                <w:sz w:val="28"/>
              </w:rPr>
            </w:pPr>
            <w:r>
              <w:rPr>
                <w:spacing w:val="11"/>
                <w:sz w:val="28"/>
              </w:rPr>
              <w:t>第</w:t>
            </w:r>
            <w:r>
              <w:rPr>
                <w:sz w:val="28"/>
              </w:rPr>
              <w:t>二节</w:t>
            </w:r>
            <w:r>
              <w:rPr>
                <w:spacing w:val="34"/>
                <w:sz w:val="28"/>
              </w:rPr>
              <w:t xml:space="preserve">  </w:t>
            </w:r>
            <w:r>
              <w:rPr>
                <w:spacing w:val="11"/>
                <w:sz w:val="28"/>
              </w:rPr>
              <w:t>加</w:t>
            </w:r>
            <w:r>
              <w:rPr>
                <w:sz w:val="28"/>
              </w:rPr>
              <w:t>快</w:t>
            </w:r>
            <w:r>
              <w:rPr>
                <w:spacing w:val="11"/>
                <w:sz w:val="28"/>
              </w:rPr>
              <w:t>教育</w:t>
            </w:r>
            <w:r>
              <w:rPr>
                <w:sz w:val="28"/>
              </w:rPr>
              <w:t>均</w:t>
            </w:r>
            <w:r>
              <w:rPr>
                <w:spacing w:val="11"/>
                <w:sz w:val="28"/>
              </w:rPr>
              <w:t>衡高</w:t>
            </w:r>
            <w:r>
              <w:rPr>
                <w:sz w:val="28"/>
              </w:rPr>
              <w:t>质</w:t>
            </w:r>
            <w:r>
              <w:rPr>
                <w:spacing w:val="11"/>
                <w:sz w:val="28"/>
              </w:rPr>
              <w:t>发</w:t>
            </w:r>
            <w:r>
              <w:rPr>
                <w:spacing w:val="-10"/>
                <w:sz w:val="28"/>
              </w:rPr>
              <w:t>展</w:t>
            </w:r>
            <w:r>
              <w:rPr>
                <w:rFonts w:ascii="Times New Roman" w:eastAsia="Times New Roman"/>
                <w:sz w:val="28"/>
              </w:rPr>
              <w:tab/>
            </w:r>
            <w:r>
              <w:rPr>
                <w:rFonts w:ascii="Times New Roman" w:eastAsia="Times New Roman"/>
                <w:position w:val="2"/>
                <w:sz w:val="28"/>
              </w:rPr>
              <w:t>..</w:t>
            </w:r>
            <w:r>
              <w:rPr>
                <w:rFonts w:ascii="Times New Roman" w:eastAsia="Times New Roman"/>
                <w:spacing w:val="-16"/>
                <w:position w:val="2"/>
                <w:sz w:val="28"/>
              </w:rPr>
              <w:t xml:space="preserve"> </w:t>
            </w:r>
            <w:r>
              <w:rPr>
                <w:spacing w:val="-10"/>
                <w:sz w:val="28"/>
              </w:rPr>
              <w:t>-</w:t>
            </w:r>
          </w:p>
        </w:tc>
        <w:tc>
          <w:tcPr>
            <w:tcW w:w="495" w:type="dxa"/>
          </w:tcPr>
          <w:p w14:paraId="471D6723">
            <w:pPr>
              <w:pStyle w:val="13"/>
              <w:ind w:left="-1" w:right="67"/>
              <w:rPr>
                <w:sz w:val="28"/>
              </w:rPr>
            </w:pPr>
            <w:r>
              <w:rPr>
                <w:spacing w:val="-5"/>
                <w:sz w:val="28"/>
              </w:rPr>
              <w:t>110</w:t>
            </w:r>
          </w:p>
        </w:tc>
        <w:tc>
          <w:tcPr>
            <w:tcW w:w="262" w:type="dxa"/>
          </w:tcPr>
          <w:p w14:paraId="4E0A9456">
            <w:pPr>
              <w:pStyle w:val="13"/>
              <w:ind w:left="20"/>
              <w:jc w:val="center"/>
              <w:rPr>
                <w:sz w:val="28"/>
              </w:rPr>
            </w:pPr>
            <w:r>
              <w:rPr>
                <w:sz w:val="28"/>
              </w:rPr>
              <w:t>-</w:t>
            </w:r>
          </w:p>
        </w:tc>
      </w:tr>
      <w:tr w14:paraId="27B29283">
        <w:tblPrEx>
          <w:tblCellMar>
            <w:top w:w="0" w:type="dxa"/>
            <w:left w:w="0" w:type="dxa"/>
            <w:bottom w:w="0" w:type="dxa"/>
            <w:right w:w="0" w:type="dxa"/>
          </w:tblCellMar>
        </w:tblPrEx>
        <w:trPr>
          <w:trHeight w:val="623" w:hRule="atLeast"/>
        </w:trPr>
        <w:tc>
          <w:tcPr>
            <w:tcW w:w="8359" w:type="dxa"/>
          </w:tcPr>
          <w:p w14:paraId="49C454E0">
            <w:pPr>
              <w:pStyle w:val="13"/>
              <w:tabs>
                <w:tab w:val="left" w:leader="dot" w:pos="6997"/>
              </w:tabs>
              <w:spacing w:before="147"/>
              <w:ind w:right="131"/>
              <w:rPr>
                <w:sz w:val="28"/>
              </w:rPr>
            </w:pPr>
            <w:r>
              <w:rPr>
                <w:spacing w:val="11"/>
                <w:sz w:val="28"/>
              </w:rPr>
              <w:t>第</w:t>
            </w:r>
            <w:r>
              <w:rPr>
                <w:sz w:val="28"/>
              </w:rPr>
              <w:t>三节</w:t>
            </w:r>
            <w:r>
              <w:rPr>
                <w:spacing w:val="34"/>
                <w:sz w:val="28"/>
              </w:rPr>
              <w:t xml:space="preserve">  </w:t>
            </w:r>
            <w:r>
              <w:rPr>
                <w:spacing w:val="11"/>
                <w:sz w:val="28"/>
              </w:rPr>
              <w:t>深</w:t>
            </w:r>
            <w:r>
              <w:rPr>
                <w:sz w:val="28"/>
              </w:rPr>
              <w:t>入</w:t>
            </w:r>
            <w:r>
              <w:rPr>
                <w:spacing w:val="11"/>
                <w:sz w:val="28"/>
              </w:rPr>
              <w:t>推进</w:t>
            </w:r>
            <w:r>
              <w:rPr>
                <w:sz w:val="28"/>
              </w:rPr>
              <w:t>健</w:t>
            </w:r>
            <w:r>
              <w:rPr>
                <w:spacing w:val="11"/>
                <w:sz w:val="28"/>
              </w:rPr>
              <w:t>康金</w:t>
            </w:r>
            <w:r>
              <w:rPr>
                <w:sz w:val="28"/>
              </w:rPr>
              <w:t>凤</w:t>
            </w:r>
            <w:r>
              <w:rPr>
                <w:spacing w:val="11"/>
                <w:sz w:val="28"/>
              </w:rPr>
              <w:t>建</w:t>
            </w:r>
            <w:r>
              <w:rPr>
                <w:spacing w:val="-10"/>
                <w:sz w:val="28"/>
              </w:rPr>
              <w:t>设</w:t>
            </w:r>
            <w:r>
              <w:rPr>
                <w:rFonts w:ascii="Times New Roman" w:eastAsia="Times New Roman"/>
                <w:sz w:val="28"/>
              </w:rPr>
              <w:tab/>
            </w:r>
            <w:r>
              <w:rPr>
                <w:rFonts w:ascii="Times New Roman" w:eastAsia="Times New Roman"/>
                <w:position w:val="2"/>
                <w:sz w:val="28"/>
              </w:rPr>
              <w:t>..</w:t>
            </w:r>
            <w:r>
              <w:rPr>
                <w:rFonts w:ascii="Times New Roman" w:eastAsia="Times New Roman"/>
                <w:spacing w:val="-16"/>
                <w:position w:val="2"/>
                <w:sz w:val="28"/>
              </w:rPr>
              <w:t xml:space="preserve"> </w:t>
            </w:r>
            <w:r>
              <w:rPr>
                <w:spacing w:val="-10"/>
                <w:sz w:val="28"/>
              </w:rPr>
              <w:t>-</w:t>
            </w:r>
          </w:p>
        </w:tc>
        <w:tc>
          <w:tcPr>
            <w:tcW w:w="495" w:type="dxa"/>
          </w:tcPr>
          <w:p w14:paraId="0BF8EACC">
            <w:pPr>
              <w:pStyle w:val="13"/>
              <w:ind w:left="-1" w:right="67"/>
              <w:rPr>
                <w:sz w:val="28"/>
              </w:rPr>
            </w:pPr>
            <w:r>
              <w:rPr>
                <w:spacing w:val="-5"/>
                <w:sz w:val="28"/>
              </w:rPr>
              <w:t>114</w:t>
            </w:r>
          </w:p>
        </w:tc>
        <w:tc>
          <w:tcPr>
            <w:tcW w:w="262" w:type="dxa"/>
          </w:tcPr>
          <w:p w14:paraId="67544A48">
            <w:pPr>
              <w:pStyle w:val="13"/>
              <w:ind w:left="20"/>
              <w:jc w:val="center"/>
              <w:rPr>
                <w:sz w:val="28"/>
              </w:rPr>
            </w:pPr>
            <w:r>
              <w:rPr>
                <w:sz w:val="28"/>
              </w:rPr>
              <w:t>-</w:t>
            </w:r>
          </w:p>
        </w:tc>
      </w:tr>
      <w:tr w14:paraId="5749CB81">
        <w:tblPrEx>
          <w:tblCellMar>
            <w:top w:w="0" w:type="dxa"/>
            <w:left w:w="0" w:type="dxa"/>
            <w:bottom w:w="0" w:type="dxa"/>
            <w:right w:w="0" w:type="dxa"/>
          </w:tblCellMar>
        </w:tblPrEx>
        <w:trPr>
          <w:trHeight w:val="467" w:hRule="atLeast"/>
        </w:trPr>
        <w:tc>
          <w:tcPr>
            <w:tcW w:w="8359" w:type="dxa"/>
          </w:tcPr>
          <w:p w14:paraId="08AB63B7">
            <w:pPr>
              <w:pStyle w:val="13"/>
              <w:tabs>
                <w:tab w:val="left" w:leader="dot" w:pos="7010"/>
              </w:tabs>
              <w:spacing w:before="145" w:line="303" w:lineRule="exact"/>
              <w:ind w:right="131"/>
              <w:rPr>
                <w:sz w:val="28"/>
              </w:rPr>
            </w:pPr>
            <w:r>
              <w:rPr>
                <w:spacing w:val="21"/>
                <w:sz w:val="28"/>
              </w:rPr>
              <w:t>第四</w:t>
            </w:r>
            <w:r>
              <w:rPr>
                <w:sz w:val="28"/>
              </w:rPr>
              <w:t>节</w:t>
            </w:r>
            <w:r>
              <w:rPr>
                <w:spacing w:val="205"/>
                <w:sz w:val="28"/>
              </w:rPr>
              <w:t xml:space="preserve"> </w:t>
            </w:r>
            <w:r>
              <w:rPr>
                <w:spacing w:val="21"/>
                <w:sz w:val="28"/>
              </w:rPr>
              <w:t>扩大</w:t>
            </w:r>
            <w:r>
              <w:rPr>
                <w:spacing w:val="19"/>
                <w:sz w:val="28"/>
              </w:rPr>
              <w:t>社</w:t>
            </w:r>
            <w:r>
              <w:rPr>
                <w:spacing w:val="21"/>
                <w:sz w:val="28"/>
              </w:rPr>
              <w:t>会保障覆盖</w:t>
            </w:r>
            <w:r>
              <w:rPr>
                <w:spacing w:val="19"/>
                <w:sz w:val="28"/>
              </w:rPr>
              <w:t>范</w:t>
            </w:r>
            <w:r>
              <w:rPr>
                <w:spacing w:val="-10"/>
                <w:sz w:val="28"/>
              </w:rPr>
              <w:t>围</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25"/>
                <w:position w:val="2"/>
                <w:sz w:val="28"/>
              </w:rPr>
              <w:t xml:space="preserve"> </w:t>
            </w:r>
            <w:r>
              <w:rPr>
                <w:spacing w:val="-10"/>
                <w:sz w:val="28"/>
              </w:rPr>
              <w:t>-</w:t>
            </w:r>
          </w:p>
        </w:tc>
        <w:tc>
          <w:tcPr>
            <w:tcW w:w="495" w:type="dxa"/>
          </w:tcPr>
          <w:p w14:paraId="321D18D5">
            <w:pPr>
              <w:pStyle w:val="13"/>
              <w:spacing w:line="300" w:lineRule="exact"/>
              <w:ind w:left="-1" w:right="67"/>
              <w:rPr>
                <w:sz w:val="28"/>
              </w:rPr>
            </w:pPr>
            <w:r>
              <w:rPr>
                <w:spacing w:val="-5"/>
                <w:sz w:val="28"/>
              </w:rPr>
              <w:t>124</w:t>
            </w:r>
          </w:p>
        </w:tc>
        <w:tc>
          <w:tcPr>
            <w:tcW w:w="262" w:type="dxa"/>
          </w:tcPr>
          <w:p w14:paraId="214E6372">
            <w:pPr>
              <w:pStyle w:val="13"/>
              <w:spacing w:line="300" w:lineRule="exact"/>
              <w:ind w:left="20"/>
              <w:jc w:val="center"/>
              <w:rPr>
                <w:sz w:val="28"/>
              </w:rPr>
            </w:pPr>
            <w:r>
              <w:rPr>
                <w:sz w:val="28"/>
              </w:rPr>
              <w:t>-</w:t>
            </w:r>
          </w:p>
        </w:tc>
      </w:tr>
    </w:tbl>
    <w:p w14:paraId="2571EBF0">
      <w:pPr>
        <w:spacing w:line="300" w:lineRule="exact"/>
        <w:jc w:val="center"/>
        <w:rPr>
          <w:sz w:val="28"/>
        </w:rPr>
        <w:sectPr>
          <w:pgSz w:w="11910" w:h="16840"/>
          <w:pgMar w:top="1740" w:right="1140" w:bottom="1380" w:left="1320" w:header="0" w:footer="1196" w:gutter="0"/>
          <w:cols w:space="720" w:num="1"/>
        </w:sectPr>
      </w:pPr>
    </w:p>
    <w:tbl>
      <w:tblPr>
        <w:tblStyle w:val="11"/>
        <w:tblW w:w="0" w:type="auto"/>
        <w:tblInd w:w="111" w:type="dxa"/>
        <w:tblLayout w:type="fixed"/>
        <w:tblCellMar>
          <w:top w:w="0" w:type="dxa"/>
          <w:left w:w="0" w:type="dxa"/>
          <w:bottom w:w="0" w:type="dxa"/>
          <w:right w:w="0" w:type="dxa"/>
        </w:tblCellMar>
      </w:tblPr>
      <w:tblGrid>
        <w:gridCol w:w="8292"/>
        <w:gridCol w:w="561"/>
        <w:gridCol w:w="261"/>
      </w:tblGrid>
      <w:tr w14:paraId="7C708D94">
        <w:tblPrEx>
          <w:tblCellMar>
            <w:top w:w="0" w:type="dxa"/>
            <w:left w:w="0" w:type="dxa"/>
            <w:bottom w:w="0" w:type="dxa"/>
            <w:right w:w="0" w:type="dxa"/>
          </w:tblCellMar>
        </w:tblPrEx>
        <w:trPr>
          <w:trHeight w:val="467" w:hRule="atLeast"/>
        </w:trPr>
        <w:tc>
          <w:tcPr>
            <w:tcW w:w="8292" w:type="dxa"/>
          </w:tcPr>
          <w:p w14:paraId="3525A7F1">
            <w:pPr>
              <w:pStyle w:val="13"/>
              <w:tabs>
                <w:tab w:val="left" w:leader="dot" w:pos="6997"/>
              </w:tabs>
              <w:spacing w:before="0" w:line="349" w:lineRule="exact"/>
              <w:ind w:right="64"/>
              <w:rPr>
                <w:sz w:val="28"/>
              </w:rPr>
            </w:pPr>
            <w:r>
              <w:rPr>
                <w:spacing w:val="11"/>
                <w:sz w:val="28"/>
              </w:rPr>
              <w:t>第</w:t>
            </w:r>
            <w:r>
              <w:rPr>
                <w:sz w:val="28"/>
              </w:rPr>
              <w:t>五节</w:t>
            </w:r>
            <w:r>
              <w:rPr>
                <w:spacing w:val="34"/>
                <w:sz w:val="28"/>
              </w:rPr>
              <w:t xml:space="preserve">  </w:t>
            </w:r>
            <w:r>
              <w:rPr>
                <w:spacing w:val="11"/>
                <w:sz w:val="28"/>
              </w:rPr>
              <w:t>提</w:t>
            </w:r>
            <w:r>
              <w:rPr>
                <w:sz w:val="28"/>
              </w:rPr>
              <w:t>高</w:t>
            </w:r>
            <w:r>
              <w:rPr>
                <w:spacing w:val="11"/>
                <w:sz w:val="28"/>
              </w:rPr>
              <w:t>人口</w:t>
            </w:r>
            <w:r>
              <w:rPr>
                <w:sz w:val="28"/>
              </w:rPr>
              <w:t>管</w:t>
            </w:r>
            <w:r>
              <w:rPr>
                <w:spacing w:val="11"/>
                <w:sz w:val="28"/>
              </w:rPr>
              <w:t>理服</w:t>
            </w:r>
            <w:r>
              <w:rPr>
                <w:sz w:val="28"/>
              </w:rPr>
              <w:t>务</w:t>
            </w:r>
            <w:r>
              <w:rPr>
                <w:spacing w:val="11"/>
                <w:sz w:val="28"/>
              </w:rPr>
              <w:t>水</w:t>
            </w:r>
            <w:r>
              <w:rPr>
                <w:spacing w:val="-10"/>
                <w:sz w:val="28"/>
              </w:rPr>
              <w:t>平</w:t>
            </w:r>
            <w:r>
              <w:rPr>
                <w:rFonts w:ascii="Times New Roman" w:eastAsia="Times New Roman"/>
                <w:sz w:val="28"/>
              </w:rPr>
              <w:tab/>
            </w:r>
            <w:r>
              <w:rPr>
                <w:rFonts w:ascii="Times New Roman" w:eastAsia="Times New Roman"/>
                <w:position w:val="2"/>
                <w:sz w:val="28"/>
              </w:rPr>
              <w:t>..</w:t>
            </w:r>
            <w:r>
              <w:rPr>
                <w:rFonts w:ascii="Times New Roman" w:eastAsia="Times New Roman"/>
                <w:spacing w:val="-16"/>
                <w:position w:val="2"/>
                <w:sz w:val="28"/>
              </w:rPr>
              <w:t xml:space="preserve"> </w:t>
            </w:r>
            <w:r>
              <w:rPr>
                <w:spacing w:val="-10"/>
                <w:sz w:val="28"/>
              </w:rPr>
              <w:t>-</w:t>
            </w:r>
          </w:p>
        </w:tc>
        <w:tc>
          <w:tcPr>
            <w:tcW w:w="561" w:type="dxa"/>
          </w:tcPr>
          <w:p w14:paraId="00A8AA7C">
            <w:pPr>
              <w:pStyle w:val="13"/>
              <w:spacing w:before="0" w:line="351" w:lineRule="exact"/>
              <w:ind w:right="66"/>
              <w:rPr>
                <w:sz w:val="28"/>
              </w:rPr>
            </w:pPr>
            <w:r>
              <w:rPr>
                <w:spacing w:val="-5"/>
                <w:sz w:val="28"/>
              </w:rPr>
              <w:t>126</w:t>
            </w:r>
          </w:p>
        </w:tc>
        <w:tc>
          <w:tcPr>
            <w:tcW w:w="261" w:type="dxa"/>
          </w:tcPr>
          <w:p w14:paraId="61A11A08">
            <w:pPr>
              <w:pStyle w:val="13"/>
              <w:spacing w:before="0" w:line="351" w:lineRule="exact"/>
              <w:ind w:left="23"/>
              <w:jc w:val="center"/>
              <w:rPr>
                <w:sz w:val="28"/>
              </w:rPr>
            </w:pPr>
            <w:r>
              <w:rPr>
                <w:sz w:val="28"/>
              </w:rPr>
              <w:t>-</w:t>
            </w:r>
          </w:p>
        </w:tc>
      </w:tr>
      <w:tr w14:paraId="21D38D9C">
        <w:tblPrEx>
          <w:tblCellMar>
            <w:top w:w="0" w:type="dxa"/>
            <w:left w:w="0" w:type="dxa"/>
            <w:bottom w:w="0" w:type="dxa"/>
            <w:right w:w="0" w:type="dxa"/>
          </w:tblCellMar>
        </w:tblPrEx>
        <w:trPr>
          <w:trHeight w:val="624" w:hRule="atLeast"/>
        </w:trPr>
        <w:tc>
          <w:tcPr>
            <w:tcW w:w="8292" w:type="dxa"/>
          </w:tcPr>
          <w:p w14:paraId="04F468EC">
            <w:pPr>
              <w:pStyle w:val="13"/>
              <w:tabs>
                <w:tab w:val="left" w:leader="dot" w:pos="6997"/>
              </w:tabs>
              <w:spacing w:before="147"/>
              <w:ind w:right="64"/>
              <w:rPr>
                <w:sz w:val="28"/>
              </w:rPr>
            </w:pPr>
            <w:r>
              <w:rPr>
                <w:spacing w:val="11"/>
                <w:sz w:val="28"/>
              </w:rPr>
              <w:t>第</w:t>
            </w:r>
            <w:r>
              <w:rPr>
                <w:sz w:val="28"/>
              </w:rPr>
              <w:t>六节</w:t>
            </w:r>
            <w:r>
              <w:rPr>
                <w:spacing w:val="34"/>
                <w:sz w:val="28"/>
              </w:rPr>
              <w:t xml:space="preserve">  </w:t>
            </w:r>
            <w:r>
              <w:rPr>
                <w:spacing w:val="11"/>
                <w:sz w:val="28"/>
              </w:rPr>
              <w:t>推</w:t>
            </w:r>
            <w:r>
              <w:rPr>
                <w:sz w:val="28"/>
              </w:rPr>
              <w:t>进</w:t>
            </w:r>
            <w:r>
              <w:rPr>
                <w:spacing w:val="11"/>
                <w:sz w:val="28"/>
              </w:rPr>
              <w:t>军</w:t>
            </w:r>
            <w:r>
              <w:rPr>
                <w:sz w:val="28"/>
              </w:rPr>
              <w:t>民</w:t>
            </w:r>
            <w:r>
              <w:rPr>
                <w:spacing w:val="11"/>
                <w:sz w:val="28"/>
              </w:rPr>
              <w:t>融合深</w:t>
            </w:r>
            <w:r>
              <w:rPr>
                <w:sz w:val="28"/>
              </w:rPr>
              <w:t>度</w:t>
            </w:r>
            <w:r>
              <w:rPr>
                <w:spacing w:val="11"/>
                <w:sz w:val="28"/>
              </w:rPr>
              <w:t>发</w:t>
            </w:r>
            <w:r>
              <w:rPr>
                <w:spacing w:val="-10"/>
                <w:sz w:val="28"/>
              </w:rPr>
              <w:t>展</w:t>
            </w:r>
            <w:r>
              <w:rPr>
                <w:rFonts w:ascii="Times New Roman" w:eastAsia="Times New Roman"/>
                <w:sz w:val="28"/>
              </w:rPr>
              <w:tab/>
            </w:r>
            <w:r>
              <w:rPr>
                <w:rFonts w:ascii="Times New Roman" w:eastAsia="Times New Roman"/>
                <w:position w:val="2"/>
                <w:sz w:val="28"/>
              </w:rPr>
              <w:t>..</w:t>
            </w:r>
            <w:r>
              <w:rPr>
                <w:rFonts w:ascii="Times New Roman" w:eastAsia="Times New Roman"/>
                <w:spacing w:val="-16"/>
                <w:position w:val="2"/>
                <w:sz w:val="28"/>
              </w:rPr>
              <w:t xml:space="preserve"> </w:t>
            </w:r>
            <w:r>
              <w:rPr>
                <w:spacing w:val="-10"/>
                <w:sz w:val="28"/>
              </w:rPr>
              <w:t>-</w:t>
            </w:r>
          </w:p>
        </w:tc>
        <w:tc>
          <w:tcPr>
            <w:tcW w:w="561" w:type="dxa"/>
          </w:tcPr>
          <w:p w14:paraId="2F69C67B">
            <w:pPr>
              <w:pStyle w:val="13"/>
              <w:ind w:right="66"/>
              <w:rPr>
                <w:sz w:val="28"/>
              </w:rPr>
            </w:pPr>
            <w:r>
              <w:rPr>
                <w:spacing w:val="-5"/>
                <w:sz w:val="28"/>
              </w:rPr>
              <w:t>129</w:t>
            </w:r>
          </w:p>
        </w:tc>
        <w:tc>
          <w:tcPr>
            <w:tcW w:w="261" w:type="dxa"/>
          </w:tcPr>
          <w:p w14:paraId="07F01EA0">
            <w:pPr>
              <w:pStyle w:val="13"/>
              <w:ind w:left="23"/>
              <w:jc w:val="center"/>
              <w:rPr>
                <w:sz w:val="28"/>
              </w:rPr>
            </w:pPr>
            <w:r>
              <w:rPr>
                <w:sz w:val="28"/>
              </w:rPr>
              <w:t>-</w:t>
            </w:r>
          </w:p>
        </w:tc>
      </w:tr>
      <w:tr w14:paraId="7C6F77E7">
        <w:tblPrEx>
          <w:tblCellMar>
            <w:top w:w="0" w:type="dxa"/>
            <w:left w:w="0" w:type="dxa"/>
            <w:bottom w:w="0" w:type="dxa"/>
            <w:right w:w="0" w:type="dxa"/>
          </w:tblCellMar>
        </w:tblPrEx>
        <w:trPr>
          <w:trHeight w:val="624" w:hRule="atLeast"/>
        </w:trPr>
        <w:tc>
          <w:tcPr>
            <w:tcW w:w="8292" w:type="dxa"/>
          </w:tcPr>
          <w:p w14:paraId="4BEC56F6">
            <w:pPr>
              <w:pStyle w:val="13"/>
              <w:tabs>
                <w:tab w:val="left" w:leader="dot" w:pos="7452"/>
              </w:tabs>
              <w:spacing w:before="147"/>
              <w:ind w:right="69"/>
              <w:rPr>
                <w:b/>
                <w:sz w:val="28"/>
              </w:rPr>
            </w:pPr>
            <w:r>
              <w:rPr>
                <w:b/>
                <w:sz w:val="28"/>
              </w:rPr>
              <w:t>第十四章</w:t>
            </w:r>
            <w:r>
              <w:rPr>
                <w:b/>
                <w:spacing w:val="97"/>
                <w:sz w:val="28"/>
              </w:rPr>
              <w:t xml:space="preserve"> </w:t>
            </w:r>
            <w:r>
              <w:rPr>
                <w:b/>
                <w:sz w:val="28"/>
              </w:rPr>
              <w:t>建设现代化文化强</w:t>
            </w:r>
            <w:r>
              <w:rPr>
                <w:b/>
                <w:spacing w:val="-10"/>
                <w:sz w:val="28"/>
              </w:rPr>
              <w:t>区</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561" w:type="dxa"/>
          </w:tcPr>
          <w:p w14:paraId="44D10B89">
            <w:pPr>
              <w:pStyle w:val="13"/>
              <w:ind w:right="66"/>
              <w:rPr>
                <w:b/>
                <w:sz w:val="28"/>
              </w:rPr>
            </w:pPr>
            <w:r>
              <w:rPr>
                <w:b/>
                <w:spacing w:val="-5"/>
                <w:sz w:val="28"/>
              </w:rPr>
              <w:t>130</w:t>
            </w:r>
          </w:p>
        </w:tc>
        <w:tc>
          <w:tcPr>
            <w:tcW w:w="261" w:type="dxa"/>
          </w:tcPr>
          <w:p w14:paraId="22B45D64">
            <w:pPr>
              <w:pStyle w:val="13"/>
              <w:ind w:left="23"/>
              <w:jc w:val="center"/>
              <w:rPr>
                <w:b/>
                <w:sz w:val="28"/>
              </w:rPr>
            </w:pPr>
            <w:r>
              <w:rPr>
                <w:b/>
                <w:w w:val="99"/>
                <w:sz w:val="28"/>
              </w:rPr>
              <w:t>-</w:t>
            </w:r>
          </w:p>
        </w:tc>
      </w:tr>
      <w:tr w14:paraId="6EB38C3A">
        <w:tblPrEx>
          <w:tblCellMar>
            <w:top w:w="0" w:type="dxa"/>
            <w:left w:w="0" w:type="dxa"/>
            <w:bottom w:w="0" w:type="dxa"/>
            <w:right w:w="0" w:type="dxa"/>
          </w:tblCellMar>
        </w:tblPrEx>
        <w:trPr>
          <w:trHeight w:val="624" w:hRule="atLeast"/>
        </w:trPr>
        <w:tc>
          <w:tcPr>
            <w:tcW w:w="8292" w:type="dxa"/>
          </w:tcPr>
          <w:p w14:paraId="5B57CA0F">
            <w:pPr>
              <w:pStyle w:val="13"/>
              <w:tabs>
                <w:tab w:val="left" w:leader="dot" w:pos="7030"/>
              </w:tabs>
              <w:spacing w:before="147"/>
              <w:ind w:right="64"/>
              <w:rPr>
                <w:sz w:val="28"/>
              </w:rPr>
            </w:pPr>
            <w:r>
              <w:rPr>
                <w:spacing w:val="11"/>
                <w:sz w:val="28"/>
              </w:rPr>
              <w:t>第</w:t>
            </w:r>
            <w:r>
              <w:rPr>
                <w:sz w:val="28"/>
              </w:rPr>
              <w:t>一节</w:t>
            </w:r>
            <w:r>
              <w:rPr>
                <w:spacing w:val="40"/>
                <w:sz w:val="28"/>
              </w:rPr>
              <w:t xml:space="preserve">  </w:t>
            </w:r>
            <w:r>
              <w:rPr>
                <w:spacing w:val="11"/>
                <w:sz w:val="28"/>
              </w:rPr>
              <w:t>全</w:t>
            </w:r>
            <w:r>
              <w:rPr>
                <w:sz w:val="28"/>
              </w:rPr>
              <w:t>力</w:t>
            </w:r>
            <w:r>
              <w:rPr>
                <w:spacing w:val="11"/>
                <w:sz w:val="28"/>
              </w:rPr>
              <w:t>推进</w:t>
            </w:r>
            <w:r>
              <w:rPr>
                <w:sz w:val="28"/>
              </w:rPr>
              <w:t>精</w:t>
            </w:r>
            <w:r>
              <w:rPr>
                <w:spacing w:val="11"/>
                <w:sz w:val="28"/>
              </w:rPr>
              <w:t>神文</w:t>
            </w:r>
            <w:r>
              <w:rPr>
                <w:sz w:val="28"/>
              </w:rPr>
              <w:t>明</w:t>
            </w:r>
            <w:r>
              <w:rPr>
                <w:spacing w:val="11"/>
                <w:sz w:val="28"/>
              </w:rPr>
              <w:t>创建</w:t>
            </w:r>
            <w:r>
              <w:rPr>
                <w:sz w:val="28"/>
              </w:rPr>
              <w:t>工</w:t>
            </w:r>
            <w:r>
              <w:rPr>
                <w:spacing w:val="-10"/>
                <w:sz w:val="28"/>
              </w:rPr>
              <w:t>作</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561" w:type="dxa"/>
          </w:tcPr>
          <w:p w14:paraId="51EF8614">
            <w:pPr>
              <w:pStyle w:val="13"/>
              <w:ind w:right="66"/>
              <w:rPr>
                <w:sz w:val="28"/>
              </w:rPr>
            </w:pPr>
            <w:r>
              <w:rPr>
                <w:spacing w:val="-5"/>
                <w:sz w:val="28"/>
              </w:rPr>
              <w:t>130</w:t>
            </w:r>
          </w:p>
        </w:tc>
        <w:tc>
          <w:tcPr>
            <w:tcW w:w="261" w:type="dxa"/>
          </w:tcPr>
          <w:p w14:paraId="6CF784EE">
            <w:pPr>
              <w:pStyle w:val="13"/>
              <w:ind w:left="23"/>
              <w:jc w:val="center"/>
              <w:rPr>
                <w:sz w:val="28"/>
              </w:rPr>
            </w:pPr>
            <w:r>
              <w:rPr>
                <w:sz w:val="28"/>
              </w:rPr>
              <w:t>-</w:t>
            </w:r>
          </w:p>
        </w:tc>
      </w:tr>
      <w:tr w14:paraId="7315E2AD">
        <w:tblPrEx>
          <w:tblCellMar>
            <w:top w:w="0" w:type="dxa"/>
            <w:left w:w="0" w:type="dxa"/>
            <w:bottom w:w="0" w:type="dxa"/>
            <w:right w:w="0" w:type="dxa"/>
          </w:tblCellMar>
        </w:tblPrEx>
        <w:trPr>
          <w:trHeight w:val="623" w:hRule="atLeast"/>
        </w:trPr>
        <w:tc>
          <w:tcPr>
            <w:tcW w:w="8292" w:type="dxa"/>
          </w:tcPr>
          <w:p w14:paraId="79179151">
            <w:pPr>
              <w:pStyle w:val="13"/>
              <w:tabs>
                <w:tab w:val="left" w:leader="dot" w:pos="7045"/>
              </w:tabs>
              <w:spacing w:before="147"/>
              <w:ind w:right="64"/>
              <w:rPr>
                <w:sz w:val="28"/>
              </w:rPr>
            </w:pPr>
            <w:r>
              <w:rPr>
                <w:spacing w:val="11"/>
                <w:sz w:val="28"/>
              </w:rPr>
              <w:t>第</w:t>
            </w:r>
            <w:r>
              <w:rPr>
                <w:sz w:val="28"/>
              </w:rPr>
              <w:t>二节</w:t>
            </w:r>
            <w:r>
              <w:rPr>
                <w:spacing w:val="40"/>
                <w:sz w:val="28"/>
              </w:rPr>
              <w:t xml:space="preserve">  </w:t>
            </w:r>
            <w:r>
              <w:rPr>
                <w:spacing w:val="11"/>
                <w:sz w:val="28"/>
              </w:rPr>
              <w:t>强</w:t>
            </w:r>
            <w:r>
              <w:rPr>
                <w:sz w:val="28"/>
              </w:rPr>
              <w:t>化</w:t>
            </w:r>
            <w:r>
              <w:rPr>
                <w:spacing w:val="11"/>
                <w:sz w:val="28"/>
              </w:rPr>
              <w:t>公共</w:t>
            </w:r>
            <w:r>
              <w:rPr>
                <w:sz w:val="28"/>
              </w:rPr>
              <w:t>文</w:t>
            </w:r>
            <w:r>
              <w:rPr>
                <w:spacing w:val="11"/>
                <w:sz w:val="28"/>
              </w:rPr>
              <w:t>化产</w:t>
            </w:r>
            <w:r>
              <w:rPr>
                <w:sz w:val="28"/>
              </w:rPr>
              <w:t>品</w:t>
            </w:r>
            <w:r>
              <w:rPr>
                <w:spacing w:val="11"/>
                <w:sz w:val="28"/>
              </w:rPr>
              <w:t>和服</w:t>
            </w:r>
            <w:r>
              <w:rPr>
                <w:sz w:val="28"/>
              </w:rPr>
              <w:t>务</w:t>
            </w:r>
            <w:r>
              <w:rPr>
                <w:spacing w:val="11"/>
                <w:sz w:val="28"/>
              </w:rPr>
              <w:t>供</w:t>
            </w:r>
            <w:r>
              <w:rPr>
                <w:spacing w:val="-10"/>
                <w:sz w:val="28"/>
              </w:rPr>
              <w:t>给</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561" w:type="dxa"/>
          </w:tcPr>
          <w:p w14:paraId="182EC132">
            <w:pPr>
              <w:pStyle w:val="13"/>
              <w:ind w:right="66"/>
              <w:rPr>
                <w:sz w:val="28"/>
              </w:rPr>
            </w:pPr>
            <w:r>
              <w:rPr>
                <w:spacing w:val="-5"/>
                <w:sz w:val="28"/>
              </w:rPr>
              <w:t>132</w:t>
            </w:r>
          </w:p>
        </w:tc>
        <w:tc>
          <w:tcPr>
            <w:tcW w:w="261" w:type="dxa"/>
          </w:tcPr>
          <w:p w14:paraId="54B65CE0">
            <w:pPr>
              <w:pStyle w:val="13"/>
              <w:ind w:left="23"/>
              <w:jc w:val="center"/>
              <w:rPr>
                <w:sz w:val="28"/>
              </w:rPr>
            </w:pPr>
            <w:r>
              <w:rPr>
                <w:sz w:val="28"/>
              </w:rPr>
              <w:t>-</w:t>
            </w:r>
          </w:p>
        </w:tc>
      </w:tr>
      <w:tr w14:paraId="6D8744F2">
        <w:tblPrEx>
          <w:tblCellMar>
            <w:top w:w="0" w:type="dxa"/>
            <w:left w:w="0" w:type="dxa"/>
            <w:bottom w:w="0" w:type="dxa"/>
            <w:right w:w="0" w:type="dxa"/>
          </w:tblCellMar>
        </w:tblPrEx>
        <w:trPr>
          <w:trHeight w:val="624" w:hRule="atLeast"/>
        </w:trPr>
        <w:tc>
          <w:tcPr>
            <w:tcW w:w="8292" w:type="dxa"/>
          </w:tcPr>
          <w:p w14:paraId="29A5F6DE">
            <w:pPr>
              <w:pStyle w:val="13"/>
              <w:tabs>
                <w:tab w:val="left" w:leader="dot" w:pos="6997"/>
              </w:tabs>
              <w:spacing w:before="147"/>
              <w:ind w:right="64"/>
              <w:rPr>
                <w:sz w:val="28"/>
              </w:rPr>
            </w:pPr>
            <w:r>
              <w:rPr>
                <w:spacing w:val="11"/>
                <w:sz w:val="28"/>
              </w:rPr>
              <w:t>第</w:t>
            </w:r>
            <w:r>
              <w:rPr>
                <w:sz w:val="28"/>
              </w:rPr>
              <w:t>三节</w:t>
            </w:r>
            <w:r>
              <w:rPr>
                <w:spacing w:val="34"/>
                <w:sz w:val="28"/>
              </w:rPr>
              <w:t xml:space="preserve">  </w:t>
            </w:r>
            <w:r>
              <w:rPr>
                <w:spacing w:val="11"/>
                <w:sz w:val="28"/>
              </w:rPr>
              <w:t>加</w:t>
            </w:r>
            <w:r>
              <w:rPr>
                <w:sz w:val="28"/>
              </w:rPr>
              <w:t>强</w:t>
            </w:r>
            <w:r>
              <w:rPr>
                <w:spacing w:val="11"/>
                <w:sz w:val="28"/>
              </w:rPr>
              <w:t>文化</w:t>
            </w:r>
            <w:r>
              <w:rPr>
                <w:sz w:val="28"/>
              </w:rPr>
              <w:t>遗</w:t>
            </w:r>
            <w:r>
              <w:rPr>
                <w:spacing w:val="11"/>
                <w:sz w:val="28"/>
              </w:rPr>
              <w:t>产保</w:t>
            </w:r>
            <w:r>
              <w:rPr>
                <w:sz w:val="28"/>
              </w:rPr>
              <w:t>护</w:t>
            </w:r>
            <w:r>
              <w:rPr>
                <w:spacing w:val="11"/>
                <w:sz w:val="28"/>
              </w:rPr>
              <w:t>利</w:t>
            </w:r>
            <w:r>
              <w:rPr>
                <w:spacing w:val="-10"/>
                <w:sz w:val="28"/>
              </w:rPr>
              <w:t>用</w:t>
            </w:r>
            <w:r>
              <w:rPr>
                <w:rFonts w:ascii="Times New Roman" w:eastAsia="Times New Roman"/>
                <w:sz w:val="28"/>
              </w:rPr>
              <w:tab/>
            </w:r>
            <w:r>
              <w:rPr>
                <w:rFonts w:ascii="Times New Roman" w:eastAsia="Times New Roman"/>
                <w:position w:val="2"/>
                <w:sz w:val="28"/>
              </w:rPr>
              <w:t>..</w:t>
            </w:r>
            <w:r>
              <w:rPr>
                <w:rFonts w:ascii="Times New Roman" w:eastAsia="Times New Roman"/>
                <w:spacing w:val="-16"/>
                <w:position w:val="2"/>
                <w:sz w:val="28"/>
              </w:rPr>
              <w:t xml:space="preserve"> </w:t>
            </w:r>
            <w:r>
              <w:rPr>
                <w:spacing w:val="-10"/>
                <w:sz w:val="28"/>
              </w:rPr>
              <w:t>-</w:t>
            </w:r>
          </w:p>
        </w:tc>
        <w:tc>
          <w:tcPr>
            <w:tcW w:w="561" w:type="dxa"/>
          </w:tcPr>
          <w:p w14:paraId="5EFC6B67">
            <w:pPr>
              <w:pStyle w:val="13"/>
              <w:ind w:right="66"/>
              <w:rPr>
                <w:sz w:val="28"/>
              </w:rPr>
            </w:pPr>
            <w:r>
              <w:rPr>
                <w:spacing w:val="-5"/>
                <w:sz w:val="28"/>
              </w:rPr>
              <w:t>133</w:t>
            </w:r>
          </w:p>
        </w:tc>
        <w:tc>
          <w:tcPr>
            <w:tcW w:w="261" w:type="dxa"/>
          </w:tcPr>
          <w:p w14:paraId="14B13692">
            <w:pPr>
              <w:pStyle w:val="13"/>
              <w:ind w:left="23"/>
              <w:jc w:val="center"/>
              <w:rPr>
                <w:sz w:val="28"/>
              </w:rPr>
            </w:pPr>
            <w:r>
              <w:rPr>
                <w:sz w:val="28"/>
              </w:rPr>
              <w:t>-</w:t>
            </w:r>
          </w:p>
        </w:tc>
      </w:tr>
      <w:tr w14:paraId="42197D1B">
        <w:tblPrEx>
          <w:tblCellMar>
            <w:top w:w="0" w:type="dxa"/>
            <w:left w:w="0" w:type="dxa"/>
            <w:bottom w:w="0" w:type="dxa"/>
            <w:right w:w="0" w:type="dxa"/>
          </w:tblCellMar>
        </w:tblPrEx>
        <w:trPr>
          <w:trHeight w:val="624" w:hRule="atLeast"/>
        </w:trPr>
        <w:tc>
          <w:tcPr>
            <w:tcW w:w="8292" w:type="dxa"/>
          </w:tcPr>
          <w:p w14:paraId="796CE3CF">
            <w:pPr>
              <w:pStyle w:val="13"/>
              <w:tabs>
                <w:tab w:val="left" w:leader="dot" w:pos="7828"/>
              </w:tabs>
              <w:spacing w:before="147"/>
              <w:ind w:right="71"/>
              <w:rPr>
                <w:b/>
                <w:sz w:val="28"/>
              </w:rPr>
            </w:pPr>
            <w:r>
              <w:rPr>
                <w:b/>
                <w:sz w:val="28"/>
              </w:rPr>
              <w:t>第八篇</w:t>
            </w:r>
            <w:r>
              <w:rPr>
                <w:b/>
                <w:spacing w:val="77"/>
                <w:sz w:val="28"/>
              </w:rPr>
              <w:t xml:space="preserve"> </w:t>
            </w:r>
            <w:r>
              <w:rPr>
                <w:b/>
                <w:sz w:val="28"/>
              </w:rPr>
              <w:t>创新社会治理，建设治理现代化城</w:t>
            </w:r>
            <w:r>
              <w:rPr>
                <w:b/>
                <w:spacing w:val="-10"/>
                <w:sz w:val="28"/>
              </w:rPr>
              <w:t>区</w:t>
            </w:r>
            <w:r>
              <w:rPr>
                <w:rFonts w:ascii="Times New Roman" w:eastAsia="Times New Roman"/>
                <w:sz w:val="28"/>
              </w:rPr>
              <w:tab/>
            </w:r>
            <w:r>
              <w:rPr>
                <w:rFonts w:ascii="Times New Roman" w:eastAsia="Times New Roman"/>
                <w:b/>
                <w:position w:val="2"/>
                <w:sz w:val="28"/>
              </w:rPr>
              <w:t>..</w:t>
            </w:r>
            <w:r>
              <w:rPr>
                <w:rFonts w:ascii="Times New Roman" w:eastAsia="Times New Roman"/>
                <w:b/>
                <w:spacing w:val="-15"/>
                <w:position w:val="2"/>
                <w:sz w:val="28"/>
              </w:rPr>
              <w:t xml:space="preserve"> </w:t>
            </w:r>
            <w:r>
              <w:rPr>
                <w:b/>
                <w:spacing w:val="-10"/>
                <w:sz w:val="28"/>
              </w:rPr>
              <w:t>-</w:t>
            </w:r>
          </w:p>
        </w:tc>
        <w:tc>
          <w:tcPr>
            <w:tcW w:w="561" w:type="dxa"/>
          </w:tcPr>
          <w:p w14:paraId="616C6B9E">
            <w:pPr>
              <w:pStyle w:val="13"/>
              <w:ind w:right="68"/>
              <w:rPr>
                <w:b/>
                <w:sz w:val="28"/>
              </w:rPr>
            </w:pPr>
            <w:r>
              <w:rPr>
                <w:b/>
                <w:spacing w:val="-5"/>
                <w:sz w:val="28"/>
              </w:rPr>
              <w:t>135</w:t>
            </w:r>
          </w:p>
        </w:tc>
        <w:tc>
          <w:tcPr>
            <w:tcW w:w="261" w:type="dxa"/>
          </w:tcPr>
          <w:p w14:paraId="17696A23">
            <w:pPr>
              <w:pStyle w:val="13"/>
              <w:ind w:left="19"/>
              <w:jc w:val="center"/>
              <w:rPr>
                <w:b/>
                <w:sz w:val="28"/>
              </w:rPr>
            </w:pPr>
            <w:r>
              <w:rPr>
                <w:b/>
                <w:w w:val="99"/>
                <w:sz w:val="28"/>
              </w:rPr>
              <w:t>-</w:t>
            </w:r>
          </w:p>
        </w:tc>
      </w:tr>
      <w:tr w14:paraId="203FFEB0">
        <w:tblPrEx>
          <w:tblCellMar>
            <w:top w:w="0" w:type="dxa"/>
            <w:left w:w="0" w:type="dxa"/>
            <w:bottom w:w="0" w:type="dxa"/>
            <w:right w:w="0" w:type="dxa"/>
          </w:tblCellMar>
        </w:tblPrEx>
        <w:trPr>
          <w:trHeight w:val="623" w:hRule="atLeast"/>
        </w:trPr>
        <w:tc>
          <w:tcPr>
            <w:tcW w:w="8292" w:type="dxa"/>
          </w:tcPr>
          <w:p w14:paraId="66E15E15">
            <w:pPr>
              <w:pStyle w:val="13"/>
              <w:tabs>
                <w:tab w:val="left" w:leader="dot" w:pos="7409"/>
              </w:tabs>
              <w:spacing w:before="147"/>
              <w:ind w:right="69"/>
              <w:rPr>
                <w:b/>
                <w:sz w:val="28"/>
              </w:rPr>
            </w:pPr>
            <w:r>
              <w:rPr>
                <w:b/>
                <w:sz w:val="28"/>
              </w:rPr>
              <w:t>第十五章</w:t>
            </w:r>
            <w:r>
              <w:rPr>
                <w:b/>
                <w:spacing w:val="81"/>
                <w:sz w:val="28"/>
              </w:rPr>
              <w:t xml:space="preserve"> </w:t>
            </w:r>
            <w:r>
              <w:rPr>
                <w:b/>
                <w:sz w:val="28"/>
              </w:rPr>
              <w:t>推进治理体系和治理能力现代</w:t>
            </w:r>
            <w:r>
              <w:rPr>
                <w:b/>
                <w:spacing w:val="-10"/>
                <w:sz w:val="28"/>
              </w:rPr>
              <w:t>化</w:t>
            </w:r>
            <w:r>
              <w:rPr>
                <w:rFonts w:ascii="Times New Roman" w:eastAsia="Times New Roman"/>
                <w:sz w:val="28"/>
              </w:rPr>
              <w:tab/>
            </w:r>
            <w:r>
              <w:rPr>
                <w:rFonts w:ascii="Times New Roman" w:eastAsia="Times New Roman"/>
                <w:b/>
                <w:position w:val="2"/>
                <w:sz w:val="28"/>
              </w:rPr>
              <w:t>..</w:t>
            </w:r>
            <w:r>
              <w:rPr>
                <w:rFonts w:ascii="Times New Roman" w:eastAsia="Times New Roman"/>
                <w:b/>
                <w:spacing w:val="-16"/>
                <w:position w:val="2"/>
                <w:sz w:val="28"/>
              </w:rPr>
              <w:t xml:space="preserve"> </w:t>
            </w:r>
            <w:r>
              <w:rPr>
                <w:b/>
                <w:spacing w:val="-10"/>
                <w:sz w:val="28"/>
              </w:rPr>
              <w:t>-</w:t>
            </w:r>
          </w:p>
        </w:tc>
        <w:tc>
          <w:tcPr>
            <w:tcW w:w="561" w:type="dxa"/>
          </w:tcPr>
          <w:p w14:paraId="6EE32D55">
            <w:pPr>
              <w:pStyle w:val="13"/>
              <w:ind w:right="66"/>
              <w:rPr>
                <w:b/>
                <w:sz w:val="28"/>
              </w:rPr>
            </w:pPr>
            <w:r>
              <w:rPr>
                <w:b/>
                <w:spacing w:val="-5"/>
                <w:sz w:val="28"/>
              </w:rPr>
              <w:t>135</w:t>
            </w:r>
          </w:p>
        </w:tc>
        <w:tc>
          <w:tcPr>
            <w:tcW w:w="261" w:type="dxa"/>
          </w:tcPr>
          <w:p w14:paraId="1C4F10B0">
            <w:pPr>
              <w:pStyle w:val="13"/>
              <w:ind w:left="23"/>
              <w:jc w:val="center"/>
              <w:rPr>
                <w:b/>
                <w:sz w:val="28"/>
              </w:rPr>
            </w:pPr>
            <w:r>
              <w:rPr>
                <w:b/>
                <w:w w:val="99"/>
                <w:sz w:val="28"/>
              </w:rPr>
              <w:t>-</w:t>
            </w:r>
          </w:p>
        </w:tc>
      </w:tr>
      <w:tr w14:paraId="27EED88E">
        <w:tblPrEx>
          <w:tblCellMar>
            <w:top w:w="0" w:type="dxa"/>
            <w:left w:w="0" w:type="dxa"/>
            <w:bottom w:w="0" w:type="dxa"/>
            <w:right w:w="0" w:type="dxa"/>
          </w:tblCellMar>
        </w:tblPrEx>
        <w:trPr>
          <w:trHeight w:val="624" w:hRule="atLeast"/>
        </w:trPr>
        <w:tc>
          <w:tcPr>
            <w:tcW w:w="8292" w:type="dxa"/>
          </w:tcPr>
          <w:p w14:paraId="521A7C1B">
            <w:pPr>
              <w:pStyle w:val="13"/>
              <w:tabs>
                <w:tab w:val="left" w:leader="dot" w:pos="7030"/>
              </w:tabs>
              <w:spacing w:before="147"/>
              <w:ind w:right="64"/>
              <w:rPr>
                <w:sz w:val="28"/>
              </w:rPr>
            </w:pPr>
            <w:r>
              <w:rPr>
                <w:spacing w:val="11"/>
                <w:sz w:val="28"/>
              </w:rPr>
              <w:t>第</w:t>
            </w:r>
            <w:r>
              <w:rPr>
                <w:sz w:val="28"/>
              </w:rPr>
              <w:t>一节</w:t>
            </w:r>
            <w:r>
              <w:rPr>
                <w:spacing w:val="40"/>
                <w:sz w:val="28"/>
              </w:rPr>
              <w:t xml:space="preserve">  </w:t>
            </w:r>
            <w:r>
              <w:rPr>
                <w:spacing w:val="11"/>
                <w:sz w:val="28"/>
              </w:rPr>
              <w:t>构</w:t>
            </w:r>
            <w:r>
              <w:rPr>
                <w:sz w:val="28"/>
              </w:rPr>
              <w:t>建</w:t>
            </w:r>
            <w:r>
              <w:rPr>
                <w:spacing w:val="11"/>
                <w:sz w:val="28"/>
              </w:rPr>
              <w:t>多元</w:t>
            </w:r>
            <w:r>
              <w:rPr>
                <w:sz w:val="28"/>
              </w:rPr>
              <w:t>一</w:t>
            </w:r>
            <w:r>
              <w:rPr>
                <w:spacing w:val="11"/>
                <w:sz w:val="28"/>
              </w:rPr>
              <w:t>体基</w:t>
            </w:r>
            <w:r>
              <w:rPr>
                <w:sz w:val="28"/>
              </w:rPr>
              <w:t>层</w:t>
            </w:r>
            <w:r>
              <w:rPr>
                <w:spacing w:val="11"/>
                <w:sz w:val="28"/>
              </w:rPr>
              <w:t>治理</w:t>
            </w:r>
            <w:r>
              <w:rPr>
                <w:sz w:val="28"/>
              </w:rPr>
              <w:t>模</w:t>
            </w:r>
            <w:r>
              <w:rPr>
                <w:spacing w:val="-10"/>
                <w:sz w:val="28"/>
              </w:rPr>
              <w:t>式</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561" w:type="dxa"/>
          </w:tcPr>
          <w:p w14:paraId="5D17ED4D">
            <w:pPr>
              <w:pStyle w:val="13"/>
              <w:ind w:right="66"/>
              <w:rPr>
                <w:sz w:val="28"/>
              </w:rPr>
            </w:pPr>
            <w:r>
              <w:rPr>
                <w:spacing w:val="-5"/>
                <w:sz w:val="28"/>
              </w:rPr>
              <w:t>135</w:t>
            </w:r>
          </w:p>
        </w:tc>
        <w:tc>
          <w:tcPr>
            <w:tcW w:w="261" w:type="dxa"/>
          </w:tcPr>
          <w:p w14:paraId="79F78679">
            <w:pPr>
              <w:pStyle w:val="13"/>
              <w:ind w:left="23"/>
              <w:jc w:val="center"/>
              <w:rPr>
                <w:sz w:val="28"/>
              </w:rPr>
            </w:pPr>
            <w:r>
              <w:rPr>
                <w:sz w:val="28"/>
              </w:rPr>
              <w:t>-</w:t>
            </w:r>
          </w:p>
        </w:tc>
      </w:tr>
      <w:tr w14:paraId="2B5748B4">
        <w:tblPrEx>
          <w:tblCellMar>
            <w:top w:w="0" w:type="dxa"/>
            <w:left w:w="0" w:type="dxa"/>
            <w:bottom w:w="0" w:type="dxa"/>
            <w:right w:w="0" w:type="dxa"/>
          </w:tblCellMar>
        </w:tblPrEx>
        <w:trPr>
          <w:trHeight w:val="623" w:hRule="atLeast"/>
        </w:trPr>
        <w:tc>
          <w:tcPr>
            <w:tcW w:w="8292" w:type="dxa"/>
          </w:tcPr>
          <w:p w14:paraId="10F67829">
            <w:pPr>
              <w:pStyle w:val="13"/>
              <w:tabs>
                <w:tab w:val="left" w:leader="dot" w:pos="7030"/>
              </w:tabs>
              <w:spacing w:before="147"/>
              <w:ind w:right="64"/>
              <w:rPr>
                <w:sz w:val="28"/>
              </w:rPr>
            </w:pPr>
            <w:r>
              <w:rPr>
                <w:spacing w:val="11"/>
                <w:sz w:val="28"/>
              </w:rPr>
              <w:t>第</w:t>
            </w:r>
            <w:r>
              <w:rPr>
                <w:sz w:val="28"/>
              </w:rPr>
              <w:t>二节</w:t>
            </w:r>
            <w:r>
              <w:rPr>
                <w:spacing w:val="40"/>
                <w:sz w:val="28"/>
              </w:rPr>
              <w:t xml:space="preserve">  </w:t>
            </w:r>
            <w:r>
              <w:rPr>
                <w:spacing w:val="11"/>
                <w:sz w:val="28"/>
              </w:rPr>
              <w:t>创</w:t>
            </w:r>
            <w:r>
              <w:rPr>
                <w:sz w:val="28"/>
              </w:rPr>
              <w:t>新</w:t>
            </w:r>
            <w:r>
              <w:rPr>
                <w:spacing w:val="11"/>
                <w:sz w:val="28"/>
              </w:rPr>
              <w:t>运行</w:t>
            </w:r>
            <w:r>
              <w:rPr>
                <w:sz w:val="28"/>
              </w:rPr>
              <w:t>有</w:t>
            </w:r>
            <w:r>
              <w:rPr>
                <w:spacing w:val="11"/>
                <w:sz w:val="28"/>
              </w:rPr>
              <w:t>效社</w:t>
            </w:r>
            <w:r>
              <w:rPr>
                <w:sz w:val="28"/>
              </w:rPr>
              <w:t>区</w:t>
            </w:r>
            <w:r>
              <w:rPr>
                <w:spacing w:val="11"/>
                <w:sz w:val="28"/>
              </w:rPr>
              <w:t>治理</w:t>
            </w:r>
            <w:r>
              <w:rPr>
                <w:sz w:val="28"/>
              </w:rPr>
              <w:t>格</w:t>
            </w:r>
            <w:r>
              <w:rPr>
                <w:spacing w:val="-10"/>
                <w:sz w:val="28"/>
              </w:rPr>
              <w:t>局</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561" w:type="dxa"/>
          </w:tcPr>
          <w:p w14:paraId="5A6C75B0">
            <w:pPr>
              <w:pStyle w:val="13"/>
              <w:ind w:right="66"/>
              <w:rPr>
                <w:sz w:val="28"/>
              </w:rPr>
            </w:pPr>
            <w:r>
              <w:rPr>
                <w:spacing w:val="-5"/>
                <w:sz w:val="28"/>
              </w:rPr>
              <w:t>137</w:t>
            </w:r>
          </w:p>
        </w:tc>
        <w:tc>
          <w:tcPr>
            <w:tcW w:w="261" w:type="dxa"/>
          </w:tcPr>
          <w:p w14:paraId="0DEBD501">
            <w:pPr>
              <w:pStyle w:val="13"/>
              <w:ind w:left="23"/>
              <w:jc w:val="center"/>
              <w:rPr>
                <w:sz w:val="28"/>
              </w:rPr>
            </w:pPr>
            <w:r>
              <w:rPr>
                <w:sz w:val="28"/>
              </w:rPr>
              <w:t>-</w:t>
            </w:r>
          </w:p>
        </w:tc>
      </w:tr>
      <w:tr w14:paraId="53D37C7D">
        <w:tblPrEx>
          <w:tblCellMar>
            <w:top w:w="0" w:type="dxa"/>
            <w:left w:w="0" w:type="dxa"/>
            <w:bottom w:w="0" w:type="dxa"/>
            <w:right w:w="0" w:type="dxa"/>
          </w:tblCellMar>
        </w:tblPrEx>
        <w:trPr>
          <w:trHeight w:val="624" w:hRule="atLeast"/>
        </w:trPr>
        <w:tc>
          <w:tcPr>
            <w:tcW w:w="8292" w:type="dxa"/>
          </w:tcPr>
          <w:p w14:paraId="4E8CE3DA">
            <w:pPr>
              <w:pStyle w:val="13"/>
              <w:tabs>
                <w:tab w:val="left" w:leader="dot" w:pos="7402"/>
              </w:tabs>
              <w:spacing w:before="147"/>
              <w:ind w:right="71"/>
              <w:rPr>
                <w:b/>
                <w:sz w:val="28"/>
              </w:rPr>
            </w:pPr>
            <w:r>
              <w:rPr>
                <w:b/>
                <w:sz w:val="28"/>
              </w:rPr>
              <w:t>第十六章</w:t>
            </w:r>
            <w:r>
              <w:rPr>
                <w:b/>
                <w:spacing w:val="17"/>
                <w:w w:val="150"/>
                <w:sz w:val="28"/>
              </w:rPr>
              <w:t xml:space="preserve"> </w:t>
            </w:r>
            <w:r>
              <w:rPr>
                <w:b/>
                <w:sz w:val="28"/>
              </w:rPr>
              <w:t>深入推进“法治金凤”建</w:t>
            </w:r>
            <w:r>
              <w:rPr>
                <w:b/>
                <w:spacing w:val="-10"/>
                <w:sz w:val="28"/>
              </w:rPr>
              <w:t>设</w:t>
            </w:r>
            <w:r>
              <w:rPr>
                <w:rFonts w:ascii="Times New Roman" w:hAnsi="Times New Roman" w:eastAsia="Times New Roman"/>
                <w:sz w:val="28"/>
              </w:rPr>
              <w:tab/>
            </w:r>
            <w:r>
              <w:rPr>
                <w:rFonts w:ascii="Times New Roman" w:hAnsi="Times New Roman" w:eastAsia="Times New Roman"/>
                <w:b/>
                <w:spacing w:val="-2"/>
                <w:position w:val="2"/>
                <w:sz w:val="28"/>
              </w:rPr>
              <w:t>..</w:t>
            </w:r>
            <w:r>
              <w:rPr>
                <w:rFonts w:ascii="Times New Roman" w:hAnsi="Times New Roman" w:eastAsia="Times New Roman"/>
                <w:b/>
                <w:spacing w:val="-26"/>
                <w:position w:val="2"/>
                <w:sz w:val="28"/>
              </w:rPr>
              <w:t xml:space="preserve"> </w:t>
            </w:r>
            <w:r>
              <w:rPr>
                <w:b/>
                <w:spacing w:val="-10"/>
                <w:sz w:val="28"/>
              </w:rPr>
              <w:t>-</w:t>
            </w:r>
          </w:p>
        </w:tc>
        <w:tc>
          <w:tcPr>
            <w:tcW w:w="561" w:type="dxa"/>
          </w:tcPr>
          <w:p w14:paraId="0E0E0075">
            <w:pPr>
              <w:pStyle w:val="13"/>
              <w:ind w:right="66"/>
              <w:rPr>
                <w:b/>
                <w:sz w:val="28"/>
              </w:rPr>
            </w:pPr>
            <w:r>
              <w:rPr>
                <w:b/>
                <w:spacing w:val="-5"/>
                <w:sz w:val="28"/>
              </w:rPr>
              <w:t>141</w:t>
            </w:r>
          </w:p>
        </w:tc>
        <w:tc>
          <w:tcPr>
            <w:tcW w:w="261" w:type="dxa"/>
          </w:tcPr>
          <w:p w14:paraId="4A344F50">
            <w:pPr>
              <w:pStyle w:val="13"/>
              <w:ind w:left="19"/>
              <w:jc w:val="center"/>
              <w:rPr>
                <w:b/>
                <w:sz w:val="28"/>
              </w:rPr>
            </w:pPr>
            <w:r>
              <w:rPr>
                <w:b/>
                <w:w w:val="99"/>
                <w:sz w:val="28"/>
              </w:rPr>
              <w:t>-</w:t>
            </w:r>
          </w:p>
        </w:tc>
      </w:tr>
      <w:tr w14:paraId="6272FDFA">
        <w:tblPrEx>
          <w:tblCellMar>
            <w:top w:w="0" w:type="dxa"/>
            <w:left w:w="0" w:type="dxa"/>
            <w:bottom w:w="0" w:type="dxa"/>
            <w:right w:w="0" w:type="dxa"/>
          </w:tblCellMar>
        </w:tblPrEx>
        <w:trPr>
          <w:trHeight w:val="623" w:hRule="atLeast"/>
        </w:trPr>
        <w:tc>
          <w:tcPr>
            <w:tcW w:w="8292" w:type="dxa"/>
          </w:tcPr>
          <w:p w14:paraId="735BABBD">
            <w:pPr>
              <w:pStyle w:val="13"/>
              <w:tabs>
                <w:tab w:val="left" w:leader="dot" w:pos="7010"/>
              </w:tabs>
              <w:spacing w:before="147"/>
              <w:ind w:right="64"/>
              <w:rPr>
                <w:sz w:val="28"/>
              </w:rPr>
            </w:pPr>
            <w:r>
              <w:rPr>
                <w:spacing w:val="21"/>
                <w:sz w:val="28"/>
              </w:rPr>
              <w:t>第一</w:t>
            </w:r>
            <w:r>
              <w:rPr>
                <w:sz w:val="28"/>
              </w:rPr>
              <w:t>节</w:t>
            </w:r>
            <w:r>
              <w:rPr>
                <w:spacing w:val="205"/>
                <w:sz w:val="28"/>
              </w:rPr>
              <w:t xml:space="preserve"> </w:t>
            </w:r>
            <w:r>
              <w:rPr>
                <w:spacing w:val="21"/>
                <w:sz w:val="28"/>
              </w:rPr>
              <w:t>健全</w:t>
            </w:r>
            <w:r>
              <w:rPr>
                <w:spacing w:val="19"/>
                <w:sz w:val="28"/>
              </w:rPr>
              <w:t>法</w:t>
            </w:r>
            <w:r>
              <w:rPr>
                <w:spacing w:val="21"/>
                <w:sz w:val="28"/>
              </w:rPr>
              <w:t>治宣传教育</w:t>
            </w:r>
            <w:r>
              <w:rPr>
                <w:spacing w:val="19"/>
                <w:sz w:val="28"/>
              </w:rPr>
              <w:t>机</w:t>
            </w:r>
            <w:r>
              <w:rPr>
                <w:spacing w:val="-10"/>
                <w:sz w:val="28"/>
              </w:rPr>
              <w:t>制</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25"/>
                <w:position w:val="2"/>
                <w:sz w:val="28"/>
              </w:rPr>
              <w:t xml:space="preserve"> </w:t>
            </w:r>
            <w:r>
              <w:rPr>
                <w:spacing w:val="-10"/>
                <w:sz w:val="28"/>
              </w:rPr>
              <w:t>-</w:t>
            </w:r>
          </w:p>
        </w:tc>
        <w:tc>
          <w:tcPr>
            <w:tcW w:w="561" w:type="dxa"/>
          </w:tcPr>
          <w:p w14:paraId="1ED853D2">
            <w:pPr>
              <w:pStyle w:val="13"/>
              <w:ind w:right="66"/>
              <w:rPr>
                <w:sz w:val="28"/>
              </w:rPr>
            </w:pPr>
            <w:r>
              <w:rPr>
                <w:spacing w:val="-5"/>
                <w:sz w:val="28"/>
              </w:rPr>
              <w:t>141</w:t>
            </w:r>
          </w:p>
        </w:tc>
        <w:tc>
          <w:tcPr>
            <w:tcW w:w="261" w:type="dxa"/>
          </w:tcPr>
          <w:p w14:paraId="6C1450F7">
            <w:pPr>
              <w:pStyle w:val="13"/>
              <w:ind w:left="23"/>
              <w:jc w:val="center"/>
              <w:rPr>
                <w:sz w:val="28"/>
              </w:rPr>
            </w:pPr>
            <w:r>
              <w:rPr>
                <w:sz w:val="28"/>
              </w:rPr>
              <w:t>-</w:t>
            </w:r>
          </w:p>
        </w:tc>
      </w:tr>
      <w:tr w14:paraId="1B349EED">
        <w:tblPrEx>
          <w:tblCellMar>
            <w:top w:w="0" w:type="dxa"/>
            <w:left w:w="0" w:type="dxa"/>
            <w:bottom w:w="0" w:type="dxa"/>
            <w:right w:w="0" w:type="dxa"/>
          </w:tblCellMar>
        </w:tblPrEx>
        <w:trPr>
          <w:trHeight w:val="624" w:hRule="atLeast"/>
        </w:trPr>
        <w:tc>
          <w:tcPr>
            <w:tcW w:w="8292" w:type="dxa"/>
          </w:tcPr>
          <w:p w14:paraId="70864F89">
            <w:pPr>
              <w:pStyle w:val="13"/>
              <w:tabs>
                <w:tab w:val="left" w:leader="dot" w:pos="7010"/>
              </w:tabs>
              <w:spacing w:before="147"/>
              <w:ind w:right="64"/>
              <w:rPr>
                <w:sz w:val="28"/>
              </w:rPr>
            </w:pPr>
            <w:r>
              <w:rPr>
                <w:spacing w:val="21"/>
                <w:sz w:val="28"/>
              </w:rPr>
              <w:t>第二</w:t>
            </w:r>
            <w:r>
              <w:rPr>
                <w:sz w:val="28"/>
              </w:rPr>
              <w:t>节</w:t>
            </w:r>
            <w:r>
              <w:rPr>
                <w:spacing w:val="205"/>
                <w:sz w:val="28"/>
              </w:rPr>
              <w:t xml:space="preserve"> </w:t>
            </w:r>
            <w:r>
              <w:rPr>
                <w:spacing w:val="21"/>
                <w:sz w:val="28"/>
              </w:rPr>
              <w:t>深化</w:t>
            </w:r>
            <w:r>
              <w:rPr>
                <w:spacing w:val="19"/>
                <w:sz w:val="28"/>
              </w:rPr>
              <w:t>行</w:t>
            </w:r>
            <w:r>
              <w:rPr>
                <w:spacing w:val="21"/>
                <w:sz w:val="28"/>
              </w:rPr>
              <w:t>政综合执法</w:t>
            </w:r>
            <w:r>
              <w:rPr>
                <w:spacing w:val="19"/>
                <w:sz w:val="28"/>
              </w:rPr>
              <w:t>改</w:t>
            </w:r>
            <w:r>
              <w:rPr>
                <w:spacing w:val="-10"/>
                <w:sz w:val="28"/>
              </w:rPr>
              <w:t>革</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25"/>
                <w:position w:val="2"/>
                <w:sz w:val="28"/>
              </w:rPr>
              <w:t xml:space="preserve"> </w:t>
            </w:r>
            <w:r>
              <w:rPr>
                <w:spacing w:val="-10"/>
                <w:sz w:val="28"/>
              </w:rPr>
              <w:t>-</w:t>
            </w:r>
          </w:p>
        </w:tc>
        <w:tc>
          <w:tcPr>
            <w:tcW w:w="561" w:type="dxa"/>
          </w:tcPr>
          <w:p w14:paraId="6BA6344D">
            <w:pPr>
              <w:pStyle w:val="13"/>
              <w:ind w:right="66"/>
              <w:rPr>
                <w:sz w:val="28"/>
              </w:rPr>
            </w:pPr>
            <w:r>
              <w:rPr>
                <w:spacing w:val="-5"/>
                <w:sz w:val="28"/>
              </w:rPr>
              <w:t>141</w:t>
            </w:r>
          </w:p>
        </w:tc>
        <w:tc>
          <w:tcPr>
            <w:tcW w:w="261" w:type="dxa"/>
          </w:tcPr>
          <w:p w14:paraId="62315FC9">
            <w:pPr>
              <w:pStyle w:val="13"/>
              <w:ind w:left="23"/>
              <w:jc w:val="center"/>
              <w:rPr>
                <w:sz w:val="28"/>
              </w:rPr>
            </w:pPr>
            <w:r>
              <w:rPr>
                <w:sz w:val="28"/>
              </w:rPr>
              <w:t>-</w:t>
            </w:r>
          </w:p>
        </w:tc>
      </w:tr>
      <w:tr w14:paraId="1B8CAA00">
        <w:tblPrEx>
          <w:tblCellMar>
            <w:top w:w="0" w:type="dxa"/>
            <w:left w:w="0" w:type="dxa"/>
            <w:bottom w:w="0" w:type="dxa"/>
            <w:right w:w="0" w:type="dxa"/>
          </w:tblCellMar>
        </w:tblPrEx>
        <w:trPr>
          <w:trHeight w:val="624" w:hRule="atLeast"/>
        </w:trPr>
        <w:tc>
          <w:tcPr>
            <w:tcW w:w="8292" w:type="dxa"/>
          </w:tcPr>
          <w:p w14:paraId="4CC1BC12">
            <w:pPr>
              <w:pStyle w:val="13"/>
              <w:tabs>
                <w:tab w:val="left" w:leader="dot" w:pos="7010"/>
              </w:tabs>
              <w:spacing w:before="147"/>
              <w:ind w:right="64"/>
              <w:rPr>
                <w:sz w:val="28"/>
              </w:rPr>
            </w:pPr>
            <w:r>
              <w:rPr>
                <w:spacing w:val="21"/>
                <w:sz w:val="28"/>
              </w:rPr>
              <w:t>第三</w:t>
            </w:r>
            <w:r>
              <w:rPr>
                <w:sz w:val="28"/>
              </w:rPr>
              <w:t>节</w:t>
            </w:r>
            <w:r>
              <w:rPr>
                <w:spacing w:val="205"/>
                <w:sz w:val="28"/>
              </w:rPr>
              <w:t xml:space="preserve"> </w:t>
            </w:r>
            <w:r>
              <w:rPr>
                <w:spacing w:val="21"/>
                <w:sz w:val="28"/>
              </w:rPr>
              <w:t>健全</w:t>
            </w:r>
            <w:r>
              <w:rPr>
                <w:spacing w:val="19"/>
                <w:sz w:val="28"/>
              </w:rPr>
              <w:t>公</w:t>
            </w:r>
            <w:r>
              <w:rPr>
                <w:spacing w:val="21"/>
                <w:sz w:val="28"/>
              </w:rPr>
              <w:t>共法律服务</w:t>
            </w:r>
            <w:r>
              <w:rPr>
                <w:spacing w:val="19"/>
                <w:sz w:val="28"/>
              </w:rPr>
              <w:t>体</w:t>
            </w:r>
            <w:r>
              <w:rPr>
                <w:spacing w:val="-10"/>
                <w:sz w:val="28"/>
              </w:rPr>
              <w:t>系</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25"/>
                <w:position w:val="2"/>
                <w:sz w:val="28"/>
              </w:rPr>
              <w:t xml:space="preserve"> </w:t>
            </w:r>
            <w:r>
              <w:rPr>
                <w:spacing w:val="-10"/>
                <w:sz w:val="28"/>
              </w:rPr>
              <w:t>-</w:t>
            </w:r>
          </w:p>
        </w:tc>
        <w:tc>
          <w:tcPr>
            <w:tcW w:w="561" w:type="dxa"/>
          </w:tcPr>
          <w:p w14:paraId="3F58CD70">
            <w:pPr>
              <w:pStyle w:val="13"/>
              <w:ind w:right="66"/>
              <w:rPr>
                <w:sz w:val="28"/>
              </w:rPr>
            </w:pPr>
            <w:r>
              <w:rPr>
                <w:spacing w:val="-5"/>
                <w:sz w:val="28"/>
              </w:rPr>
              <w:t>142</w:t>
            </w:r>
          </w:p>
        </w:tc>
        <w:tc>
          <w:tcPr>
            <w:tcW w:w="261" w:type="dxa"/>
          </w:tcPr>
          <w:p w14:paraId="4CCE25CB">
            <w:pPr>
              <w:pStyle w:val="13"/>
              <w:ind w:left="23"/>
              <w:jc w:val="center"/>
              <w:rPr>
                <w:sz w:val="28"/>
              </w:rPr>
            </w:pPr>
            <w:r>
              <w:rPr>
                <w:sz w:val="28"/>
              </w:rPr>
              <w:t>-</w:t>
            </w:r>
          </w:p>
        </w:tc>
      </w:tr>
      <w:tr w14:paraId="0FE1430B">
        <w:tblPrEx>
          <w:tblCellMar>
            <w:top w:w="0" w:type="dxa"/>
            <w:left w:w="0" w:type="dxa"/>
            <w:bottom w:w="0" w:type="dxa"/>
            <w:right w:w="0" w:type="dxa"/>
          </w:tblCellMar>
        </w:tblPrEx>
        <w:trPr>
          <w:trHeight w:val="623" w:hRule="atLeast"/>
        </w:trPr>
        <w:tc>
          <w:tcPr>
            <w:tcW w:w="8292" w:type="dxa"/>
          </w:tcPr>
          <w:p w14:paraId="7E627FE3">
            <w:pPr>
              <w:pStyle w:val="13"/>
              <w:tabs>
                <w:tab w:val="left" w:leader="dot" w:pos="7402"/>
              </w:tabs>
              <w:spacing w:before="147"/>
              <w:ind w:right="71"/>
              <w:rPr>
                <w:b/>
                <w:sz w:val="28"/>
              </w:rPr>
            </w:pPr>
            <w:r>
              <w:rPr>
                <w:b/>
                <w:sz w:val="28"/>
              </w:rPr>
              <w:t>第十七章</w:t>
            </w:r>
            <w:r>
              <w:rPr>
                <w:b/>
                <w:spacing w:val="17"/>
                <w:w w:val="150"/>
                <w:sz w:val="28"/>
              </w:rPr>
              <w:t xml:space="preserve"> </w:t>
            </w:r>
            <w:r>
              <w:rPr>
                <w:b/>
                <w:sz w:val="28"/>
              </w:rPr>
              <w:t>全面保障社会大局和谐稳</w:t>
            </w:r>
            <w:r>
              <w:rPr>
                <w:b/>
                <w:spacing w:val="-10"/>
                <w:sz w:val="28"/>
              </w:rPr>
              <w:t>定</w:t>
            </w:r>
            <w:r>
              <w:rPr>
                <w:rFonts w:ascii="Times New Roman" w:eastAsia="Times New Roman"/>
                <w:sz w:val="28"/>
              </w:rPr>
              <w:tab/>
            </w:r>
            <w:r>
              <w:rPr>
                <w:rFonts w:ascii="Times New Roman" w:eastAsia="Times New Roman"/>
                <w:b/>
                <w:spacing w:val="-2"/>
                <w:position w:val="2"/>
                <w:sz w:val="28"/>
              </w:rPr>
              <w:t>..</w:t>
            </w:r>
            <w:r>
              <w:rPr>
                <w:rFonts w:ascii="Times New Roman" w:eastAsia="Times New Roman"/>
                <w:b/>
                <w:spacing w:val="-26"/>
                <w:position w:val="2"/>
                <w:sz w:val="28"/>
              </w:rPr>
              <w:t xml:space="preserve"> </w:t>
            </w:r>
            <w:r>
              <w:rPr>
                <w:b/>
                <w:spacing w:val="-10"/>
                <w:sz w:val="28"/>
              </w:rPr>
              <w:t>-</w:t>
            </w:r>
          </w:p>
        </w:tc>
        <w:tc>
          <w:tcPr>
            <w:tcW w:w="561" w:type="dxa"/>
          </w:tcPr>
          <w:p w14:paraId="23D12905">
            <w:pPr>
              <w:pStyle w:val="13"/>
              <w:ind w:right="66"/>
              <w:rPr>
                <w:b/>
                <w:sz w:val="28"/>
              </w:rPr>
            </w:pPr>
            <w:r>
              <w:rPr>
                <w:b/>
                <w:spacing w:val="-5"/>
                <w:sz w:val="28"/>
              </w:rPr>
              <w:t>143</w:t>
            </w:r>
          </w:p>
        </w:tc>
        <w:tc>
          <w:tcPr>
            <w:tcW w:w="261" w:type="dxa"/>
          </w:tcPr>
          <w:p w14:paraId="2A1F5A8B">
            <w:pPr>
              <w:pStyle w:val="13"/>
              <w:ind w:left="19"/>
              <w:jc w:val="center"/>
              <w:rPr>
                <w:b/>
                <w:sz w:val="28"/>
              </w:rPr>
            </w:pPr>
            <w:r>
              <w:rPr>
                <w:b/>
                <w:w w:val="99"/>
                <w:sz w:val="28"/>
              </w:rPr>
              <w:t>-</w:t>
            </w:r>
          </w:p>
        </w:tc>
      </w:tr>
      <w:tr w14:paraId="6B2D9DA1">
        <w:tblPrEx>
          <w:tblCellMar>
            <w:top w:w="0" w:type="dxa"/>
            <w:left w:w="0" w:type="dxa"/>
            <w:bottom w:w="0" w:type="dxa"/>
            <w:right w:w="0" w:type="dxa"/>
          </w:tblCellMar>
        </w:tblPrEx>
        <w:trPr>
          <w:trHeight w:val="623" w:hRule="atLeast"/>
        </w:trPr>
        <w:tc>
          <w:tcPr>
            <w:tcW w:w="8292" w:type="dxa"/>
          </w:tcPr>
          <w:p w14:paraId="4FD5A77B">
            <w:pPr>
              <w:pStyle w:val="13"/>
              <w:tabs>
                <w:tab w:val="left" w:leader="dot" w:pos="6994"/>
              </w:tabs>
              <w:spacing w:before="147"/>
              <w:ind w:right="64"/>
              <w:rPr>
                <w:sz w:val="28"/>
              </w:rPr>
            </w:pPr>
            <w:r>
              <w:rPr>
                <w:spacing w:val="21"/>
                <w:sz w:val="28"/>
              </w:rPr>
              <w:t>第一</w:t>
            </w:r>
            <w:r>
              <w:rPr>
                <w:sz w:val="28"/>
              </w:rPr>
              <w:t>节</w:t>
            </w:r>
            <w:r>
              <w:rPr>
                <w:spacing w:val="32"/>
                <w:sz w:val="28"/>
              </w:rPr>
              <w:t xml:space="preserve">  </w:t>
            </w:r>
            <w:r>
              <w:rPr>
                <w:spacing w:val="21"/>
                <w:sz w:val="28"/>
              </w:rPr>
              <w:t>提</w:t>
            </w:r>
            <w:r>
              <w:rPr>
                <w:spacing w:val="18"/>
                <w:sz w:val="28"/>
              </w:rPr>
              <w:t>升</w:t>
            </w:r>
            <w:r>
              <w:rPr>
                <w:spacing w:val="21"/>
                <w:sz w:val="28"/>
              </w:rPr>
              <w:t>“平安</w:t>
            </w:r>
            <w:r>
              <w:rPr>
                <w:spacing w:val="19"/>
                <w:sz w:val="28"/>
              </w:rPr>
              <w:t>金</w:t>
            </w:r>
            <w:r>
              <w:rPr>
                <w:spacing w:val="21"/>
                <w:sz w:val="28"/>
              </w:rPr>
              <w:t>凤”建设</w:t>
            </w:r>
            <w:r>
              <w:rPr>
                <w:spacing w:val="19"/>
                <w:sz w:val="28"/>
              </w:rPr>
              <w:t>水</w:t>
            </w:r>
            <w:r>
              <w:rPr>
                <w:spacing w:val="-10"/>
                <w:sz w:val="28"/>
              </w:rPr>
              <w:t>平</w:t>
            </w:r>
            <w:r>
              <w:rPr>
                <w:rFonts w:ascii="Times New Roman" w:hAnsi="Times New Roman" w:eastAsia="Times New Roman"/>
                <w:sz w:val="28"/>
              </w:rPr>
              <w:tab/>
            </w:r>
            <w:r>
              <w:rPr>
                <w:rFonts w:ascii="Times New Roman" w:hAnsi="Times New Roman" w:eastAsia="Times New Roman"/>
                <w:position w:val="2"/>
                <w:sz w:val="28"/>
              </w:rPr>
              <w:t>..</w:t>
            </w:r>
            <w:r>
              <w:rPr>
                <w:rFonts w:ascii="Times New Roman" w:hAnsi="Times New Roman" w:eastAsia="Times New Roman"/>
                <w:spacing w:val="-13"/>
                <w:position w:val="2"/>
                <w:sz w:val="28"/>
              </w:rPr>
              <w:t xml:space="preserve"> </w:t>
            </w:r>
            <w:r>
              <w:rPr>
                <w:spacing w:val="-10"/>
                <w:sz w:val="28"/>
              </w:rPr>
              <w:t>-</w:t>
            </w:r>
          </w:p>
        </w:tc>
        <w:tc>
          <w:tcPr>
            <w:tcW w:w="561" w:type="dxa"/>
          </w:tcPr>
          <w:p w14:paraId="5286F326">
            <w:pPr>
              <w:pStyle w:val="13"/>
              <w:ind w:right="66"/>
              <w:rPr>
                <w:sz w:val="28"/>
              </w:rPr>
            </w:pPr>
            <w:r>
              <w:rPr>
                <w:spacing w:val="-5"/>
                <w:sz w:val="28"/>
              </w:rPr>
              <w:t>143</w:t>
            </w:r>
          </w:p>
        </w:tc>
        <w:tc>
          <w:tcPr>
            <w:tcW w:w="261" w:type="dxa"/>
          </w:tcPr>
          <w:p w14:paraId="1E2ACE00">
            <w:pPr>
              <w:pStyle w:val="13"/>
              <w:ind w:left="23"/>
              <w:jc w:val="center"/>
              <w:rPr>
                <w:sz w:val="28"/>
              </w:rPr>
            </w:pPr>
            <w:r>
              <w:rPr>
                <w:sz w:val="28"/>
              </w:rPr>
              <w:t>-</w:t>
            </w:r>
          </w:p>
        </w:tc>
      </w:tr>
      <w:tr w14:paraId="345A599A">
        <w:tblPrEx>
          <w:tblCellMar>
            <w:top w:w="0" w:type="dxa"/>
            <w:left w:w="0" w:type="dxa"/>
            <w:bottom w:w="0" w:type="dxa"/>
            <w:right w:w="0" w:type="dxa"/>
          </w:tblCellMar>
        </w:tblPrEx>
        <w:trPr>
          <w:trHeight w:val="624" w:hRule="atLeast"/>
        </w:trPr>
        <w:tc>
          <w:tcPr>
            <w:tcW w:w="8292" w:type="dxa"/>
          </w:tcPr>
          <w:p w14:paraId="50051C34">
            <w:pPr>
              <w:pStyle w:val="13"/>
              <w:tabs>
                <w:tab w:val="left" w:leader="dot" w:pos="7010"/>
              </w:tabs>
              <w:spacing w:before="147"/>
              <w:ind w:right="64"/>
              <w:rPr>
                <w:sz w:val="28"/>
              </w:rPr>
            </w:pPr>
            <w:r>
              <w:rPr>
                <w:spacing w:val="21"/>
                <w:sz w:val="28"/>
              </w:rPr>
              <w:t>第二</w:t>
            </w:r>
            <w:r>
              <w:rPr>
                <w:sz w:val="28"/>
              </w:rPr>
              <w:t>节</w:t>
            </w:r>
            <w:r>
              <w:rPr>
                <w:spacing w:val="205"/>
                <w:sz w:val="28"/>
              </w:rPr>
              <w:t xml:space="preserve"> </w:t>
            </w:r>
            <w:r>
              <w:rPr>
                <w:spacing w:val="21"/>
                <w:sz w:val="28"/>
              </w:rPr>
              <w:t>强化</w:t>
            </w:r>
            <w:r>
              <w:rPr>
                <w:spacing w:val="19"/>
                <w:sz w:val="28"/>
              </w:rPr>
              <w:t>应</w:t>
            </w:r>
            <w:r>
              <w:rPr>
                <w:spacing w:val="21"/>
                <w:sz w:val="28"/>
              </w:rPr>
              <w:t>急管理体系</w:t>
            </w:r>
            <w:r>
              <w:rPr>
                <w:spacing w:val="19"/>
                <w:sz w:val="28"/>
              </w:rPr>
              <w:t>建</w:t>
            </w:r>
            <w:r>
              <w:rPr>
                <w:spacing w:val="-10"/>
                <w:sz w:val="28"/>
              </w:rPr>
              <w:t>设</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25"/>
                <w:position w:val="2"/>
                <w:sz w:val="28"/>
              </w:rPr>
              <w:t xml:space="preserve"> </w:t>
            </w:r>
            <w:r>
              <w:rPr>
                <w:spacing w:val="-10"/>
                <w:sz w:val="28"/>
              </w:rPr>
              <w:t>-</w:t>
            </w:r>
          </w:p>
        </w:tc>
        <w:tc>
          <w:tcPr>
            <w:tcW w:w="561" w:type="dxa"/>
          </w:tcPr>
          <w:p w14:paraId="6F17D453">
            <w:pPr>
              <w:pStyle w:val="13"/>
              <w:ind w:right="66"/>
              <w:rPr>
                <w:sz w:val="28"/>
              </w:rPr>
            </w:pPr>
            <w:r>
              <w:rPr>
                <w:spacing w:val="-5"/>
                <w:sz w:val="28"/>
              </w:rPr>
              <w:t>143</w:t>
            </w:r>
          </w:p>
        </w:tc>
        <w:tc>
          <w:tcPr>
            <w:tcW w:w="261" w:type="dxa"/>
          </w:tcPr>
          <w:p w14:paraId="00396167">
            <w:pPr>
              <w:pStyle w:val="13"/>
              <w:ind w:left="23"/>
              <w:jc w:val="center"/>
              <w:rPr>
                <w:sz w:val="28"/>
              </w:rPr>
            </w:pPr>
            <w:r>
              <w:rPr>
                <w:sz w:val="28"/>
              </w:rPr>
              <w:t>-</w:t>
            </w:r>
          </w:p>
        </w:tc>
      </w:tr>
      <w:tr w14:paraId="29DA7BAB">
        <w:tblPrEx>
          <w:tblCellMar>
            <w:top w:w="0" w:type="dxa"/>
            <w:left w:w="0" w:type="dxa"/>
            <w:bottom w:w="0" w:type="dxa"/>
            <w:right w:w="0" w:type="dxa"/>
          </w:tblCellMar>
        </w:tblPrEx>
        <w:trPr>
          <w:trHeight w:val="623" w:hRule="atLeast"/>
        </w:trPr>
        <w:tc>
          <w:tcPr>
            <w:tcW w:w="8292" w:type="dxa"/>
          </w:tcPr>
          <w:p w14:paraId="092C30BB">
            <w:pPr>
              <w:pStyle w:val="13"/>
              <w:tabs>
                <w:tab w:val="left" w:leader="dot" w:pos="7010"/>
              </w:tabs>
              <w:spacing w:before="147"/>
              <w:ind w:right="64"/>
              <w:rPr>
                <w:sz w:val="28"/>
              </w:rPr>
            </w:pPr>
            <w:r>
              <w:rPr>
                <w:spacing w:val="21"/>
                <w:sz w:val="28"/>
              </w:rPr>
              <w:t>第三</w:t>
            </w:r>
            <w:r>
              <w:rPr>
                <w:sz w:val="28"/>
              </w:rPr>
              <w:t>节</w:t>
            </w:r>
            <w:r>
              <w:rPr>
                <w:spacing w:val="205"/>
                <w:sz w:val="28"/>
              </w:rPr>
              <w:t xml:space="preserve"> </w:t>
            </w:r>
            <w:r>
              <w:rPr>
                <w:spacing w:val="21"/>
                <w:sz w:val="28"/>
              </w:rPr>
              <w:t>发扬</w:t>
            </w:r>
            <w:r>
              <w:rPr>
                <w:spacing w:val="19"/>
                <w:sz w:val="28"/>
              </w:rPr>
              <w:t>民</w:t>
            </w:r>
            <w:r>
              <w:rPr>
                <w:spacing w:val="21"/>
                <w:sz w:val="28"/>
              </w:rPr>
              <w:t>族团结优良</w:t>
            </w:r>
            <w:r>
              <w:rPr>
                <w:spacing w:val="19"/>
                <w:sz w:val="28"/>
              </w:rPr>
              <w:t>传</w:t>
            </w:r>
            <w:r>
              <w:rPr>
                <w:spacing w:val="-10"/>
                <w:sz w:val="28"/>
              </w:rPr>
              <w:t>统</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25"/>
                <w:position w:val="2"/>
                <w:sz w:val="28"/>
              </w:rPr>
              <w:t xml:space="preserve"> </w:t>
            </w:r>
            <w:r>
              <w:rPr>
                <w:spacing w:val="-10"/>
                <w:sz w:val="28"/>
              </w:rPr>
              <w:t>-</w:t>
            </w:r>
          </w:p>
        </w:tc>
        <w:tc>
          <w:tcPr>
            <w:tcW w:w="561" w:type="dxa"/>
          </w:tcPr>
          <w:p w14:paraId="7F56383E">
            <w:pPr>
              <w:pStyle w:val="13"/>
              <w:ind w:right="66"/>
              <w:rPr>
                <w:sz w:val="28"/>
              </w:rPr>
            </w:pPr>
            <w:r>
              <w:rPr>
                <w:spacing w:val="-5"/>
                <w:sz w:val="28"/>
              </w:rPr>
              <w:t>144</w:t>
            </w:r>
          </w:p>
        </w:tc>
        <w:tc>
          <w:tcPr>
            <w:tcW w:w="261" w:type="dxa"/>
          </w:tcPr>
          <w:p w14:paraId="29B89936">
            <w:pPr>
              <w:pStyle w:val="13"/>
              <w:ind w:left="23"/>
              <w:jc w:val="center"/>
              <w:rPr>
                <w:sz w:val="28"/>
              </w:rPr>
            </w:pPr>
            <w:r>
              <w:rPr>
                <w:sz w:val="28"/>
              </w:rPr>
              <w:t>-</w:t>
            </w:r>
          </w:p>
        </w:tc>
      </w:tr>
      <w:tr w14:paraId="7E7C0214">
        <w:tblPrEx>
          <w:tblCellMar>
            <w:top w:w="0" w:type="dxa"/>
            <w:left w:w="0" w:type="dxa"/>
            <w:bottom w:w="0" w:type="dxa"/>
            <w:right w:w="0" w:type="dxa"/>
          </w:tblCellMar>
        </w:tblPrEx>
        <w:trPr>
          <w:trHeight w:val="624" w:hRule="atLeast"/>
        </w:trPr>
        <w:tc>
          <w:tcPr>
            <w:tcW w:w="8292" w:type="dxa"/>
          </w:tcPr>
          <w:p w14:paraId="3DC71ACD">
            <w:pPr>
              <w:pStyle w:val="13"/>
              <w:tabs>
                <w:tab w:val="left" w:leader="dot" w:pos="7010"/>
              </w:tabs>
              <w:spacing w:before="147"/>
              <w:ind w:right="64"/>
              <w:rPr>
                <w:sz w:val="28"/>
              </w:rPr>
            </w:pPr>
            <w:r>
              <w:rPr>
                <w:spacing w:val="21"/>
                <w:sz w:val="28"/>
              </w:rPr>
              <w:t>第四</w:t>
            </w:r>
            <w:r>
              <w:rPr>
                <w:sz w:val="28"/>
              </w:rPr>
              <w:t>节</w:t>
            </w:r>
            <w:r>
              <w:rPr>
                <w:spacing w:val="205"/>
                <w:sz w:val="28"/>
              </w:rPr>
              <w:t xml:space="preserve"> </w:t>
            </w:r>
            <w:r>
              <w:rPr>
                <w:spacing w:val="21"/>
                <w:sz w:val="28"/>
              </w:rPr>
              <w:t>构筑</w:t>
            </w:r>
            <w:r>
              <w:rPr>
                <w:spacing w:val="19"/>
                <w:sz w:val="28"/>
              </w:rPr>
              <w:t>意</w:t>
            </w:r>
            <w:r>
              <w:rPr>
                <w:spacing w:val="21"/>
                <w:sz w:val="28"/>
              </w:rPr>
              <w:t>识形态安全</w:t>
            </w:r>
            <w:r>
              <w:rPr>
                <w:spacing w:val="19"/>
                <w:sz w:val="28"/>
              </w:rPr>
              <w:t>屏</w:t>
            </w:r>
            <w:r>
              <w:rPr>
                <w:spacing w:val="-10"/>
                <w:sz w:val="28"/>
              </w:rPr>
              <w:t>障</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25"/>
                <w:position w:val="2"/>
                <w:sz w:val="28"/>
              </w:rPr>
              <w:t xml:space="preserve"> </w:t>
            </w:r>
            <w:r>
              <w:rPr>
                <w:spacing w:val="-10"/>
                <w:sz w:val="28"/>
              </w:rPr>
              <w:t>-</w:t>
            </w:r>
          </w:p>
        </w:tc>
        <w:tc>
          <w:tcPr>
            <w:tcW w:w="561" w:type="dxa"/>
          </w:tcPr>
          <w:p w14:paraId="1A5BEF7C">
            <w:pPr>
              <w:pStyle w:val="13"/>
              <w:ind w:right="66"/>
              <w:rPr>
                <w:sz w:val="28"/>
              </w:rPr>
            </w:pPr>
            <w:r>
              <w:rPr>
                <w:spacing w:val="-5"/>
                <w:sz w:val="28"/>
              </w:rPr>
              <w:t>145</w:t>
            </w:r>
          </w:p>
        </w:tc>
        <w:tc>
          <w:tcPr>
            <w:tcW w:w="261" w:type="dxa"/>
          </w:tcPr>
          <w:p w14:paraId="53FF26B0">
            <w:pPr>
              <w:pStyle w:val="13"/>
              <w:ind w:left="23"/>
              <w:jc w:val="center"/>
              <w:rPr>
                <w:sz w:val="28"/>
              </w:rPr>
            </w:pPr>
            <w:r>
              <w:rPr>
                <w:sz w:val="28"/>
              </w:rPr>
              <w:t>-</w:t>
            </w:r>
          </w:p>
        </w:tc>
      </w:tr>
      <w:tr w14:paraId="33E77CC6">
        <w:tblPrEx>
          <w:tblCellMar>
            <w:top w:w="0" w:type="dxa"/>
            <w:left w:w="0" w:type="dxa"/>
            <w:bottom w:w="0" w:type="dxa"/>
            <w:right w:w="0" w:type="dxa"/>
          </w:tblCellMar>
        </w:tblPrEx>
        <w:trPr>
          <w:trHeight w:val="623" w:hRule="atLeast"/>
        </w:trPr>
        <w:tc>
          <w:tcPr>
            <w:tcW w:w="8292" w:type="dxa"/>
          </w:tcPr>
          <w:p w14:paraId="7668B8CA">
            <w:pPr>
              <w:pStyle w:val="13"/>
              <w:tabs>
                <w:tab w:val="left" w:leader="dot" w:pos="7828"/>
              </w:tabs>
              <w:spacing w:before="147"/>
              <w:ind w:right="71"/>
              <w:rPr>
                <w:b/>
                <w:sz w:val="28"/>
              </w:rPr>
            </w:pPr>
            <w:r>
              <w:rPr>
                <w:b/>
                <w:sz w:val="28"/>
              </w:rPr>
              <w:t>第九篇</w:t>
            </w:r>
            <w:r>
              <w:rPr>
                <w:b/>
                <w:spacing w:val="9"/>
                <w:w w:val="150"/>
                <w:sz w:val="28"/>
              </w:rPr>
              <w:t xml:space="preserve"> </w:t>
            </w:r>
            <w:r>
              <w:rPr>
                <w:b/>
                <w:sz w:val="28"/>
              </w:rPr>
              <w:t>广泛凝聚共识，保障有效实施新举</w:t>
            </w:r>
            <w:r>
              <w:rPr>
                <w:b/>
                <w:spacing w:val="-10"/>
                <w:sz w:val="28"/>
              </w:rPr>
              <w:t>措</w:t>
            </w:r>
            <w:r>
              <w:rPr>
                <w:rFonts w:ascii="Times New Roman" w:eastAsia="Times New Roman"/>
                <w:sz w:val="28"/>
              </w:rPr>
              <w:tab/>
            </w:r>
            <w:r>
              <w:rPr>
                <w:rFonts w:ascii="Times New Roman" w:eastAsia="Times New Roman"/>
                <w:b/>
                <w:position w:val="2"/>
                <w:sz w:val="28"/>
              </w:rPr>
              <w:t>..</w:t>
            </w:r>
            <w:r>
              <w:rPr>
                <w:rFonts w:ascii="Times New Roman" w:eastAsia="Times New Roman"/>
                <w:b/>
                <w:spacing w:val="-15"/>
                <w:position w:val="2"/>
                <w:sz w:val="28"/>
              </w:rPr>
              <w:t xml:space="preserve"> </w:t>
            </w:r>
            <w:r>
              <w:rPr>
                <w:b/>
                <w:spacing w:val="-10"/>
                <w:sz w:val="28"/>
              </w:rPr>
              <w:t>-</w:t>
            </w:r>
          </w:p>
        </w:tc>
        <w:tc>
          <w:tcPr>
            <w:tcW w:w="561" w:type="dxa"/>
          </w:tcPr>
          <w:p w14:paraId="2A862395">
            <w:pPr>
              <w:pStyle w:val="13"/>
              <w:ind w:right="68"/>
              <w:rPr>
                <w:b/>
                <w:sz w:val="28"/>
              </w:rPr>
            </w:pPr>
            <w:r>
              <w:rPr>
                <w:b/>
                <w:spacing w:val="-5"/>
                <w:sz w:val="28"/>
              </w:rPr>
              <w:t>147</w:t>
            </w:r>
          </w:p>
        </w:tc>
        <w:tc>
          <w:tcPr>
            <w:tcW w:w="261" w:type="dxa"/>
          </w:tcPr>
          <w:p w14:paraId="770FCAE4">
            <w:pPr>
              <w:pStyle w:val="13"/>
              <w:ind w:left="19"/>
              <w:jc w:val="center"/>
              <w:rPr>
                <w:b/>
                <w:sz w:val="28"/>
              </w:rPr>
            </w:pPr>
            <w:r>
              <w:rPr>
                <w:b/>
                <w:w w:val="99"/>
                <w:sz w:val="28"/>
              </w:rPr>
              <w:t>-</w:t>
            </w:r>
          </w:p>
        </w:tc>
      </w:tr>
      <w:tr w14:paraId="775EBBA2">
        <w:tblPrEx>
          <w:tblCellMar>
            <w:top w:w="0" w:type="dxa"/>
            <w:left w:w="0" w:type="dxa"/>
            <w:bottom w:w="0" w:type="dxa"/>
            <w:right w:w="0" w:type="dxa"/>
          </w:tblCellMar>
        </w:tblPrEx>
        <w:trPr>
          <w:trHeight w:val="623" w:hRule="atLeast"/>
        </w:trPr>
        <w:tc>
          <w:tcPr>
            <w:tcW w:w="8292" w:type="dxa"/>
          </w:tcPr>
          <w:p w14:paraId="52AA79CA">
            <w:pPr>
              <w:pStyle w:val="13"/>
              <w:tabs>
                <w:tab w:val="left" w:leader="dot" w:pos="7034"/>
              </w:tabs>
              <w:spacing w:before="147"/>
              <w:ind w:right="64"/>
              <w:rPr>
                <w:sz w:val="28"/>
              </w:rPr>
            </w:pPr>
            <w:r>
              <w:rPr>
                <w:spacing w:val="11"/>
                <w:sz w:val="28"/>
              </w:rPr>
              <w:t>第</w:t>
            </w:r>
            <w:r>
              <w:rPr>
                <w:sz w:val="28"/>
              </w:rPr>
              <w:t>一节</w:t>
            </w:r>
            <w:r>
              <w:rPr>
                <w:spacing w:val="31"/>
                <w:sz w:val="28"/>
              </w:rPr>
              <w:t xml:space="preserve">  </w:t>
            </w:r>
            <w:r>
              <w:rPr>
                <w:spacing w:val="11"/>
                <w:sz w:val="28"/>
              </w:rPr>
              <w:t>强</w:t>
            </w:r>
            <w:r>
              <w:rPr>
                <w:sz w:val="28"/>
              </w:rPr>
              <w:t>化</w:t>
            </w:r>
            <w:r>
              <w:rPr>
                <w:spacing w:val="11"/>
                <w:sz w:val="28"/>
              </w:rPr>
              <w:t>规划</w:t>
            </w:r>
            <w:r>
              <w:rPr>
                <w:sz w:val="28"/>
              </w:rPr>
              <w:t>引</w:t>
            </w:r>
            <w:r>
              <w:rPr>
                <w:spacing w:val="11"/>
                <w:sz w:val="28"/>
              </w:rPr>
              <w:t>导作</w:t>
            </w:r>
            <w:r>
              <w:rPr>
                <w:spacing w:val="-10"/>
                <w:sz w:val="28"/>
              </w:rPr>
              <w:t>用</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561" w:type="dxa"/>
          </w:tcPr>
          <w:p w14:paraId="710F2D9F">
            <w:pPr>
              <w:pStyle w:val="13"/>
              <w:ind w:right="66"/>
              <w:rPr>
                <w:sz w:val="28"/>
              </w:rPr>
            </w:pPr>
            <w:r>
              <w:rPr>
                <w:spacing w:val="-5"/>
                <w:sz w:val="28"/>
              </w:rPr>
              <w:t>147</w:t>
            </w:r>
          </w:p>
        </w:tc>
        <w:tc>
          <w:tcPr>
            <w:tcW w:w="261" w:type="dxa"/>
          </w:tcPr>
          <w:p w14:paraId="6E561489">
            <w:pPr>
              <w:pStyle w:val="13"/>
              <w:ind w:left="23"/>
              <w:jc w:val="center"/>
              <w:rPr>
                <w:sz w:val="28"/>
              </w:rPr>
            </w:pPr>
            <w:r>
              <w:rPr>
                <w:sz w:val="28"/>
              </w:rPr>
              <w:t>-</w:t>
            </w:r>
          </w:p>
        </w:tc>
      </w:tr>
      <w:tr w14:paraId="590557A2">
        <w:tblPrEx>
          <w:tblCellMar>
            <w:top w:w="0" w:type="dxa"/>
            <w:left w:w="0" w:type="dxa"/>
            <w:bottom w:w="0" w:type="dxa"/>
            <w:right w:w="0" w:type="dxa"/>
          </w:tblCellMar>
        </w:tblPrEx>
        <w:trPr>
          <w:trHeight w:val="467" w:hRule="atLeast"/>
        </w:trPr>
        <w:tc>
          <w:tcPr>
            <w:tcW w:w="8292" w:type="dxa"/>
          </w:tcPr>
          <w:p w14:paraId="08513D67">
            <w:pPr>
              <w:pStyle w:val="13"/>
              <w:tabs>
                <w:tab w:val="left" w:leader="dot" w:pos="7034"/>
              </w:tabs>
              <w:spacing w:before="145" w:line="303" w:lineRule="exact"/>
              <w:ind w:right="64"/>
              <w:rPr>
                <w:sz w:val="28"/>
              </w:rPr>
            </w:pPr>
            <w:r>
              <w:rPr>
                <w:spacing w:val="11"/>
                <w:sz w:val="28"/>
              </w:rPr>
              <w:t>第</w:t>
            </w:r>
            <w:r>
              <w:rPr>
                <w:sz w:val="28"/>
              </w:rPr>
              <w:t>二节</w:t>
            </w:r>
            <w:r>
              <w:rPr>
                <w:spacing w:val="31"/>
                <w:sz w:val="28"/>
              </w:rPr>
              <w:t xml:space="preserve">  </w:t>
            </w:r>
            <w:r>
              <w:rPr>
                <w:spacing w:val="11"/>
                <w:sz w:val="28"/>
              </w:rPr>
              <w:t>完</w:t>
            </w:r>
            <w:r>
              <w:rPr>
                <w:sz w:val="28"/>
              </w:rPr>
              <w:t>善</w:t>
            </w:r>
            <w:r>
              <w:rPr>
                <w:spacing w:val="11"/>
                <w:sz w:val="28"/>
              </w:rPr>
              <w:t>宏观</w:t>
            </w:r>
            <w:r>
              <w:rPr>
                <w:sz w:val="28"/>
              </w:rPr>
              <w:t>调</w:t>
            </w:r>
            <w:r>
              <w:rPr>
                <w:spacing w:val="11"/>
                <w:sz w:val="28"/>
              </w:rPr>
              <w:t>控机</w:t>
            </w:r>
            <w:r>
              <w:rPr>
                <w:spacing w:val="-10"/>
                <w:sz w:val="28"/>
              </w:rPr>
              <w:t>制</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561" w:type="dxa"/>
          </w:tcPr>
          <w:p w14:paraId="2FAD3C29">
            <w:pPr>
              <w:pStyle w:val="13"/>
              <w:spacing w:line="300" w:lineRule="exact"/>
              <w:ind w:right="66"/>
              <w:rPr>
                <w:sz w:val="28"/>
              </w:rPr>
            </w:pPr>
            <w:r>
              <w:rPr>
                <w:spacing w:val="-5"/>
                <w:sz w:val="28"/>
              </w:rPr>
              <w:t>148</w:t>
            </w:r>
          </w:p>
        </w:tc>
        <w:tc>
          <w:tcPr>
            <w:tcW w:w="261" w:type="dxa"/>
          </w:tcPr>
          <w:p w14:paraId="23E9BD06">
            <w:pPr>
              <w:pStyle w:val="13"/>
              <w:spacing w:line="300" w:lineRule="exact"/>
              <w:ind w:left="23"/>
              <w:jc w:val="center"/>
              <w:rPr>
                <w:sz w:val="28"/>
              </w:rPr>
            </w:pPr>
            <w:r>
              <w:rPr>
                <w:sz w:val="28"/>
              </w:rPr>
              <w:t>-</w:t>
            </w:r>
          </w:p>
        </w:tc>
      </w:tr>
    </w:tbl>
    <w:p w14:paraId="02BB4424">
      <w:pPr>
        <w:spacing w:line="300" w:lineRule="exact"/>
        <w:jc w:val="center"/>
        <w:rPr>
          <w:sz w:val="28"/>
        </w:rPr>
        <w:sectPr>
          <w:type w:val="continuous"/>
          <w:pgSz w:w="11910" w:h="16840"/>
          <w:pgMar w:top="1800" w:right="1140" w:bottom="1380" w:left="1320" w:header="0" w:footer="1196" w:gutter="0"/>
          <w:cols w:space="720" w:num="1"/>
        </w:sectPr>
      </w:pPr>
    </w:p>
    <w:tbl>
      <w:tblPr>
        <w:tblStyle w:val="11"/>
        <w:tblW w:w="0" w:type="auto"/>
        <w:tblInd w:w="951" w:type="dxa"/>
        <w:tblLayout w:type="fixed"/>
        <w:tblCellMar>
          <w:top w:w="0" w:type="dxa"/>
          <w:left w:w="0" w:type="dxa"/>
          <w:bottom w:w="0" w:type="dxa"/>
          <w:right w:w="0" w:type="dxa"/>
        </w:tblCellMar>
      </w:tblPr>
      <w:tblGrid>
        <w:gridCol w:w="1072"/>
        <w:gridCol w:w="6382"/>
        <w:gridCol w:w="821"/>
      </w:tblGrid>
      <w:tr w14:paraId="4A373857">
        <w:tblPrEx>
          <w:tblCellMar>
            <w:top w:w="0" w:type="dxa"/>
            <w:left w:w="0" w:type="dxa"/>
            <w:bottom w:w="0" w:type="dxa"/>
            <w:right w:w="0" w:type="dxa"/>
          </w:tblCellMar>
        </w:tblPrEx>
        <w:trPr>
          <w:trHeight w:val="467" w:hRule="atLeast"/>
        </w:trPr>
        <w:tc>
          <w:tcPr>
            <w:tcW w:w="1072" w:type="dxa"/>
          </w:tcPr>
          <w:p w14:paraId="3D87BC2B">
            <w:pPr>
              <w:pStyle w:val="13"/>
              <w:spacing w:before="0" w:line="351" w:lineRule="exact"/>
              <w:ind w:left="50"/>
              <w:jc w:val="left"/>
              <w:rPr>
                <w:sz w:val="28"/>
              </w:rPr>
            </w:pPr>
            <w:r>
              <w:rPr>
                <w:sz w:val="28"/>
              </w:rPr>
              <w:t>第三节</w:t>
            </w:r>
          </w:p>
        </w:tc>
        <w:tc>
          <w:tcPr>
            <w:tcW w:w="6382" w:type="dxa"/>
          </w:tcPr>
          <w:p w14:paraId="1B4A81A9">
            <w:pPr>
              <w:pStyle w:val="13"/>
              <w:tabs>
                <w:tab w:val="left" w:leader="dot" w:pos="5854"/>
              </w:tabs>
              <w:spacing w:before="0" w:line="349" w:lineRule="exact"/>
              <w:ind w:right="66"/>
              <w:rPr>
                <w:sz w:val="28"/>
              </w:rPr>
            </w:pPr>
            <w:r>
              <w:rPr>
                <w:spacing w:val="11"/>
                <w:sz w:val="28"/>
              </w:rPr>
              <w:t>健</w:t>
            </w:r>
            <w:r>
              <w:rPr>
                <w:sz w:val="28"/>
              </w:rPr>
              <w:t>全</w:t>
            </w:r>
            <w:r>
              <w:rPr>
                <w:spacing w:val="11"/>
                <w:sz w:val="28"/>
              </w:rPr>
              <w:t>规划</w:t>
            </w:r>
            <w:r>
              <w:rPr>
                <w:sz w:val="28"/>
              </w:rPr>
              <w:t>实</w:t>
            </w:r>
            <w:r>
              <w:rPr>
                <w:spacing w:val="11"/>
                <w:sz w:val="28"/>
              </w:rPr>
              <w:t>施评</w:t>
            </w:r>
            <w:r>
              <w:rPr>
                <w:spacing w:val="-10"/>
                <w:sz w:val="28"/>
              </w:rPr>
              <w:t>估</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821" w:type="dxa"/>
          </w:tcPr>
          <w:p w14:paraId="145CE12D">
            <w:pPr>
              <w:pStyle w:val="13"/>
              <w:spacing w:before="0" w:line="351" w:lineRule="exact"/>
              <w:ind w:left="56" w:right="36"/>
              <w:jc w:val="center"/>
              <w:rPr>
                <w:sz w:val="28"/>
              </w:rPr>
            </w:pPr>
            <w:r>
              <w:rPr>
                <w:sz w:val="28"/>
              </w:rPr>
              <w:t>148</w:t>
            </w:r>
            <w:r>
              <w:rPr>
                <w:spacing w:val="-1"/>
                <w:sz w:val="28"/>
              </w:rPr>
              <w:t xml:space="preserve"> </w:t>
            </w:r>
            <w:r>
              <w:rPr>
                <w:spacing w:val="-10"/>
                <w:sz w:val="28"/>
              </w:rPr>
              <w:t>-</w:t>
            </w:r>
          </w:p>
        </w:tc>
      </w:tr>
      <w:tr w14:paraId="40E345D2">
        <w:tblPrEx>
          <w:tblCellMar>
            <w:top w:w="0" w:type="dxa"/>
            <w:left w:w="0" w:type="dxa"/>
            <w:bottom w:w="0" w:type="dxa"/>
            <w:right w:w="0" w:type="dxa"/>
          </w:tblCellMar>
        </w:tblPrEx>
        <w:trPr>
          <w:trHeight w:val="467" w:hRule="atLeast"/>
        </w:trPr>
        <w:tc>
          <w:tcPr>
            <w:tcW w:w="1072" w:type="dxa"/>
          </w:tcPr>
          <w:p w14:paraId="437935E6">
            <w:pPr>
              <w:pStyle w:val="13"/>
              <w:spacing w:line="300" w:lineRule="exact"/>
              <w:ind w:left="50"/>
              <w:jc w:val="left"/>
              <w:rPr>
                <w:sz w:val="28"/>
              </w:rPr>
            </w:pPr>
            <w:r>
              <w:rPr>
                <w:sz w:val="28"/>
              </w:rPr>
              <w:t>第四节</w:t>
            </w:r>
          </w:p>
        </w:tc>
        <w:tc>
          <w:tcPr>
            <w:tcW w:w="6382" w:type="dxa"/>
          </w:tcPr>
          <w:p w14:paraId="1C159FA9">
            <w:pPr>
              <w:pStyle w:val="13"/>
              <w:tabs>
                <w:tab w:val="left" w:leader="dot" w:pos="5854"/>
              </w:tabs>
              <w:spacing w:before="145" w:line="303" w:lineRule="exact"/>
              <w:ind w:right="66"/>
              <w:rPr>
                <w:sz w:val="28"/>
              </w:rPr>
            </w:pPr>
            <w:r>
              <w:rPr>
                <w:spacing w:val="11"/>
                <w:sz w:val="28"/>
              </w:rPr>
              <w:t>优</w:t>
            </w:r>
            <w:r>
              <w:rPr>
                <w:sz w:val="28"/>
              </w:rPr>
              <w:t>化</w:t>
            </w:r>
            <w:r>
              <w:rPr>
                <w:spacing w:val="11"/>
                <w:sz w:val="28"/>
              </w:rPr>
              <w:t>规划</w:t>
            </w:r>
            <w:r>
              <w:rPr>
                <w:sz w:val="28"/>
              </w:rPr>
              <w:t>实</w:t>
            </w:r>
            <w:r>
              <w:rPr>
                <w:spacing w:val="11"/>
                <w:sz w:val="28"/>
              </w:rPr>
              <w:t>施环</w:t>
            </w:r>
            <w:r>
              <w:rPr>
                <w:spacing w:val="-10"/>
                <w:sz w:val="28"/>
              </w:rPr>
              <w:t>境</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821" w:type="dxa"/>
          </w:tcPr>
          <w:p w14:paraId="049AC77A">
            <w:pPr>
              <w:pStyle w:val="13"/>
              <w:spacing w:line="300" w:lineRule="exact"/>
              <w:ind w:left="56" w:right="36"/>
              <w:jc w:val="center"/>
              <w:rPr>
                <w:sz w:val="28"/>
              </w:rPr>
            </w:pPr>
            <w:r>
              <w:rPr>
                <w:sz w:val="28"/>
              </w:rPr>
              <w:t>149</w:t>
            </w:r>
            <w:r>
              <w:rPr>
                <w:spacing w:val="-1"/>
                <w:sz w:val="28"/>
              </w:rPr>
              <w:t xml:space="preserve"> </w:t>
            </w:r>
            <w:r>
              <w:rPr>
                <w:spacing w:val="-10"/>
                <w:sz w:val="28"/>
              </w:rPr>
              <w:t>-</w:t>
            </w:r>
          </w:p>
        </w:tc>
      </w:tr>
    </w:tbl>
    <w:p w14:paraId="69FA7376">
      <w:pPr>
        <w:pStyle w:val="5"/>
        <w:spacing w:before="6"/>
        <w:rPr>
          <w:b/>
          <w:sz w:val="18"/>
        </w:rPr>
      </w:pPr>
    </w:p>
    <w:p w14:paraId="482C5E78">
      <w:pPr>
        <w:tabs>
          <w:tab w:val="right" w:leader="dot" w:pos="9169"/>
        </w:tabs>
        <w:spacing w:before="92"/>
        <w:ind w:left="153"/>
        <w:rPr>
          <w:b/>
          <w:sz w:val="28"/>
        </w:rPr>
      </w:pPr>
      <w:r>
        <w:rPr>
          <w:b/>
          <w:w w:val="95"/>
          <w:sz w:val="28"/>
        </w:rPr>
        <w:t>附图</w:t>
      </w:r>
      <w:r>
        <w:rPr>
          <w:b/>
          <w:spacing w:val="-10"/>
          <w:w w:val="95"/>
          <w:sz w:val="28"/>
        </w:rPr>
        <w:t>：</w:t>
      </w:r>
      <w:r>
        <w:rPr>
          <w:rFonts w:ascii="Times New Roman" w:eastAsia="Times New Roman"/>
          <w:sz w:val="28"/>
        </w:rPr>
        <w:tab/>
      </w:r>
      <w:r>
        <w:rPr>
          <w:b/>
          <w:spacing w:val="-5"/>
          <w:sz w:val="28"/>
        </w:rPr>
        <w:t>150</w:t>
      </w:r>
    </w:p>
    <w:p w14:paraId="6930EAF2">
      <w:pPr>
        <w:tabs>
          <w:tab w:val="right" w:leader="dot" w:pos="9169"/>
        </w:tabs>
        <w:spacing w:before="265"/>
        <w:ind w:left="153"/>
        <w:rPr>
          <w:b/>
          <w:sz w:val="28"/>
        </w:rPr>
      </w:pPr>
      <w:r>
        <w:rPr>
          <w:b/>
          <w:w w:val="95"/>
          <w:sz w:val="28"/>
        </w:rPr>
        <w:t>附件</w:t>
      </w:r>
      <w:r>
        <w:rPr>
          <w:b/>
          <w:spacing w:val="-10"/>
          <w:w w:val="95"/>
          <w:sz w:val="28"/>
        </w:rPr>
        <w:t>：</w:t>
      </w:r>
      <w:r>
        <w:rPr>
          <w:rFonts w:ascii="Times New Roman" w:eastAsia="Times New Roman"/>
          <w:sz w:val="28"/>
        </w:rPr>
        <w:tab/>
      </w:r>
      <w:r>
        <w:rPr>
          <w:b/>
          <w:spacing w:val="-5"/>
          <w:sz w:val="28"/>
        </w:rPr>
        <w:t>151</w:t>
      </w:r>
    </w:p>
    <w:p w14:paraId="3B15DDC4">
      <w:pPr>
        <w:rPr>
          <w:sz w:val="28"/>
        </w:rPr>
        <w:sectPr>
          <w:type w:val="continuous"/>
          <w:pgSz w:w="11910" w:h="16840"/>
          <w:pgMar w:top="1800" w:right="1140" w:bottom="1380" w:left="1320" w:header="0" w:footer="1196" w:gutter="0"/>
          <w:cols w:space="720" w:num="1"/>
        </w:sectPr>
      </w:pPr>
    </w:p>
    <w:p w14:paraId="1538EA15">
      <w:pPr>
        <w:tabs>
          <w:tab w:val="left" w:pos="1444"/>
        </w:tabs>
        <w:spacing w:before="276"/>
        <w:ind w:right="177"/>
        <w:jc w:val="center"/>
        <w:rPr>
          <w:rFonts w:ascii="方正小标宋简体" w:eastAsia="方正小标宋简体"/>
          <w:b/>
          <w:sz w:val="36"/>
        </w:rPr>
      </w:pPr>
      <w:r>
        <w:rPr>
          <w:rFonts w:hint="eastAsia" w:ascii="方正小标宋简体" w:eastAsia="方正小标宋简体"/>
          <w:b/>
          <w:w w:val="95"/>
          <w:sz w:val="36"/>
        </w:rPr>
        <w:t>第一</w:t>
      </w:r>
      <w:r>
        <w:rPr>
          <w:rFonts w:hint="eastAsia" w:ascii="方正小标宋简体" w:eastAsia="方正小标宋简体"/>
          <w:b/>
          <w:spacing w:val="-10"/>
          <w:w w:val="95"/>
          <w:sz w:val="36"/>
        </w:rPr>
        <w:t>篇</w:t>
      </w:r>
      <w:r>
        <w:rPr>
          <w:rFonts w:hint="eastAsia" w:ascii="方正小标宋简体" w:eastAsia="方正小标宋简体"/>
          <w:b/>
          <w:sz w:val="36"/>
        </w:rPr>
        <w:tab/>
      </w:r>
      <w:r>
        <w:rPr>
          <w:rFonts w:hint="eastAsia" w:ascii="方正小标宋简体" w:eastAsia="方正小标宋简体"/>
          <w:b/>
          <w:w w:val="95"/>
          <w:sz w:val="36"/>
        </w:rPr>
        <w:t>决胜全面小康</w:t>
      </w:r>
      <w:r>
        <w:rPr>
          <w:rFonts w:hint="eastAsia" w:ascii="方正小标宋简体" w:eastAsia="方正小标宋简体"/>
          <w:b/>
          <w:spacing w:val="-10"/>
          <w:w w:val="95"/>
          <w:sz w:val="36"/>
        </w:rPr>
        <w:t>，</w:t>
      </w:r>
    </w:p>
    <w:p w14:paraId="4378F029">
      <w:pPr>
        <w:pStyle w:val="5"/>
        <w:spacing w:before="6"/>
        <w:rPr>
          <w:rFonts w:ascii="方正小标宋简体"/>
          <w:b/>
        </w:rPr>
      </w:pPr>
    </w:p>
    <w:p w14:paraId="11A22825">
      <w:pPr>
        <w:spacing w:before="1"/>
        <w:ind w:left="398" w:right="568"/>
        <w:jc w:val="center"/>
        <w:rPr>
          <w:rFonts w:ascii="方正小标宋简体" w:eastAsia="方正小标宋简体"/>
          <w:b/>
          <w:sz w:val="36"/>
        </w:rPr>
      </w:pPr>
      <w:r>
        <w:rPr>
          <w:rFonts w:hint="eastAsia" w:ascii="方正小标宋简体" w:eastAsia="方正小标宋简体"/>
          <w:b/>
          <w:w w:val="95"/>
          <w:sz w:val="36"/>
        </w:rPr>
        <w:t>开启全面建设社会主义现代化</w:t>
      </w:r>
      <w:r>
        <w:rPr>
          <w:rFonts w:hint="eastAsia" w:ascii="方正小标宋简体" w:eastAsia="方正小标宋简体"/>
          <w:b/>
          <w:spacing w:val="-2"/>
          <w:w w:val="95"/>
          <w:sz w:val="36"/>
        </w:rPr>
        <w:t>金凤新征程</w:t>
      </w:r>
    </w:p>
    <w:p w14:paraId="14EABF5A">
      <w:pPr>
        <w:pStyle w:val="5"/>
        <w:spacing w:before="7"/>
        <w:rPr>
          <w:rFonts w:ascii="方正小标宋简体"/>
          <w:b/>
          <w:sz w:val="35"/>
        </w:rPr>
      </w:pPr>
    </w:p>
    <w:p w14:paraId="0CBBA41C">
      <w:pPr>
        <w:ind w:left="993"/>
        <w:rPr>
          <w:rFonts w:ascii="宋体" w:eastAsia="宋体"/>
          <w:b/>
          <w:sz w:val="30"/>
        </w:rPr>
      </w:pPr>
      <w:r>
        <w:rPr>
          <w:rFonts w:hint="eastAsia" w:ascii="宋体" w:eastAsia="宋体"/>
          <w:b/>
          <w:sz w:val="30"/>
        </w:rPr>
        <w:t>第一章</w:t>
      </w:r>
      <w:r>
        <w:rPr>
          <w:rFonts w:hint="eastAsia" w:ascii="宋体" w:eastAsia="宋体"/>
          <w:b/>
          <w:spacing w:val="53"/>
          <w:w w:val="150"/>
          <w:sz w:val="30"/>
        </w:rPr>
        <w:t xml:space="preserve"> </w:t>
      </w:r>
      <w:r>
        <w:rPr>
          <w:rFonts w:hint="eastAsia" w:ascii="宋体" w:eastAsia="宋体"/>
          <w:b/>
          <w:spacing w:val="-2"/>
          <w:sz w:val="30"/>
        </w:rPr>
        <w:t>发展基础与环境</w:t>
      </w:r>
    </w:p>
    <w:p w14:paraId="1593736E">
      <w:pPr>
        <w:pStyle w:val="5"/>
        <w:spacing w:before="7"/>
        <w:rPr>
          <w:rFonts w:ascii="宋体"/>
          <w:b/>
          <w:sz w:val="31"/>
        </w:rPr>
      </w:pPr>
    </w:p>
    <w:p w14:paraId="54C011B6">
      <w:pPr>
        <w:ind w:left="393" w:right="568"/>
        <w:jc w:val="center"/>
        <w:rPr>
          <w:rFonts w:ascii="宋体" w:eastAsia="宋体"/>
          <w:b/>
          <w:sz w:val="32"/>
        </w:rPr>
      </w:pPr>
      <w:r>
        <w:rPr>
          <w:rFonts w:hint="eastAsia" w:ascii="宋体" w:eastAsia="宋体"/>
          <w:b/>
          <w:sz w:val="32"/>
        </w:rPr>
        <w:t>第一</w:t>
      </w:r>
      <w:r>
        <w:rPr>
          <w:rFonts w:hint="eastAsia" w:ascii="宋体" w:eastAsia="宋体"/>
          <w:b/>
          <w:spacing w:val="44"/>
          <w:sz w:val="32"/>
        </w:rPr>
        <w:t>节 全</w:t>
      </w:r>
      <w:r>
        <w:rPr>
          <w:rFonts w:hint="eastAsia" w:ascii="宋体" w:eastAsia="宋体"/>
          <w:b/>
          <w:sz w:val="32"/>
        </w:rPr>
        <w:t>面建成小康社会取得决定性成</w:t>
      </w:r>
      <w:r>
        <w:rPr>
          <w:rFonts w:hint="eastAsia" w:ascii="宋体" w:eastAsia="宋体"/>
          <w:b/>
          <w:spacing w:val="-10"/>
          <w:sz w:val="32"/>
        </w:rPr>
        <w:t>就</w:t>
      </w:r>
    </w:p>
    <w:p w14:paraId="67744948">
      <w:pPr>
        <w:pStyle w:val="5"/>
        <w:spacing w:before="11"/>
        <w:rPr>
          <w:rFonts w:ascii="宋体"/>
          <w:b/>
          <w:sz w:val="23"/>
        </w:rPr>
      </w:pPr>
    </w:p>
    <w:p w14:paraId="732C4B03">
      <w:pPr>
        <w:pStyle w:val="5"/>
        <w:spacing w:line="328" w:lineRule="auto"/>
        <w:ind w:left="153" w:right="182" w:firstLine="684"/>
      </w:pPr>
      <w:r>
        <w:rPr>
          <w:spacing w:val="23"/>
          <w:w w:val="99"/>
        </w:rPr>
        <w:t>“十三五”以来，全区上下以习近平新时代中国特色社会主义思想和党的十九大精神为引领，围绕“五城五区”建设，全面践行“一高三化”发展要求，统筹推进稳增长、促改革、调结构、惠民生、防风险、保稳定各项工作，积极应</w:t>
      </w:r>
      <w:r>
        <w:rPr>
          <w:spacing w:val="13"/>
          <w:w w:val="99"/>
        </w:rPr>
        <w:t>对新冠肺炎疫情不利影响，攻坚克难、砥砺前行，“十三五”</w:t>
      </w:r>
      <w:r>
        <w:rPr>
          <w:spacing w:val="23"/>
          <w:w w:val="99"/>
        </w:rPr>
        <w:t>规划主要指标进度基本符合预期，重大任务进展总体顺利，全面建成小康社会目标取得决定性成就，为开启全面建设社</w:t>
      </w:r>
      <w:r>
        <w:rPr>
          <w:spacing w:val="19"/>
          <w:w w:val="99"/>
        </w:rPr>
        <w:t>会主义现代化金凤新征程奠定了坚实基础。</w:t>
      </w:r>
    </w:p>
    <w:p w14:paraId="05469599">
      <w:pPr>
        <w:pStyle w:val="5"/>
        <w:spacing w:line="397" w:lineRule="exact"/>
        <w:ind w:left="794"/>
        <w:rPr>
          <w:rFonts w:ascii="黑体" w:eastAsia="黑体"/>
        </w:rPr>
      </w:pPr>
      <w:r>
        <w:rPr>
          <w:rFonts w:ascii="黑体" w:eastAsia="黑体"/>
          <w:w w:val="95"/>
        </w:rPr>
        <w:t>一、经济平稳健康运行，综合实力稳步提</w:t>
      </w:r>
      <w:r>
        <w:rPr>
          <w:rFonts w:ascii="黑体" w:eastAsia="黑体"/>
          <w:spacing w:val="-10"/>
          <w:w w:val="95"/>
        </w:rPr>
        <w:t>升</w:t>
      </w:r>
    </w:p>
    <w:p w14:paraId="7FE5CA72">
      <w:pPr>
        <w:pStyle w:val="5"/>
        <w:spacing w:before="149"/>
        <w:ind w:right="342"/>
        <w:jc w:val="right"/>
        <w:rPr>
          <w:rFonts w:ascii="Times New Roman" w:eastAsia="Times New Roman"/>
        </w:rPr>
      </w:pPr>
      <w:r>
        <w:rPr>
          <w:rFonts w:ascii="Times New Roman" w:eastAsia="Times New Roman"/>
        </w:rPr>
        <w:t>2020</w:t>
      </w:r>
      <w:r>
        <w:rPr>
          <w:rFonts w:ascii="Times New Roman" w:eastAsia="Times New Roman"/>
          <w:spacing w:val="18"/>
        </w:rPr>
        <w:t xml:space="preserve"> </w:t>
      </w:r>
      <w:r>
        <w:rPr>
          <w:spacing w:val="-6"/>
        </w:rPr>
        <w:t>年， 金凤</w:t>
      </w:r>
      <w:r>
        <w:rPr>
          <w:spacing w:val="36"/>
        </w:rPr>
        <w:t>区地区</w:t>
      </w:r>
      <w:r>
        <w:rPr>
          <w:spacing w:val="33"/>
        </w:rPr>
        <w:t>生</w:t>
      </w:r>
      <w:r>
        <w:rPr>
          <w:spacing w:val="36"/>
        </w:rPr>
        <w:t>产总值突</w:t>
      </w:r>
      <w:r>
        <w:rPr>
          <w:spacing w:val="-20"/>
        </w:rPr>
        <w:t xml:space="preserve">破 </w:t>
      </w:r>
      <w:r>
        <w:rPr>
          <w:rFonts w:ascii="Times New Roman" w:eastAsia="Times New Roman"/>
        </w:rPr>
        <w:t>300</w:t>
      </w:r>
      <w:r>
        <w:rPr>
          <w:rFonts w:ascii="Times New Roman" w:eastAsia="Times New Roman"/>
          <w:spacing w:val="30"/>
        </w:rPr>
        <w:t xml:space="preserve"> </w:t>
      </w:r>
      <w:r>
        <w:rPr>
          <w:spacing w:val="-17"/>
        </w:rPr>
        <w:t xml:space="preserve">亿元， 是 </w:t>
      </w:r>
      <w:r>
        <w:rPr>
          <w:rFonts w:ascii="Times New Roman" w:eastAsia="Times New Roman"/>
          <w:spacing w:val="-4"/>
        </w:rPr>
        <w:t>2015</w:t>
      </w:r>
    </w:p>
    <w:p w14:paraId="2D947CA3">
      <w:pPr>
        <w:pStyle w:val="5"/>
        <w:spacing w:before="152"/>
        <w:ind w:right="354"/>
        <w:jc w:val="right"/>
      </w:pPr>
      <w:r>
        <w:rPr>
          <w:spacing w:val="12"/>
          <w:w w:val="95"/>
        </w:rPr>
        <w:t>年的</w:t>
      </w:r>
      <w:r>
        <w:rPr>
          <w:spacing w:val="49"/>
        </w:rPr>
        <w:t xml:space="preserve"> </w:t>
      </w:r>
      <w:r>
        <w:rPr>
          <w:rFonts w:ascii="Times New Roman" w:eastAsia="Times New Roman"/>
          <w:w w:val="95"/>
        </w:rPr>
        <w:t>1.7</w:t>
      </w:r>
      <w:r>
        <w:rPr>
          <w:rFonts w:ascii="Times New Roman" w:eastAsia="Times New Roman"/>
          <w:spacing w:val="78"/>
          <w:w w:val="150"/>
        </w:rPr>
        <w:t xml:space="preserve"> </w:t>
      </w:r>
      <w:r>
        <w:rPr>
          <w:spacing w:val="13"/>
          <w:w w:val="95"/>
        </w:rPr>
        <w:t>倍，年均增长</w:t>
      </w:r>
      <w:r>
        <w:rPr>
          <w:spacing w:val="50"/>
        </w:rPr>
        <w:t xml:space="preserve"> </w:t>
      </w:r>
      <w:r>
        <w:rPr>
          <w:rFonts w:ascii="Times New Roman" w:eastAsia="Times New Roman"/>
          <w:w w:val="95"/>
        </w:rPr>
        <w:t>6.4%</w:t>
      </w:r>
      <w:r>
        <w:rPr>
          <w:w w:val="95"/>
        </w:rPr>
        <w:t>；</w:t>
      </w:r>
      <w:r>
        <w:rPr>
          <w:rFonts w:ascii="Times New Roman" w:eastAsia="Times New Roman"/>
          <w:w w:val="95"/>
        </w:rPr>
        <w:t>2020</w:t>
      </w:r>
      <w:r>
        <w:rPr>
          <w:rFonts w:ascii="Times New Roman" w:eastAsia="Times New Roman"/>
          <w:spacing w:val="78"/>
          <w:w w:val="150"/>
        </w:rPr>
        <w:t xml:space="preserve"> </w:t>
      </w:r>
      <w:r>
        <w:rPr>
          <w:spacing w:val="18"/>
          <w:w w:val="95"/>
        </w:rPr>
        <w:t>年实现公共财政预算收入</w:t>
      </w:r>
    </w:p>
    <w:p w14:paraId="347E518E">
      <w:pPr>
        <w:pStyle w:val="5"/>
        <w:spacing w:before="149" w:line="328" w:lineRule="auto"/>
        <w:ind w:left="153" w:right="180"/>
      </w:pPr>
      <w:r>
        <w:rPr>
          <w:rFonts w:ascii="Times New Roman" w:eastAsia="Times New Roman"/>
        </w:rPr>
        <w:t>7.7</w:t>
      </w:r>
      <w:r>
        <w:rPr>
          <w:rFonts w:ascii="Times New Roman" w:eastAsia="Times New Roman"/>
          <w:spacing w:val="24"/>
        </w:rPr>
        <w:t xml:space="preserve"> </w:t>
      </w:r>
      <w:r>
        <w:rPr>
          <w:spacing w:val="10"/>
        </w:rPr>
        <w:t xml:space="preserve">亿元，是 </w:t>
      </w:r>
      <w:r>
        <w:rPr>
          <w:rFonts w:ascii="Times New Roman" w:eastAsia="Times New Roman"/>
        </w:rPr>
        <w:t>2015</w:t>
      </w:r>
      <w:r>
        <w:rPr>
          <w:rFonts w:ascii="Times New Roman" w:eastAsia="Times New Roman"/>
          <w:spacing w:val="24"/>
        </w:rPr>
        <w:t xml:space="preserve"> </w:t>
      </w:r>
      <w:r>
        <w:rPr>
          <w:spacing w:val="2"/>
        </w:rPr>
        <w:t xml:space="preserve">年的 </w:t>
      </w:r>
      <w:r>
        <w:rPr>
          <w:rFonts w:ascii="Times New Roman" w:eastAsia="Times New Roman"/>
        </w:rPr>
        <w:t>1.4</w:t>
      </w:r>
      <w:r>
        <w:rPr>
          <w:rFonts w:ascii="Times New Roman" w:eastAsia="Times New Roman"/>
          <w:spacing w:val="24"/>
        </w:rPr>
        <w:t xml:space="preserve"> </w:t>
      </w:r>
      <w:r>
        <w:rPr>
          <w:spacing w:val="14"/>
        </w:rPr>
        <w:t xml:space="preserve">倍，年均增长 </w:t>
      </w:r>
      <w:r>
        <w:rPr>
          <w:rFonts w:ascii="Times New Roman" w:eastAsia="Times New Roman"/>
          <w:spacing w:val="14"/>
        </w:rPr>
        <w:t>7.7%</w:t>
      </w:r>
      <w:r>
        <w:rPr>
          <w:spacing w:val="17"/>
        </w:rPr>
        <w:t>；社会消费品</w:t>
      </w:r>
      <w:r>
        <w:rPr>
          <w:spacing w:val="11"/>
        </w:rPr>
        <w:t>零售总额连续多个季度位居全区首位，</w:t>
      </w:r>
      <w:r>
        <w:rPr>
          <w:rFonts w:ascii="Times New Roman" w:eastAsia="Times New Roman"/>
          <w:spacing w:val="31"/>
        </w:rPr>
        <w:t>2</w:t>
      </w:r>
      <w:r>
        <w:rPr>
          <w:rFonts w:ascii="Times New Roman" w:eastAsia="Times New Roman"/>
          <w:spacing w:val="33"/>
        </w:rPr>
        <w:t>0</w:t>
      </w:r>
      <w:r>
        <w:rPr>
          <w:rFonts w:ascii="Times New Roman" w:eastAsia="Times New Roman"/>
          <w:spacing w:val="38"/>
        </w:rPr>
        <w:t>2</w:t>
      </w:r>
      <w:r>
        <w:rPr>
          <w:rFonts w:ascii="Times New Roman" w:eastAsia="Times New Roman"/>
          <w:spacing w:val="23"/>
        </w:rPr>
        <w:t>0</w:t>
      </w:r>
      <w:r>
        <w:rPr>
          <w:rFonts w:ascii="Times New Roman" w:eastAsia="Times New Roman"/>
          <w:spacing w:val="-19"/>
        </w:rPr>
        <w:t xml:space="preserve"> </w:t>
      </w:r>
      <w:r>
        <w:rPr>
          <w:spacing w:val="-5"/>
        </w:rPr>
        <w:t xml:space="preserve">年达到 </w:t>
      </w:r>
      <w:r>
        <w:rPr>
          <w:rFonts w:ascii="Times New Roman" w:eastAsia="Times New Roman"/>
        </w:rPr>
        <w:t>161</w:t>
      </w:r>
      <w:r>
        <w:rPr>
          <w:rFonts w:ascii="Times New Roman" w:eastAsia="Times New Roman"/>
          <w:spacing w:val="-20"/>
        </w:rPr>
        <w:t xml:space="preserve"> </w:t>
      </w:r>
      <w:r>
        <w:rPr>
          <w:spacing w:val="13"/>
        </w:rPr>
        <w:t>亿元，</w:t>
      </w:r>
      <w:r>
        <w:rPr>
          <w:spacing w:val="-32"/>
        </w:rPr>
        <w:t xml:space="preserve">是 </w:t>
      </w:r>
      <w:r>
        <w:rPr>
          <w:rFonts w:ascii="Times New Roman" w:eastAsia="Times New Roman"/>
        </w:rPr>
        <w:t xml:space="preserve">2015 </w:t>
      </w:r>
      <w:r>
        <w:rPr>
          <w:spacing w:val="-14"/>
        </w:rPr>
        <w:t xml:space="preserve">年的 </w:t>
      </w:r>
      <w:r>
        <w:rPr>
          <w:rFonts w:ascii="Times New Roman" w:eastAsia="Times New Roman"/>
        </w:rPr>
        <w:t xml:space="preserve">1.4 </w:t>
      </w:r>
      <w:r>
        <w:rPr>
          <w:spacing w:val="-63"/>
        </w:rPr>
        <w:t>倍；</w:t>
      </w:r>
      <w:r>
        <w:rPr>
          <w:rFonts w:ascii="Times New Roman" w:eastAsia="Times New Roman"/>
        </w:rPr>
        <w:t>5</w:t>
      </w:r>
      <w:r>
        <w:rPr>
          <w:rFonts w:ascii="Times New Roman" w:eastAsia="Times New Roman"/>
          <w:spacing w:val="8"/>
        </w:rPr>
        <w:t xml:space="preserve"> </w:t>
      </w:r>
      <w:r>
        <w:rPr>
          <w:spacing w:val="12"/>
        </w:rPr>
        <w:t xml:space="preserve">年累计完成固定资产投资约 </w:t>
      </w:r>
      <w:r>
        <w:rPr>
          <w:rFonts w:ascii="Times New Roman" w:eastAsia="Times New Roman"/>
        </w:rPr>
        <w:t xml:space="preserve">1100 </w:t>
      </w:r>
      <w:r>
        <w:rPr>
          <w:spacing w:val="14"/>
        </w:rPr>
        <w:t>亿元，</w:t>
      </w:r>
      <w:r>
        <w:rPr>
          <w:spacing w:val="21"/>
        </w:rPr>
        <w:t>规模居全区县</w:t>
      </w:r>
      <w:r>
        <w:rPr>
          <w:spacing w:val="22"/>
        </w:rPr>
        <w:t>（</w:t>
      </w:r>
      <w:r>
        <w:rPr>
          <w:spacing w:val="21"/>
        </w:rPr>
        <w:t>区</w:t>
      </w:r>
      <w:r>
        <w:rPr>
          <w:spacing w:val="22"/>
        </w:rPr>
        <w:t>）</w:t>
      </w:r>
      <w:r>
        <w:rPr>
          <w:spacing w:val="14"/>
        </w:rPr>
        <w:t>第一。</w:t>
      </w:r>
    </w:p>
    <w:p w14:paraId="6D0B9458">
      <w:pPr>
        <w:pStyle w:val="5"/>
        <w:rPr>
          <w:sz w:val="20"/>
        </w:rPr>
      </w:pPr>
    </w:p>
    <w:p w14:paraId="7046D30D">
      <w:pPr>
        <w:pStyle w:val="5"/>
        <w:rPr>
          <w:sz w:val="20"/>
        </w:rPr>
      </w:pPr>
    </w:p>
    <w:p w14:paraId="681B86E4">
      <w:pPr>
        <w:pStyle w:val="5"/>
        <w:spacing w:before="12"/>
        <w:rPr>
          <w:sz w:val="17"/>
        </w:rPr>
      </w:pPr>
    </w:p>
    <w:p w14:paraId="0312CBB2">
      <w:pPr>
        <w:spacing w:before="63"/>
        <w:ind w:right="331"/>
        <w:jc w:val="right"/>
        <w:rPr>
          <w:rFonts w:ascii="Calibri"/>
          <w:sz w:val="18"/>
        </w:rPr>
      </w:pPr>
      <w:r>
        <w:rPr>
          <w:rFonts w:ascii="Calibri"/>
          <w:sz w:val="18"/>
        </w:rPr>
        <w:t xml:space="preserve">- 1 </w:t>
      </w:r>
      <w:r>
        <w:rPr>
          <w:rFonts w:ascii="Calibri"/>
          <w:spacing w:val="-10"/>
          <w:sz w:val="18"/>
        </w:rPr>
        <w:t>-</w:t>
      </w:r>
    </w:p>
    <w:p w14:paraId="75E27E8F">
      <w:pPr>
        <w:jc w:val="right"/>
        <w:rPr>
          <w:rFonts w:ascii="Calibri"/>
          <w:sz w:val="18"/>
        </w:rPr>
        <w:sectPr>
          <w:footerReference r:id="rId6" w:type="even"/>
          <w:pgSz w:w="11910" w:h="16840"/>
          <w:pgMar w:top="1920" w:right="1140" w:bottom="280" w:left="1320" w:header="0" w:footer="0" w:gutter="0"/>
          <w:cols w:space="720" w:num="1"/>
        </w:sectPr>
      </w:pPr>
    </w:p>
    <w:p w14:paraId="11DE3B9F">
      <w:pPr>
        <w:pStyle w:val="5"/>
        <w:ind w:left="468"/>
        <w:rPr>
          <w:rFonts w:ascii="Calibri"/>
          <w:sz w:val="20"/>
        </w:rPr>
      </w:pPr>
      <w:r>
        <w:rPr>
          <w:rFonts w:ascii="Calibri"/>
          <w:sz w:val="20"/>
        </w:rPr>
        <w:drawing>
          <wp:inline distT="0" distB="0" distL="0" distR="0">
            <wp:extent cx="5069840" cy="283845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48" cstate="print"/>
                    <a:stretch>
                      <a:fillRect/>
                    </a:stretch>
                  </pic:blipFill>
                  <pic:spPr>
                    <a:xfrm>
                      <a:off x="0" y="0"/>
                      <a:ext cx="5069881" cy="2838450"/>
                    </a:xfrm>
                    <a:prstGeom prst="rect">
                      <a:avLst/>
                    </a:prstGeom>
                  </pic:spPr>
                </pic:pic>
              </a:graphicData>
            </a:graphic>
          </wp:inline>
        </w:drawing>
      </w:r>
    </w:p>
    <w:p w14:paraId="15A20BAA">
      <w:pPr>
        <w:pStyle w:val="5"/>
        <w:spacing w:before="5"/>
        <w:rPr>
          <w:rFonts w:ascii="Calibri"/>
          <w:sz w:val="9"/>
        </w:rPr>
      </w:pPr>
    </w:p>
    <w:p w14:paraId="04A640DD">
      <w:pPr>
        <w:tabs>
          <w:tab w:val="left" w:pos="659"/>
        </w:tabs>
        <w:spacing w:before="76"/>
        <w:ind w:right="177"/>
        <w:jc w:val="center"/>
        <w:rPr>
          <w:rFonts w:ascii="黑体" w:eastAsia="黑体"/>
          <w:sz w:val="24"/>
        </w:rPr>
      </w:pPr>
      <w:r>
        <w:rPr>
          <w:rFonts w:ascii="黑体" w:eastAsia="黑体"/>
          <w:sz w:val="24"/>
        </w:rPr>
        <w:t>图</w:t>
      </w:r>
      <w:r>
        <w:rPr>
          <w:rFonts w:ascii="黑体" w:eastAsia="黑体"/>
          <w:spacing w:val="-60"/>
          <w:sz w:val="24"/>
        </w:rPr>
        <w:t xml:space="preserve"> </w:t>
      </w:r>
      <w:r>
        <w:rPr>
          <w:rFonts w:ascii="Times New Roman" w:eastAsia="Times New Roman"/>
          <w:spacing w:val="-10"/>
          <w:sz w:val="24"/>
        </w:rPr>
        <w:t>1</w:t>
      </w:r>
      <w:r>
        <w:rPr>
          <w:rFonts w:ascii="Times New Roman" w:eastAsia="Times New Roman"/>
          <w:sz w:val="24"/>
        </w:rPr>
        <w:tab/>
      </w:r>
      <w:r>
        <w:rPr>
          <w:rFonts w:ascii="Times New Roman" w:eastAsia="Times New Roman"/>
          <w:sz w:val="24"/>
        </w:rPr>
        <w:t>2015-2020</w:t>
      </w:r>
      <w:r>
        <w:rPr>
          <w:rFonts w:ascii="Times New Roman" w:eastAsia="Times New Roman"/>
          <w:spacing w:val="-1"/>
          <w:sz w:val="24"/>
        </w:rPr>
        <w:t xml:space="preserve"> </w:t>
      </w:r>
      <w:r>
        <w:rPr>
          <w:rFonts w:ascii="黑体" w:eastAsia="黑体"/>
          <w:sz w:val="24"/>
        </w:rPr>
        <w:t>年金凤区地区生产总值及增</w:t>
      </w:r>
      <w:r>
        <w:rPr>
          <w:rFonts w:ascii="黑体" w:eastAsia="黑体"/>
          <w:spacing w:val="-10"/>
          <w:sz w:val="24"/>
        </w:rPr>
        <w:t>速</w:t>
      </w:r>
    </w:p>
    <w:p w14:paraId="7912FFDE">
      <w:pPr>
        <w:pStyle w:val="5"/>
        <w:rPr>
          <w:rFonts w:ascii="黑体"/>
          <w:sz w:val="26"/>
        </w:rPr>
      </w:pPr>
    </w:p>
    <w:p w14:paraId="68EEEE63">
      <w:pPr>
        <w:pStyle w:val="5"/>
        <w:spacing w:before="1"/>
        <w:rPr>
          <w:rFonts w:ascii="黑体"/>
          <w:sz w:val="31"/>
        </w:rPr>
      </w:pPr>
    </w:p>
    <w:p w14:paraId="313C34A4">
      <w:pPr>
        <w:pStyle w:val="5"/>
        <w:ind w:left="794"/>
        <w:rPr>
          <w:rFonts w:ascii="黑体" w:eastAsia="黑体"/>
        </w:rPr>
      </w:pPr>
      <w:r>
        <w:rPr>
          <w:rFonts w:ascii="黑体" w:eastAsia="黑体"/>
          <w:w w:val="95"/>
        </w:rPr>
        <w:t>二、产业结构持续优化，提质增效成果明</w:t>
      </w:r>
      <w:r>
        <w:rPr>
          <w:rFonts w:ascii="黑体" w:eastAsia="黑体"/>
          <w:spacing w:val="-10"/>
          <w:w w:val="95"/>
        </w:rPr>
        <w:t>显</w:t>
      </w:r>
    </w:p>
    <w:p w14:paraId="6DBC47E6">
      <w:pPr>
        <w:pStyle w:val="5"/>
        <w:spacing w:before="151" w:line="328" w:lineRule="auto"/>
        <w:ind w:left="153" w:right="343" w:firstLine="547"/>
        <w:jc w:val="both"/>
        <w:rPr>
          <w:rFonts w:ascii="Times New Roman" w:hAnsi="Times New Roman" w:eastAsia="Times New Roman"/>
        </w:rPr>
      </w:pPr>
      <w:r>
        <w:rPr>
          <w:spacing w:val="9"/>
          <w:w w:val="99"/>
        </w:rPr>
        <w:t>“十三五”以来，金凤区产业结构不断调整优化，三次产业</w:t>
      </w:r>
      <w:r>
        <w:rPr>
          <w:spacing w:val="-4"/>
        </w:rPr>
        <w:t xml:space="preserve"> </w:t>
      </w:r>
      <w:r>
        <w:rPr>
          <w:w w:val="99"/>
        </w:rPr>
        <w:t>结</w:t>
      </w:r>
      <w:r>
        <w:rPr>
          <w:spacing w:val="-2"/>
        </w:rPr>
        <w:t xml:space="preserve"> </w:t>
      </w:r>
      <w:r>
        <w:rPr>
          <w:w w:val="99"/>
        </w:rPr>
        <w:t>构</w:t>
      </w:r>
      <w:r>
        <w:rPr>
          <w:spacing w:val="-4"/>
        </w:rPr>
        <w:t xml:space="preserve"> </w:t>
      </w:r>
      <w:r>
        <w:rPr>
          <w:w w:val="99"/>
        </w:rPr>
        <w:t>由</w:t>
      </w:r>
      <w:r>
        <w:rPr>
          <w:spacing w:val="-39"/>
        </w:rPr>
        <w:t xml:space="preserve">  </w:t>
      </w:r>
      <w:r>
        <w:rPr>
          <w:rFonts w:ascii="Times New Roman" w:hAnsi="Times New Roman" w:eastAsia="Times New Roman"/>
          <w:spacing w:val="8"/>
          <w:w w:val="99"/>
        </w:rPr>
        <w:t>2</w:t>
      </w:r>
      <w:r>
        <w:rPr>
          <w:rFonts w:ascii="Times New Roman" w:hAnsi="Times New Roman" w:eastAsia="Times New Roman"/>
          <w:spacing w:val="10"/>
          <w:w w:val="99"/>
        </w:rPr>
        <w:t>01</w:t>
      </w:r>
      <w:r>
        <w:rPr>
          <w:rFonts w:ascii="Times New Roman" w:hAnsi="Times New Roman" w:eastAsia="Times New Roman"/>
          <w:w w:val="99"/>
        </w:rPr>
        <w:t>5</w:t>
      </w:r>
      <w:r>
        <w:rPr>
          <w:rFonts w:ascii="Times New Roman" w:hAnsi="Times New Roman" w:eastAsia="Times New Roman"/>
          <w:spacing w:val="-2"/>
        </w:rPr>
        <w:t xml:space="preserve">   </w:t>
      </w:r>
      <w:r>
        <w:rPr>
          <w:w w:val="99"/>
        </w:rPr>
        <w:t>年</w:t>
      </w:r>
      <w:r>
        <w:rPr>
          <w:spacing w:val="-4"/>
        </w:rPr>
        <w:t xml:space="preserve"> </w:t>
      </w:r>
      <w:r>
        <w:rPr>
          <w:w w:val="99"/>
        </w:rPr>
        <w:t>的</w:t>
      </w:r>
      <w:r>
        <w:rPr>
          <w:spacing w:val="-39"/>
        </w:rPr>
        <w:t xml:space="preserve">  </w:t>
      </w:r>
      <w:r>
        <w:rPr>
          <w:rFonts w:ascii="Times New Roman" w:hAnsi="Times New Roman" w:eastAsia="Times New Roman"/>
          <w:spacing w:val="8"/>
          <w:w w:val="99"/>
        </w:rPr>
        <w:t>2</w:t>
      </w:r>
      <w:r>
        <w:rPr>
          <w:rFonts w:ascii="Times New Roman" w:hAnsi="Times New Roman" w:eastAsia="Times New Roman"/>
          <w:spacing w:val="9"/>
          <w:w w:val="99"/>
        </w:rPr>
        <w:t>:</w:t>
      </w:r>
      <w:r>
        <w:rPr>
          <w:rFonts w:ascii="Times New Roman" w:hAnsi="Times New Roman" w:eastAsia="Times New Roman"/>
          <w:spacing w:val="13"/>
          <w:w w:val="99"/>
        </w:rPr>
        <w:t>5</w:t>
      </w:r>
      <w:r>
        <w:rPr>
          <w:rFonts w:ascii="Times New Roman" w:hAnsi="Times New Roman" w:eastAsia="Times New Roman"/>
          <w:spacing w:val="10"/>
          <w:w w:val="99"/>
        </w:rPr>
        <w:t>0</w:t>
      </w:r>
      <w:r>
        <w:rPr>
          <w:rFonts w:ascii="Times New Roman" w:hAnsi="Times New Roman" w:eastAsia="Times New Roman"/>
          <w:spacing w:val="11"/>
          <w:w w:val="99"/>
        </w:rPr>
        <w:t>.</w:t>
      </w:r>
      <w:r>
        <w:rPr>
          <w:rFonts w:ascii="Times New Roman" w:hAnsi="Times New Roman" w:eastAsia="Times New Roman"/>
          <w:spacing w:val="10"/>
          <w:w w:val="99"/>
        </w:rPr>
        <w:t>5</w:t>
      </w:r>
      <w:r>
        <w:rPr>
          <w:rFonts w:ascii="Times New Roman" w:hAnsi="Times New Roman" w:eastAsia="Times New Roman"/>
          <w:spacing w:val="12"/>
          <w:w w:val="99"/>
        </w:rPr>
        <w:t>:</w:t>
      </w:r>
      <w:r>
        <w:rPr>
          <w:rFonts w:ascii="Times New Roman" w:hAnsi="Times New Roman" w:eastAsia="Times New Roman"/>
          <w:spacing w:val="10"/>
          <w:w w:val="99"/>
        </w:rPr>
        <w:t>47</w:t>
      </w:r>
      <w:r>
        <w:rPr>
          <w:rFonts w:ascii="Times New Roman" w:hAnsi="Times New Roman" w:eastAsia="Times New Roman"/>
          <w:spacing w:val="11"/>
          <w:w w:val="99"/>
        </w:rPr>
        <w:t>.</w:t>
      </w:r>
      <w:r>
        <w:rPr>
          <w:rFonts w:ascii="Times New Roman" w:hAnsi="Times New Roman" w:eastAsia="Times New Roman"/>
          <w:w w:val="99"/>
        </w:rPr>
        <w:t>5</w:t>
      </w:r>
      <w:r>
        <w:rPr>
          <w:rFonts w:ascii="Times New Roman" w:hAnsi="Times New Roman" w:eastAsia="Times New Roman"/>
          <w:spacing w:val="-2"/>
        </w:rPr>
        <w:t xml:space="preserve">   </w:t>
      </w:r>
      <w:r>
        <w:rPr>
          <w:w w:val="99"/>
        </w:rPr>
        <w:t>调</w:t>
      </w:r>
      <w:r>
        <w:rPr>
          <w:spacing w:val="-4"/>
        </w:rPr>
        <w:t xml:space="preserve"> </w:t>
      </w:r>
      <w:r>
        <w:rPr>
          <w:w w:val="99"/>
        </w:rPr>
        <w:t>整</w:t>
      </w:r>
      <w:r>
        <w:rPr>
          <w:spacing w:val="-2"/>
        </w:rPr>
        <w:t xml:space="preserve"> </w:t>
      </w:r>
      <w:r>
        <w:rPr>
          <w:w w:val="99"/>
        </w:rPr>
        <w:t>为</w:t>
      </w:r>
      <w:r>
        <w:rPr>
          <w:spacing w:val="-40"/>
        </w:rPr>
        <w:t xml:space="preserve">  </w:t>
      </w:r>
      <w:r>
        <w:rPr>
          <w:rFonts w:ascii="Times New Roman" w:hAnsi="Times New Roman" w:eastAsia="Times New Roman"/>
          <w:spacing w:val="8"/>
          <w:w w:val="99"/>
        </w:rPr>
        <w:t>2</w:t>
      </w:r>
      <w:r>
        <w:rPr>
          <w:rFonts w:ascii="Times New Roman" w:hAnsi="Times New Roman" w:eastAsia="Times New Roman"/>
          <w:spacing w:val="15"/>
          <w:w w:val="99"/>
        </w:rPr>
        <w:t>0</w:t>
      </w:r>
      <w:r>
        <w:rPr>
          <w:rFonts w:ascii="Times New Roman" w:hAnsi="Times New Roman" w:eastAsia="Times New Roman"/>
          <w:spacing w:val="6"/>
          <w:w w:val="99"/>
        </w:rPr>
        <w:t>2</w:t>
      </w:r>
      <w:r>
        <w:rPr>
          <w:rFonts w:ascii="Times New Roman" w:hAnsi="Times New Roman" w:eastAsia="Times New Roman"/>
          <w:w w:val="99"/>
        </w:rPr>
        <w:t>0</w:t>
      </w:r>
      <w:r>
        <w:rPr>
          <w:rFonts w:ascii="Times New Roman" w:hAnsi="Times New Roman" w:eastAsia="Times New Roman"/>
          <w:spacing w:val="-2"/>
        </w:rPr>
        <w:t xml:space="preserve">   </w:t>
      </w:r>
      <w:r>
        <w:rPr>
          <w:w w:val="99"/>
        </w:rPr>
        <w:t>年</w:t>
      </w:r>
      <w:r>
        <w:rPr>
          <w:spacing w:val="-2"/>
        </w:rPr>
        <w:t xml:space="preserve"> </w:t>
      </w:r>
      <w:r>
        <w:rPr>
          <w:w w:val="99"/>
        </w:rPr>
        <w:t xml:space="preserve">的 </w:t>
      </w:r>
      <w:r>
        <w:rPr>
          <w:rFonts w:ascii="Times New Roman" w:hAnsi="Times New Roman" w:eastAsia="Times New Roman"/>
          <w:spacing w:val="8"/>
          <w:w w:val="99"/>
        </w:rPr>
        <w:t>1</w:t>
      </w:r>
      <w:r>
        <w:rPr>
          <w:rFonts w:ascii="Times New Roman" w:hAnsi="Times New Roman" w:eastAsia="Times New Roman"/>
          <w:spacing w:val="11"/>
          <w:w w:val="99"/>
        </w:rPr>
        <w:t>.</w:t>
      </w:r>
      <w:r>
        <w:rPr>
          <w:rFonts w:ascii="Times New Roman" w:hAnsi="Times New Roman" w:eastAsia="Times New Roman"/>
          <w:spacing w:val="10"/>
          <w:w w:val="99"/>
        </w:rPr>
        <w:t>8</w:t>
      </w:r>
      <w:r>
        <w:rPr>
          <w:rFonts w:ascii="Times New Roman" w:hAnsi="Times New Roman" w:eastAsia="Times New Roman"/>
          <w:spacing w:val="12"/>
          <w:w w:val="99"/>
        </w:rPr>
        <w:t>:</w:t>
      </w:r>
      <w:r>
        <w:rPr>
          <w:rFonts w:ascii="Times New Roman" w:hAnsi="Times New Roman" w:eastAsia="Times New Roman"/>
          <w:spacing w:val="10"/>
          <w:w w:val="99"/>
        </w:rPr>
        <w:t>19</w:t>
      </w:r>
      <w:r>
        <w:rPr>
          <w:rFonts w:ascii="Times New Roman" w:hAnsi="Times New Roman" w:eastAsia="Times New Roman"/>
          <w:spacing w:val="11"/>
          <w:w w:val="99"/>
        </w:rPr>
        <w:t>.</w:t>
      </w:r>
      <w:r>
        <w:rPr>
          <w:rFonts w:ascii="Times New Roman" w:hAnsi="Times New Roman" w:eastAsia="Times New Roman"/>
          <w:spacing w:val="10"/>
          <w:w w:val="99"/>
        </w:rPr>
        <w:t>7</w:t>
      </w:r>
      <w:r>
        <w:rPr>
          <w:rFonts w:ascii="Times New Roman" w:hAnsi="Times New Roman" w:eastAsia="Times New Roman"/>
          <w:spacing w:val="12"/>
          <w:w w:val="99"/>
        </w:rPr>
        <w:t>:</w:t>
      </w:r>
      <w:r>
        <w:rPr>
          <w:rFonts w:ascii="Times New Roman" w:hAnsi="Times New Roman" w:eastAsia="Times New Roman"/>
          <w:spacing w:val="10"/>
          <w:w w:val="99"/>
        </w:rPr>
        <w:t>78</w:t>
      </w:r>
      <w:r>
        <w:rPr>
          <w:rFonts w:ascii="Times New Roman" w:hAnsi="Times New Roman" w:eastAsia="Times New Roman"/>
          <w:spacing w:val="11"/>
          <w:w w:val="99"/>
        </w:rPr>
        <w:t>.</w:t>
      </w:r>
      <w:r>
        <w:rPr>
          <w:rFonts w:ascii="Times New Roman" w:hAnsi="Times New Roman" w:eastAsia="Times New Roman"/>
          <w:spacing w:val="15"/>
          <w:w w:val="99"/>
        </w:rPr>
        <w:t>5</w:t>
      </w:r>
      <w:r>
        <w:rPr>
          <w:spacing w:val="-17"/>
          <w:w w:val="99"/>
        </w:rPr>
        <w:t>。</w:t>
      </w:r>
      <w:r>
        <w:rPr>
          <w:b/>
          <w:spacing w:val="20"/>
          <w:w w:val="99"/>
        </w:rPr>
        <w:t>服务业引领带动优势更加凸显。</w:t>
      </w:r>
      <w:r>
        <w:rPr>
          <w:spacing w:val="18"/>
          <w:w w:val="99"/>
        </w:rPr>
        <w:t>规划建设丝路</w:t>
      </w:r>
      <w:r>
        <w:rPr>
          <w:spacing w:val="23"/>
          <w:w w:val="99"/>
        </w:rPr>
        <w:t>经济园，实现与阅海湾中央商务区融合发展，自治区近</w:t>
      </w:r>
      <w:r>
        <w:rPr>
          <w:spacing w:val="-50"/>
        </w:rPr>
        <w:t xml:space="preserve"> </w:t>
      </w:r>
      <w:r>
        <w:rPr>
          <w:rFonts w:ascii="Times New Roman" w:hAnsi="Times New Roman" w:eastAsia="Times New Roman"/>
          <w:spacing w:val="6"/>
          <w:w w:val="99"/>
        </w:rPr>
        <w:t>9</w:t>
      </w:r>
      <w:r>
        <w:rPr>
          <w:rFonts w:ascii="Times New Roman" w:hAnsi="Times New Roman" w:eastAsia="Times New Roman"/>
          <w:spacing w:val="15"/>
          <w:w w:val="99"/>
        </w:rPr>
        <w:t>0</w:t>
      </w:r>
      <w:r>
        <w:rPr>
          <w:rFonts w:ascii="Times New Roman" w:hAnsi="Times New Roman" w:eastAsia="Times New Roman"/>
          <w:w w:val="99"/>
        </w:rPr>
        <w:t>%</w:t>
      </w:r>
    </w:p>
    <w:p w14:paraId="6B1F37F7">
      <w:pPr>
        <w:pStyle w:val="5"/>
        <w:spacing w:line="402" w:lineRule="exact"/>
        <w:ind w:left="153"/>
        <w:jc w:val="both"/>
      </w:pPr>
      <w:r>
        <w:rPr>
          <w:spacing w:val="16"/>
          <w:w w:val="95"/>
        </w:rPr>
        <w:t>的私募基金落户园区，累计入驻企业近</w:t>
      </w:r>
      <w:r>
        <w:rPr>
          <w:spacing w:val="19"/>
          <w:w w:val="150"/>
        </w:rPr>
        <w:t xml:space="preserve"> </w:t>
      </w:r>
      <w:r>
        <w:rPr>
          <w:rFonts w:ascii="Times New Roman" w:eastAsia="Times New Roman"/>
          <w:w w:val="95"/>
        </w:rPr>
        <w:t>3000</w:t>
      </w:r>
      <w:r>
        <w:rPr>
          <w:rFonts w:ascii="Times New Roman" w:eastAsia="Times New Roman"/>
          <w:spacing w:val="40"/>
        </w:rPr>
        <w:t xml:space="preserve">  </w:t>
      </w:r>
      <w:r>
        <w:rPr>
          <w:spacing w:val="12"/>
          <w:w w:val="95"/>
        </w:rPr>
        <w:t>家，实现主营业</w:t>
      </w:r>
    </w:p>
    <w:p w14:paraId="27B2F0D9">
      <w:pPr>
        <w:pStyle w:val="5"/>
        <w:spacing w:before="150" w:line="328" w:lineRule="auto"/>
        <w:ind w:left="153" w:right="353"/>
        <w:jc w:val="both"/>
      </w:pPr>
      <w:r>
        <w:rPr>
          <w:spacing w:val="16"/>
          <w:w w:val="99"/>
        </w:rPr>
        <w:t>务收入近</w:t>
      </w:r>
      <w:r>
        <w:rPr>
          <w:spacing w:val="-52"/>
        </w:rPr>
        <w:t xml:space="preserve"> </w:t>
      </w:r>
      <w:r>
        <w:rPr>
          <w:rFonts w:ascii="Times New Roman" w:hAnsi="Times New Roman" w:eastAsia="Times New Roman"/>
          <w:spacing w:val="6"/>
          <w:w w:val="99"/>
        </w:rPr>
        <w:t>1</w:t>
      </w:r>
      <w:r>
        <w:rPr>
          <w:rFonts w:ascii="Times New Roman" w:hAnsi="Times New Roman" w:eastAsia="Times New Roman"/>
          <w:spacing w:val="13"/>
          <w:w w:val="99"/>
        </w:rPr>
        <w:t>2</w:t>
      </w:r>
      <w:r>
        <w:rPr>
          <w:rFonts w:ascii="Times New Roman" w:hAnsi="Times New Roman" w:eastAsia="Times New Roman"/>
          <w:spacing w:val="10"/>
          <w:w w:val="99"/>
        </w:rPr>
        <w:t>0</w:t>
      </w:r>
      <w:r>
        <w:rPr>
          <w:rFonts w:ascii="Times New Roman" w:hAnsi="Times New Roman" w:eastAsia="Times New Roman"/>
          <w:w w:val="99"/>
        </w:rPr>
        <w:t>0</w:t>
      </w:r>
      <w:r>
        <w:rPr>
          <w:rFonts w:ascii="Times New Roman" w:hAnsi="Times New Roman" w:eastAsia="Times New Roman"/>
          <w:spacing w:val="19"/>
        </w:rPr>
        <w:t xml:space="preserve"> </w:t>
      </w:r>
      <w:r>
        <w:rPr>
          <w:spacing w:val="11"/>
          <w:w w:val="99"/>
        </w:rPr>
        <w:t>亿元，获评自治区现代服务业集聚区；现代商</w:t>
      </w:r>
      <w:r>
        <w:rPr>
          <w:spacing w:val="23"/>
          <w:w w:val="99"/>
        </w:rPr>
        <w:t>贸繁荣发展，幻太奇海洋馆、阅海湾智能无人超市开创“首</w:t>
      </w:r>
      <w:r>
        <w:rPr>
          <w:spacing w:val="24"/>
          <w:w w:val="99"/>
        </w:rPr>
        <w:t>店经济”，“夜游银川”、大阅城中街、“凤凰里</w:t>
      </w:r>
      <w:r>
        <w:rPr>
          <w:spacing w:val="26"/>
          <w:w w:val="99"/>
        </w:rPr>
        <w:t>·</w:t>
      </w:r>
      <w:r>
        <w:rPr>
          <w:spacing w:val="16"/>
          <w:w w:val="99"/>
        </w:rPr>
        <w:t>嗨街”</w:t>
      </w:r>
      <w:r>
        <w:rPr>
          <w:spacing w:val="23"/>
          <w:w w:val="99"/>
        </w:rPr>
        <w:t>引领“夜间经济”，成功举办服务业创新发展论坛，“消费</w:t>
      </w:r>
      <w:r>
        <w:rPr>
          <w:spacing w:val="24"/>
          <w:w w:val="99"/>
        </w:rPr>
        <w:t>在金凤”“金凤飞舞</w:t>
      </w:r>
      <w:r>
        <w:rPr>
          <w:spacing w:val="26"/>
          <w:w w:val="99"/>
        </w:rPr>
        <w:t>·</w:t>
      </w:r>
      <w:r>
        <w:rPr>
          <w:spacing w:val="22"/>
          <w:w w:val="99"/>
        </w:rPr>
        <w:t>城市乐活会”品牌不断放大，“六大</w:t>
      </w:r>
      <w:r>
        <w:rPr>
          <w:spacing w:val="13"/>
          <w:w w:val="99"/>
        </w:rPr>
        <w:t>商圈”年消费人次超过</w:t>
      </w:r>
      <w:r>
        <w:rPr>
          <w:spacing w:val="-52"/>
        </w:rPr>
        <w:t xml:space="preserve"> </w:t>
      </w:r>
      <w:r>
        <w:rPr>
          <w:rFonts w:ascii="Times New Roman" w:hAnsi="Times New Roman" w:eastAsia="Times New Roman"/>
          <w:spacing w:val="8"/>
          <w:w w:val="99"/>
        </w:rPr>
        <w:t>7</w:t>
      </w:r>
      <w:r>
        <w:rPr>
          <w:rFonts w:ascii="Times New Roman" w:hAnsi="Times New Roman" w:eastAsia="Times New Roman"/>
          <w:spacing w:val="10"/>
          <w:w w:val="99"/>
        </w:rPr>
        <w:t>00</w:t>
      </w:r>
      <w:r>
        <w:rPr>
          <w:rFonts w:ascii="Times New Roman" w:hAnsi="Times New Roman" w:eastAsia="Times New Roman"/>
          <w:w w:val="99"/>
        </w:rPr>
        <w:t>0</w:t>
      </w:r>
      <w:r>
        <w:rPr>
          <w:rFonts w:ascii="Times New Roman" w:hAnsi="Times New Roman" w:eastAsia="Times New Roman"/>
          <w:spacing w:val="22"/>
        </w:rPr>
        <w:t xml:space="preserve"> </w:t>
      </w:r>
      <w:r>
        <w:rPr>
          <w:spacing w:val="13"/>
          <w:w w:val="99"/>
        </w:rPr>
        <w:t>万，中国义乌小商品城西北数字</w:t>
      </w:r>
      <w:r>
        <w:rPr>
          <w:spacing w:val="23"/>
          <w:w w:val="99"/>
        </w:rPr>
        <w:t>商贸城顺利落户，社会消费品零售总额连续多个季度全区领跑，“消费在金凤”成为鲜明名片；互联网数字经济、电子</w:t>
      </w:r>
    </w:p>
    <w:p w14:paraId="16CE80E3">
      <w:pPr>
        <w:pStyle w:val="5"/>
        <w:spacing w:before="8"/>
        <w:rPr>
          <w:sz w:val="8"/>
        </w:rPr>
      </w:pPr>
    </w:p>
    <w:p w14:paraId="24446E8D">
      <w:pPr>
        <w:spacing w:before="63"/>
        <w:ind w:left="153"/>
        <w:rPr>
          <w:rFonts w:ascii="Calibri"/>
          <w:spacing w:val="-10"/>
          <w:sz w:val="18"/>
        </w:rPr>
        <w:sectPr>
          <w:footerReference r:id="rId7" w:type="default"/>
          <w:pgSz w:w="11910" w:h="16840"/>
          <w:pgMar w:top="1660" w:right="1140" w:bottom="280" w:left="1320" w:header="0" w:footer="0" w:gutter="0"/>
          <w:cols w:space="720" w:num="1"/>
        </w:sectPr>
      </w:pPr>
      <w:r>
        <w:rPr>
          <w:rFonts w:ascii="Calibri"/>
          <w:sz w:val="18"/>
        </w:rPr>
        <w:t xml:space="preserve">- 2 </w:t>
      </w:r>
      <w:r>
        <w:rPr>
          <w:rFonts w:ascii="Calibri"/>
          <w:spacing w:val="-10"/>
          <w:sz w:val="18"/>
        </w:rPr>
        <w:t>-</w:t>
      </w:r>
    </w:p>
    <w:p w14:paraId="761775B1">
      <w:pPr>
        <w:spacing w:before="31" w:line="328" w:lineRule="auto"/>
        <w:ind w:left="113" w:right="100"/>
        <w:rPr>
          <w:sz w:val="32"/>
          <w:szCs w:val="32"/>
        </w:rPr>
      </w:pPr>
      <w:r>
        <w:rPr>
          <w:spacing w:val="23"/>
          <w:w w:val="99"/>
          <w:sz w:val="32"/>
          <w:szCs w:val="32"/>
        </w:rPr>
        <w:t>商务等新兴产业蓬勃发展，成功创建自治区信息服务业集聚</w:t>
      </w:r>
      <w:r>
        <w:rPr>
          <w:spacing w:val="17"/>
          <w:w w:val="99"/>
          <w:sz w:val="32"/>
          <w:szCs w:val="32"/>
        </w:rPr>
        <w:t>区；发挥中阿博览会等重大活动主场优势，积极举办了</w:t>
      </w:r>
      <w:r>
        <w:rPr>
          <w:spacing w:val="-52"/>
          <w:sz w:val="32"/>
          <w:szCs w:val="32"/>
        </w:rPr>
        <w:t xml:space="preserve"> </w:t>
      </w:r>
      <w:r>
        <w:rPr>
          <w:rFonts w:ascii="Times New Roman" w:hAnsi="Times New Roman" w:eastAsia="Times New Roman"/>
          <w:spacing w:val="9"/>
          <w:w w:val="99"/>
          <w:sz w:val="32"/>
          <w:szCs w:val="32"/>
        </w:rPr>
        <w:t>T</w:t>
      </w:r>
      <w:r>
        <w:rPr>
          <w:rFonts w:ascii="Times New Roman" w:hAnsi="Times New Roman" w:eastAsia="Times New Roman"/>
          <w:spacing w:val="16"/>
          <w:w w:val="99"/>
          <w:sz w:val="32"/>
          <w:szCs w:val="32"/>
        </w:rPr>
        <w:t>M</w:t>
      </w:r>
      <w:r>
        <w:rPr>
          <w:rFonts w:ascii="Times New Roman" w:hAnsi="Times New Roman" w:eastAsia="Times New Roman"/>
          <w:w w:val="99"/>
          <w:sz w:val="32"/>
          <w:szCs w:val="32"/>
        </w:rPr>
        <w:t>F</w:t>
      </w:r>
      <w:r>
        <w:rPr>
          <w:spacing w:val="13"/>
          <w:w w:val="99"/>
          <w:sz w:val="32"/>
          <w:szCs w:val="32"/>
        </w:rPr>
        <w:t>智慧城市峰会、</w:t>
      </w:r>
      <w:r>
        <w:rPr>
          <w:rFonts w:ascii="Times New Roman" w:hAnsi="Times New Roman" w:eastAsia="Times New Roman"/>
          <w:spacing w:val="8"/>
          <w:w w:val="99"/>
          <w:sz w:val="32"/>
          <w:szCs w:val="32"/>
        </w:rPr>
        <w:t>W</w:t>
      </w:r>
      <w:r>
        <w:rPr>
          <w:rFonts w:ascii="Times New Roman" w:hAnsi="Times New Roman" w:eastAsia="Times New Roman"/>
          <w:spacing w:val="10"/>
          <w:w w:val="99"/>
          <w:sz w:val="32"/>
          <w:szCs w:val="32"/>
        </w:rPr>
        <w:t>C</w:t>
      </w:r>
      <w:r>
        <w:rPr>
          <w:rFonts w:ascii="Times New Roman" w:hAnsi="Times New Roman" w:eastAsia="Times New Roman"/>
          <w:w w:val="99"/>
          <w:sz w:val="32"/>
          <w:szCs w:val="32"/>
        </w:rPr>
        <w:t>A</w:t>
      </w:r>
      <w:r>
        <w:rPr>
          <w:rFonts w:ascii="Times New Roman" w:hAnsi="Times New Roman" w:eastAsia="Times New Roman"/>
          <w:spacing w:val="20"/>
          <w:sz w:val="32"/>
          <w:szCs w:val="32"/>
        </w:rPr>
        <w:t xml:space="preserve"> </w:t>
      </w:r>
      <w:r>
        <w:rPr>
          <w:spacing w:val="15"/>
          <w:w w:val="99"/>
          <w:sz w:val="32"/>
          <w:szCs w:val="32"/>
        </w:rPr>
        <w:t>竞技大赛等多个国际性展会，带动商务</w:t>
      </w:r>
      <w:r>
        <w:rPr>
          <w:spacing w:val="10"/>
          <w:w w:val="99"/>
          <w:sz w:val="32"/>
          <w:szCs w:val="32"/>
        </w:rPr>
        <w:t>客群增长；科技服务、数字信息等新业态、新模式加速聚集；</w:t>
      </w:r>
      <w:r>
        <w:rPr>
          <w:spacing w:val="23"/>
          <w:w w:val="99"/>
          <w:sz w:val="32"/>
          <w:szCs w:val="32"/>
        </w:rPr>
        <w:t>宁夏美术馆、银川图书馆加速落成，全域旅游快速发展，推进建设都市休闲游等三大主题旅游精品线路，加快阅海滑雪场改扩建等项目建设，宣传推广“夜游银川”、近郊休闲游</w:t>
      </w:r>
      <w:r>
        <w:rPr>
          <w:spacing w:val="19"/>
          <w:w w:val="99"/>
          <w:sz w:val="32"/>
          <w:szCs w:val="32"/>
        </w:rPr>
        <w:t>等旅游项目，</w:t>
      </w:r>
      <w:r>
        <w:rPr>
          <w:rFonts w:ascii="Times New Roman" w:hAnsi="Times New Roman" w:eastAsia="Times New Roman"/>
          <w:w w:val="99"/>
          <w:sz w:val="32"/>
          <w:szCs w:val="32"/>
        </w:rPr>
        <w:t>5</w:t>
      </w:r>
      <w:r>
        <w:rPr>
          <w:rFonts w:ascii="Times New Roman" w:hAnsi="Times New Roman" w:eastAsia="Times New Roman"/>
          <w:spacing w:val="17"/>
          <w:sz w:val="32"/>
          <w:szCs w:val="32"/>
        </w:rPr>
        <w:t xml:space="preserve"> </w:t>
      </w:r>
      <w:r>
        <w:rPr>
          <w:spacing w:val="19"/>
          <w:w w:val="99"/>
          <w:sz w:val="32"/>
          <w:szCs w:val="32"/>
        </w:rPr>
        <w:t>年以来累计接待旅游人数</w:t>
      </w:r>
      <w:r>
        <w:rPr>
          <w:spacing w:val="-55"/>
          <w:sz w:val="32"/>
          <w:szCs w:val="32"/>
        </w:rPr>
        <w:t xml:space="preserve"> </w:t>
      </w:r>
      <w:r>
        <w:rPr>
          <w:rFonts w:ascii="Times New Roman" w:hAnsi="Times New Roman" w:eastAsia="Times New Roman"/>
          <w:spacing w:val="13"/>
          <w:w w:val="99"/>
          <w:sz w:val="32"/>
          <w:szCs w:val="32"/>
        </w:rPr>
        <w:t>1</w:t>
      </w:r>
      <w:r>
        <w:rPr>
          <w:rFonts w:ascii="Times New Roman" w:hAnsi="Times New Roman" w:eastAsia="Times New Roman"/>
          <w:spacing w:val="10"/>
          <w:w w:val="99"/>
          <w:sz w:val="32"/>
          <w:szCs w:val="32"/>
        </w:rPr>
        <w:t>2</w:t>
      </w:r>
      <w:r>
        <w:rPr>
          <w:rFonts w:ascii="Times New Roman" w:hAnsi="Times New Roman" w:eastAsia="Times New Roman"/>
          <w:spacing w:val="8"/>
          <w:w w:val="99"/>
          <w:sz w:val="32"/>
          <w:szCs w:val="32"/>
        </w:rPr>
        <w:t>0</w:t>
      </w:r>
      <w:r>
        <w:rPr>
          <w:rFonts w:ascii="Times New Roman" w:hAnsi="Times New Roman" w:eastAsia="Times New Roman"/>
          <w:w w:val="99"/>
          <w:sz w:val="32"/>
          <w:szCs w:val="32"/>
        </w:rPr>
        <w:t>0</w:t>
      </w:r>
      <w:r>
        <w:rPr>
          <w:rFonts w:ascii="Times New Roman" w:hAnsi="Times New Roman" w:eastAsia="Times New Roman"/>
          <w:spacing w:val="19"/>
          <w:sz w:val="32"/>
          <w:szCs w:val="32"/>
        </w:rPr>
        <w:t xml:space="preserve"> </w:t>
      </w:r>
      <w:r>
        <w:rPr>
          <w:spacing w:val="16"/>
          <w:w w:val="99"/>
          <w:sz w:val="32"/>
          <w:szCs w:val="32"/>
        </w:rPr>
        <w:t>多万人次，实</w:t>
      </w:r>
      <w:r>
        <w:rPr>
          <w:spacing w:val="23"/>
          <w:w w:val="99"/>
          <w:sz w:val="32"/>
          <w:szCs w:val="32"/>
        </w:rPr>
        <w:t>现旅游总收入</w:t>
      </w:r>
      <w:r>
        <w:rPr>
          <w:spacing w:val="-45"/>
          <w:sz w:val="32"/>
          <w:szCs w:val="32"/>
        </w:rPr>
        <w:t xml:space="preserve"> </w:t>
      </w:r>
      <w:r>
        <w:rPr>
          <w:rFonts w:ascii="Times New Roman" w:hAnsi="Times New Roman" w:eastAsia="Times New Roman"/>
          <w:spacing w:val="6"/>
          <w:w w:val="99"/>
          <w:sz w:val="32"/>
          <w:szCs w:val="32"/>
        </w:rPr>
        <w:t>3</w:t>
      </w:r>
      <w:r>
        <w:rPr>
          <w:rFonts w:ascii="Times New Roman" w:hAnsi="Times New Roman" w:eastAsia="Times New Roman"/>
          <w:spacing w:val="16"/>
          <w:w w:val="99"/>
          <w:sz w:val="32"/>
          <w:szCs w:val="32"/>
        </w:rPr>
        <w:t>.</w:t>
      </w:r>
      <w:r>
        <w:rPr>
          <w:rFonts w:ascii="Times New Roman" w:hAnsi="Times New Roman" w:eastAsia="Times New Roman"/>
          <w:w w:val="99"/>
          <w:sz w:val="32"/>
          <w:szCs w:val="32"/>
        </w:rPr>
        <w:t>5</w:t>
      </w:r>
      <w:r>
        <w:rPr>
          <w:rFonts w:ascii="Times New Roman" w:hAnsi="Times New Roman" w:eastAsia="Times New Roman"/>
          <w:spacing w:val="22"/>
          <w:sz w:val="32"/>
          <w:szCs w:val="32"/>
        </w:rPr>
        <w:t xml:space="preserve"> </w:t>
      </w:r>
      <w:r>
        <w:rPr>
          <w:spacing w:val="29"/>
          <w:w w:val="99"/>
          <w:sz w:val="32"/>
          <w:szCs w:val="32"/>
        </w:rPr>
        <w:t>亿元。</w:t>
      </w:r>
      <w:r>
        <w:rPr>
          <w:b/>
          <w:i/>
          <w:spacing w:val="29"/>
          <w:w w:val="99"/>
          <w:sz w:val="32"/>
          <w:szCs w:val="32"/>
        </w:rPr>
        <w:t>工业转型升级稳步推进。</w:t>
      </w:r>
      <w:r>
        <w:rPr>
          <w:spacing w:val="21"/>
          <w:w w:val="99"/>
          <w:sz w:val="32"/>
          <w:szCs w:val="32"/>
        </w:rPr>
        <w:t>加快新旧</w:t>
      </w:r>
      <w:r>
        <w:rPr>
          <w:spacing w:val="23"/>
          <w:w w:val="99"/>
          <w:sz w:val="32"/>
          <w:szCs w:val="32"/>
        </w:rPr>
        <w:t>动能转换，促进大数据、互联网等信息技术全产业介入和全领域覆盖。支持工业企业加快技术改造，累计发放工业技改</w:t>
      </w:r>
      <w:r>
        <w:rPr>
          <w:spacing w:val="16"/>
          <w:w w:val="99"/>
          <w:sz w:val="32"/>
          <w:szCs w:val="32"/>
        </w:rPr>
        <w:t>奖补资金超</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5"/>
          <w:w w:val="99"/>
          <w:sz w:val="32"/>
          <w:szCs w:val="32"/>
        </w:rPr>
        <w:t>0</w:t>
      </w:r>
      <w:r>
        <w:rPr>
          <w:rFonts w:ascii="Times New Roman" w:hAnsi="Times New Roman" w:eastAsia="Times New Roman"/>
          <w:spacing w:val="6"/>
          <w:w w:val="99"/>
          <w:sz w:val="32"/>
          <w:szCs w:val="32"/>
        </w:rPr>
        <w:t>0</w:t>
      </w:r>
      <w:r>
        <w:rPr>
          <w:rFonts w:ascii="Times New Roman" w:hAnsi="Times New Roman" w:eastAsia="Times New Roman"/>
          <w:w w:val="99"/>
          <w:sz w:val="32"/>
          <w:szCs w:val="32"/>
        </w:rPr>
        <w:t>0</w:t>
      </w:r>
      <w:r>
        <w:rPr>
          <w:rFonts w:ascii="Times New Roman" w:hAnsi="Times New Roman" w:eastAsia="Times New Roman"/>
          <w:spacing w:val="22"/>
          <w:sz w:val="32"/>
          <w:szCs w:val="32"/>
        </w:rPr>
        <w:t xml:space="preserve"> </w:t>
      </w:r>
      <w:r>
        <w:rPr>
          <w:spacing w:val="11"/>
          <w:w w:val="99"/>
          <w:sz w:val="32"/>
          <w:szCs w:val="32"/>
        </w:rPr>
        <w:t>万元，推广节能降耗技术，鼓励工业企业实</w:t>
      </w:r>
      <w:r>
        <w:rPr>
          <w:spacing w:val="23"/>
          <w:w w:val="99"/>
          <w:sz w:val="32"/>
          <w:szCs w:val="32"/>
        </w:rPr>
        <w:t>施技扩改项目，布局实施一批节能环保、清洁生产等产业，引导企业进一步向“专、精、特、新”方向迈进，小牛自动</w:t>
      </w:r>
      <w:r>
        <w:rPr>
          <w:spacing w:val="21"/>
          <w:w w:val="99"/>
          <w:sz w:val="32"/>
          <w:szCs w:val="32"/>
        </w:rPr>
        <w:t>化、威力传动器等新型制造业企业多年实现快速发展。</w:t>
      </w:r>
      <w:r>
        <w:rPr>
          <w:spacing w:val="8"/>
          <w:w w:val="99"/>
          <w:sz w:val="32"/>
          <w:szCs w:val="32"/>
        </w:rPr>
        <w:t>2</w:t>
      </w:r>
      <w:r>
        <w:rPr>
          <w:spacing w:val="10"/>
          <w:w w:val="99"/>
          <w:sz w:val="32"/>
          <w:szCs w:val="32"/>
        </w:rPr>
        <w:t>0</w:t>
      </w:r>
      <w:r>
        <w:rPr>
          <w:spacing w:val="15"/>
          <w:w w:val="99"/>
          <w:sz w:val="32"/>
          <w:szCs w:val="32"/>
        </w:rPr>
        <w:t>1</w:t>
      </w:r>
      <w:r>
        <w:rPr>
          <w:w w:val="99"/>
          <w:sz w:val="32"/>
          <w:szCs w:val="32"/>
        </w:rPr>
        <w:t>8</w:t>
      </w:r>
      <w:r>
        <w:rPr>
          <w:spacing w:val="17"/>
          <w:w w:val="99"/>
          <w:sz w:val="32"/>
          <w:szCs w:val="32"/>
        </w:rPr>
        <w:t>年、</w:t>
      </w:r>
      <w:r>
        <w:rPr>
          <w:spacing w:val="8"/>
          <w:w w:val="99"/>
          <w:sz w:val="32"/>
          <w:szCs w:val="32"/>
        </w:rPr>
        <w:t>2</w:t>
      </w:r>
      <w:r>
        <w:rPr>
          <w:spacing w:val="10"/>
          <w:w w:val="99"/>
          <w:sz w:val="32"/>
          <w:szCs w:val="32"/>
        </w:rPr>
        <w:t>01</w:t>
      </w:r>
      <w:r>
        <w:rPr>
          <w:w w:val="99"/>
          <w:sz w:val="32"/>
          <w:szCs w:val="32"/>
        </w:rPr>
        <w:t>9</w:t>
      </w:r>
      <w:r>
        <w:rPr>
          <w:spacing w:val="-61"/>
          <w:sz w:val="32"/>
          <w:szCs w:val="32"/>
        </w:rPr>
        <w:t xml:space="preserve"> </w:t>
      </w:r>
      <w:r>
        <w:rPr>
          <w:spacing w:val="19"/>
          <w:w w:val="99"/>
          <w:sz w:val="32"/>
          <w:szCs w:val="32"/>
        </w:rPr>
        <w:t>年，金凤区制造业质量竞争力指数连续两年排名全</w:t>
      </w:r>
      <w:r>
        <w:rPr>
          <w:spacing w:val="23"/>
          <w:w w:val="99"/>
          <w:sz w:val="32"/>
          <w:szCs w:val="32"/>
        </w:rPr>
        <w:t>区第一。加快人工智能、物联网、大数据等新兴前沿交叉领域研发与产业化布局。依托现有产业和银川经济技术开发区资源，鼓励发展商务服务、设计咨询、销售渠道、工业软件</w:t>
      </w:r>
      <w:r>
        <w:rPr>
          <w:spacing w:val="10"/>
          <w:w w:val="99"/>
          <w:sz w:val="32"/>
          <w:szCs w:val="32"/>
        </w:rPr>
        <w:t>等生产性服务业，为传统产业赋能。</w:t>
      </w:r>
      <w:r>
        <w:rPr>
          <w:b/>
          <w:i/>
          <w:spacing w:val="21"/>
          <w:w w:val="99"/>
          <w:sz w:val="32"/>
          <w:szCs w:val="32"/>
        </w:rPr>
        <w:t>都市现代农业初具规模。</w:t>
      </w:r>
      <w:r>
        <w:rPr>
          <w:spacing w:val="9"/>
          <w:w w:val="99"/>
          <w:sz w:val="32"/>
          <w:szCs w:val="32"/>
        </w:rPr>
        <w:t>深入推进“乡村振兴”战略，持续推进“城市菜园子+农业嘉</w:t>
      </w:r>
      <w:r>
        <w:rPr>
          <w:spacing w:val="22"/>
          <w:w w:val="99"/>
          <w:sz w:val="32"/>
          <w:szCs w:val="32"/>
        </w:rPr>
        <w:t>年华”产业模式，累计投入扶贫资金近</w:t>
      </w:r>
      <w:r>
        <w:rPr>
          <w:spacing w:val="-47"/>
          <w:sz w:val="32"/>
          <w:szCs w:val="32"/>
        </w:rPr>
        <w:t xml:space="preserve"> </w:t>
      </w:r>
      <w:r>
        <w:rPr>
          <w:rFonts w:ascii="Times New Roman" w:hAnsi="Times New Roman" w:eastAsia="Times New Roman"/>
          <w:w w:val="99"/>
          <w:sz w:val="32"/>
          <w:szCs w:val="32"/>
        </w:rPr>
        <w:t>6</w:t>
      </w:r>
      <w:r>
        <w:rPr>
          <w:rFonts w:ascii="Times New Roman" w:hAnsi="Times New Roman" w:eastAsia="Times New Roman"/>
          <w:spacing w:val="19"/>
          <w:sz w:val="32"/>
          <w:szCs w:val="32"/>
        </w:rPr>
        <w:t xml:space="preserve"> </w:t>
      </w:r>
      <w:r>
        <w:rPr>
          <w:spacing w:val="21"/>
          <w:w w:val="99"/>
          <w:sz w:val="32"/>
          <w:szCs w:val="32"/>
        </w:rPr>
        <w:t>亿元，实施各类农</w:t>
      </w:r>
    </w:p>
    <w:p w14:paraId="7D0AF704">
      <w:pPr>
        <w:spacing w:line="374" w:lineRule="exact"/>
        <w:ind w:left="113"/>
        <w:rPr>
          <w:sz w:val="32"/>
          <w:szCs w:val="32"/>
        </w:rPr>
      </w:pPr>
      <w:r>
        <w:rPr>
          <w:spacing w:val="25"/>
          <w:w w:val="95"/>
          <w:sz w:val="32"/>
          <w:szCs w:val="32"/>
        </w:rPr>
        <w:t>业基</w:t>
      </w:r>
      <w:r>
        <w:rPr>
          <w:spacing w:val="26"/>
          <w:w w:val="95"/>
          <w:sz w:val="32"/>
          <w:szCs w:val="32"/>
        </w:rPr>
        <w:t>础设</w:t>
      </w:r>
      <w:r>
        <w:rPr>
          <w:spacing w:val="24"/>
          <w:w w:val="95"/>
          <w:sz w:val="32"/>
          <w:szCs w:val="32"/>
        </w:rPr>
        <w:t>施</w:t>
      </w:r>
      <w:r>
        <w:rPr>
          <w:spacing w:val="26"/>
          <w:w w:val="95"/>
          <w:sz w:val="32"/>
          <w:szCs w:val="32"/>
        </w:rPr>
        <w:t>建设</w:t>
      </w:r>
      <w:r>
        <w:rPr>
          <w:spacing w:val="24"/>
          <w:w w:val="95"/>
          <w:sz w:val="32"/>
          <w:szCs w:val="32"/>
        </w:rPr>
        <w:t>、</w:t>
      </w:r>
      <w:r>
        <w:rPr>
          <w:spacing w:val="26"/>
          <w:w w:val="95"/>
          <w:sz w:val="32"/>
          <w:szCs w:val="32"/>
        </w:rPr>
        <w:t>就业</w:t>
      </w:r>
      <w:r>
        <w:rPr>
          <w:spacing w:val="24"/>
          <w:w w:val="95"/>
          <w:sz w:val="32"/>
          <w:szCs w:val="32"/>
        </w:rPr>
        <w:t>创</w:t>
      </w:r>
      <w:r>
        <w:rPr>
          <w:spacing w:val="26"/>
          <w:w w:val="95"/>
          <w:sz w:val="32"/>
          <w:szCs w:val="32"/>
        </w:rPr>
        <w:t>业等</w:t>
      </w:r>
      <w:r>
        <w:rPr>
          <w:spacing w:val="12"/>
          <w:w w:val="95"/>
          <w:sz w:val="32"/>
          <w:szCs w:val="32"/>
        </w:rPr>
        <w:t>项目</w:t>
      </w:r>
      <w:r>
        <w:rPr>
          <w:spacing w:val="47"/>
          <w:w w:val="150"/>
          <w:sz w:val="32"/>
          <w:szCs w:val="32"/>
        </w:rPr>
        <w:t xml:space="preserve"> </w:t>
      </w:r>
      <w:r>
        <w:rPr>
          <w:rFonts w:ascii="Times New Roman" w:eastAsia="Times New Roman"/>
          <w:w w:val="95"/>
          <w:sz w:val="32"/>
          <w:szCs w:val="32"/>
        </w:rPr>
        <w:t>127</w:t>
      </w:r>
      <w:r>
        <w:rPr>
          <w:rFonts w:ascii="Times New Roman" w:eastAsia="Times New Roman"/>
          <w:spacing w:val="50"/>
          <w:sz w:val="32"/>
          <w:szCs w:val="32"/>
        </w:rPr>
        <w:t xml:space="preserve">  </w:t>
      </w:r>
      <w:r>
        <w:rPr>
          <w:spacing w:val="25"/>
          <w:w w:val="95"/>
          <w:sz w:val="32"/>
          <w:szCs w:val="32"/>
        </w:rPr>
        <w:t>个，</w:t>
      </w:r>
      <w:r>
        <w:rPr>
          <w:spacing w:val="26"/>
          <w:w w:val="95"/>
          <w:sz w:val="32"/>
          <w:szCs w:val="32"/>
        </w:rPr>
        <w:t>建成</w:t>
      </w:r>
      <w:r>
        <w:rPr>
          <w:spacing w:val="24"/>
          <w:w w:val="95"/>
          <w:sz w:val="32"/>
          <w:szCs w:val="32"/>
        </w:rPr>
        <w:t>设</w:t>
      </w:r>
      <w:r>
        <w:rPr>
          <w:spacing w:val="26"/>
          <w:w w:val="95"/>
          <w:sz w:val="32"/>
          <w:szCs w:val="32"/>
        </w:rPr>
        <w:t>施农</w:t>
      </w:r>
      <w:r>
        <w:rPr>
          <w:spacing w:val="7"/>
          <w:w w:val="95"/>
          <w:sz w:val="32"/>
          <w:szCs w:val="32"/>
        </w:rPr>
        <w:t>业园</w:t>
      </w:r>
    </w:p>
    <w:p w14:paraId="28B34E10">
      <w:pPr>
        <w:spacing w:before="149"/>
        <w:ind w:left="113"/>
        <w:rPr>
          <w:sz w:val="32"/>
          <w:szCs w:val="32"/>
        </w:rPr>
      </w:pPr>
      <w:r>
        <w:rPr>
          <w:w w:val="95"/>
          <w:sz w:val="32"/>
          <w:szCs w:val="32"/>
        </w:rPr>
        <w:t>区</w:t>
      </w:r>
      <w:r>
        <w:rPr>
          <w:spacing w:val="39"/>
          <w:sz w:val="32"/>
          <w:szCs w:val="32"/>
        </w:rPr>
        <w:t xml:space="preserve"> </w:t>
      </w:r>
      <w:r>
        <w:rPr>
          <w:rFonts w:ascii="Times New Roman" w:hAnsi="Times New Roman" w:eastAsia="Times New Roman"/>
          <w:w w:val="95"/>
          <w:sz w:val="32"/>
          <w:szCs w:val="32"/>
        </w:rPr>
        <w:t>27</w:t>
      </w:r>
      <w:r>
        <w:rPr>
          <w:rFonts w:ascii="Times New Roman" w:hAnsi="Times New Roman" w:eastAsia="Times New Roman"/>
          <w:spacing w:val="62"/>
          <w:w w:val="150"/>
          <w:sz w:val="32"/>
          <w:szCs w:val="32"/>
        </w:rPr>
        <w:t xml:space="preserve"> </w:t>
      </w:r>
      <w:r>
        <w:rPr>
          <w:spacing w:val="14"/>
          <w:w w:val="95"/>
          <w:sz w:val="32"/>
          <w:szCs w:val="32"/>
        </w:rPr>
        <w:t>个、设施温棚</w:t>
      </w:r>
      <w:r>
        <w:rPr>
          <w:spacing w:val="34"/>
          <w:sz w:val="32"/>
          <w:szCs w:val="32"/>
        </w:rPr>
        <w:t xml:space="preserve"> </w:t>
      </w:r>
      <w:r>
        <w:rPr>
          <w:rFonts w:ascii="Times New Roman" w:hAnsi="Times New Roman" w:eastAsia="Times New Roman"/>
          <w:w w:val="95"/>
          <w:sz w:val="32"/>
          <w:szCs w:val="32"/>
        </w:rPr>
        <w:t>4300</w:t>
      </w:r>
      <w:r>
        <w:rPr>
          <w:rFonts w:ascii="Times New Roman" w:hAnsi="Times New Roman" w:eastAsia="Times New Roman"/>
          <w:spacing w:val="68"/>
          <w:w w:val="150"/>
          <w:sz w:val="32"/>
          <w:szCs w:val="32"/>
        </w:rPr>
        <w:t xml:space="preserve"> </w:t>
      </w:r>
      <w:r>
        <w:rPr>
          <w:spacing w:val="18"/>
          <w:w w:val="95"/>
          <w:sz w:val="32"/>
          <w:szCs w:val="32"/>
        </w:rPr>
        <w:t>余栋。相继建设了丰登镇</w:t>
      </w:r>
      <w:r>
        <w:rPr>
          <w:spacing w:val="24"/>
          <w:w w:val="95"/>
          <w:sz w:val="32"/>
          <w:szCs w:val="32"/>
        </w:rPr>
        <w:t>利思</w:t>
      </w:r>
      <w:r>
        <w:rPr>
          <w:rFonts w:ascii="Times New Roman" w:hAnsi="Times New Roman" w:eastAsia="Times New Roman"/>
          <w:w w:val="95"/>
          <w:sz w:val="32"/>
          <w:szCs w:val="32"/>
        </w:rPr>
        <w:t>·</w:t>
      </w:r>
      <w:r>
        <w:rPr>
          <w:spacing w:val="7"/>
          <w:w w:val="95"/>
          <w:sz w:val="32"/>
          <w:szCs w:val="32"/>
        </w:rPr>
        <w:t>田园</w:t>
      </w:r>
    </w:p>
    <w:p w14:paraId="270C11F4">
      <w:pPr>
        <w:sectPr>
          <w:footerReference r:id="rId8" w:type="default"/>
          <w:footerReference r:id="rId9" w:type="even"/>
          <w:pgSz w:w="11910" w:h="16840"/>
          <w:pgMar w:top="1780" w:right="1220" w:bottom="1380" w:left="1360" w:header="0" w:footer="1196" w:gutter="0"/>
          <w:pgNumType w:start="3"/>
          <w:cols w:space="720" w:num="1"/>
        </w:sectPr>
      </w:pPr>
    </w:p>
    <w:p w14:paraId="39488646">
      <w:pPr>
        <w:spacing w:before="31" w:line="328" w:lineRule="auto"/>
        <w:ind w:left="113" w:right="273"/>
        <w:jc w:val="both"/>
        <w:rPr>
          <w:sz w:val="32"/>
          <w:szCs w:val="32"/>
        </w:rPr>
      </w:pPr>
      <w:r>
        <w:rPr>
          <w:spacing w:val="23"/>
          <w:w w:val="99"/>
          <w:sz w:val="32"/>
          <w:szCs w:val="32"/>
        </w:rPr>
        <w:t>蜜语、扶贫产业园和良田镇“百果园”、万亩现代农业产业园等农业、旅游、民宿有机结合的田园综合体和农业设施园</w:t>
      </w:r>
      <w:r>
        <w:rPr>
          <w:spacing w:val="22"/>
          <w:w w:val="99"/>
          <w:sz w:val="32"/>
          <w:szCs w:val="32"/>
        </w:rPr>
        <w:t>区，累计培育农业龙头企业</w:t>
      </w:r>
      <w:r>
        <w:rPr>
          <w:spacing w:val="-47"/>
          <w:sz w:val="32"/>
          <w:szCs w:val="32"/>
        </w:rPr>
        <w:t xml:space="preserve"> </w:t>
      </w:r>
      <w:r>
        <w:rPr>
          <w:rFonts w:ascii="Times New Roman" w:hAnsi="Times New Roman" w:eastAsia="Times New Roman"/>
          <w:spacing w:val="6"/>
          <w:w w:val="99"/>
          <w:sz w:val="32"/>
          <w:szCs w:val="32"/>
        </w:rPr>
        <w:t>1</w:t>
      </w:r>
      <w:r>
        <w:rPr>
          <w:rFonts w:ascii="Times New Roman" w:hAnsi="Times New Roman" w:eastAsia="Times New Roman"/>
          <w:w w:val="99"/>
          <w:sz w:val="32"/>
          <w:szCs w:val="32"/>
        </w:rPr>
        <w:t>5</w:t>
      </w:r>
      <w:r>
        <w:rPr>
          <w:rFonts w:ascii="Times New Roman" w:hAnsi="Times New Roman" w:eastAsia="Times New Roman"/>
          <w:spacing w:val="24"/>
          <w:sz w:val="32"/>
          <w:szCs w:val="32"/>
        </w:rPr>
        <w:t xml:space="preserve"> </w:t>
      </w:r>
      <w:r>
        <w:rPr>
          <w:spacing w:val="21"/>
          <w:w w:val="99"/>
          <w:sz w:val="32"/>
          <w:szCs w:val="32"/>
        </w:rPr>
        <w:t>家、农民专业合作社</w:t>
      </w:r>
      <w:r>
        <w:rPr>
          <w:spacing w:val="-47"/>
          <w:sz w:val="32"/>
          <w:szCs w:val="32"/>
        </w:rPr>
        <w:t xml:space="preserve"> </w:t>
      </w:r>
      <w:r>
        <w:rPr>
          <w:rFonts w:ascii="Times New Roman" w:hAnsi="Times New Roman" w:eastAsia="Times New Roman"/>
          <w:spacing w:val="6"/>
          <w:w w:val="99"/>
          <w:sz w:val="32"/>
          <w:szCs w:val="32"/>
        </w:rPr>
        <w:t>6</w:t>
      </w:r>
      <w:r>
        <w:rPr>
          <w:rFonts w:ascii="Times New Roman" w:hAnsi="Times New Roman" w:eastAsia="Times New Roman"/>
          <w:w w:val="99"/>
          <w:sz w:val="32"/>
          <w:szCs w:val="32"/>
        </w:rPr>
        <w:t>6</w:t>
      </w:r>
      <w:r>
        <w:rPr>
          <w:rFonts w:ascii="Times New Roman" w:hAnsi="Times New Roman" w:eastAsia="Times New Roman"/>
          <w:spacing w:val="24"/>
          <w:sz w:val="32"/>
          <w:szCs w:val="32"/>
        </w:rPr>
        <w:t xml:space="preserve"> </w:t>
      </w:r>
      <w:r>
        <w:rPr>
          <w:spacing w:val="13"/>
          <w:w w:val="99"/>
          <w:sz w:val="32"/>
          <w:szCs w:val="32"/>
        </w:rPr>
        <w:t>家、</w:t>
      </w:r>
    </w:p>
    <w:p w14:paraId="2E53FAEF">
      <w:pPr>
        <w:spacing w:line="328" w:lineRule="auto"/>
        <w:ind w:left="113" w:right="273"/>
        <w:jc w:val="both"/>
        <w:rPr>
          <w:sz w:val="32"/>
          <w:szCs w:val="32"/>
        </w:rPr>
      </w:pPr>
      <w:r>
        <w:rPr>
          <w:spacing w:val="16"/>
          <w:w w:val="99"/>
          <w:sz w:val="32"/>
          <w:szCs w:val="32"/>
        </w:rPr>
        <w:t>家庭农场</w:t>
      </w:r>
      <w:r>
        <w:rPr>
          <w:spacing w:val="-52"/>
          <w:sz w:val="32"/>
          <w:szCs w:val="32"/>
        </w:rPr>
        <w:t xml:space="preserve"> </w:t>
      </w:r>
      <w:r>
        <w:rPr>
          <w:rFonts w:ascii="Times New Roman" w:eastAsia="Times New Roman"/>
          <w:spacing w:val="8"/>
          <w:w w:val="99"/>
          <w:sz w:val="32"/>
          <w:szCs w:val="32"/>
        </w:rPr>
        <w:t>3</w:t>
      </w:r>
      <w:r>
        <w:rPr>
          <w:rFonts w:ascii="Times New Roman" w:eastAsia="Times New Roman"/>
          <w:w w:val="99"/>
          <w:sz w:val="32"/>
          <w:szCs w:val="32"/>
        </w:rPr>
        <w:t>3</w:t>
      </w:r>
      <w:r>
        <w:rPr>
          <w:rFonts w:ascii="Times New Roman" w:eastAsia="Times New Roman"/>
          <w:spacing w:val="19"/>
          <w:sz w:val="32"/>
          <w:szCs w:val="32"/>
        </w:rPr>
        <w:t xml:space="preserve"> </w:t>
      </w:r>
      <w:r>
        <w:rPr>
          <w:spacing w:val="17"/>
          <w:w w:val="99"/>
          <w:sz w:val="32"/>
          <w:szCs w:val="32"/>
        </w:rPr>
        <w:t>家，设施农业面积达到</w:t>
      </w:r>
      <w:r>
        <w:rPr>
          <w:spacing w:val="-52"/>
          <w:sz w:val="32"/>
          <w:szCs w:val="32"/>
        </w:rPr>
        <w:t xml:space="preserve"> </w:t>
      </w:r>
      <w:r>
        <w:rPr>
          <w:rFonts w:ascii="Times New Roman" w:eastAsia="Times New Roman"/>
          <w:spacing w:val="6"/>
          <w:w w:val="99"/>
          <w:sz w:val="32"/>
          <w:szCs w:val="32"/>
        </w:rPr>
        <w:t>1</w:t>
      </w:r>
      <w:r>
        <w:rPr>
          <w:rFonts w:ascii="Times New Roman" w:eastAsia="Times New Roman"/>
          <w:spacing w:val="11"/>
          <w:w w:val="99"/>
          <w:sz w:val="32"/>
          <w:szCs w:val="32"/>
        </w:rPr>
        <w:t>.</w:t>
      </w:r>
      <w:r>
        <w:rPr>
          <w:rFonts w:ascii="Times New Roman" w:eastAsia="Times New Roman"/>
          <w:w w:val="99"/>
          <w:sz w:val="32"/>
          <w:szCs w:val="32"/>
        </w:rPr>
        <w:t>3</w:t>
      </w:r>
      <w:r>
        <w:rPr>
          <w:rFonts w:ascii="Times New Roman" w:eastAsia="Times New Roman"/>
          <w:spacing w:val="22"/>
          <w:sz w:val="32"/>
          <w:szCs w:val="32"/>
        </w:rPr>
        <w:t xml:space="preserve"> </w:t>
      </w:r>
      <w:r>
        <w:rPr>
          <w:spacing w:val="16"/>
          <w:w w:val="99"/>
          <w:sz w:val="32"/>
          <w:szCs w:val="32"/>
        </w:rPr>
        <w:t>万亩。智慧农业快速</w:t>
      </w:r>
      <w:r>
        <w:rPr>
          <w:spacing w:val="23"/>
          <w:w w:val="99"/>
          <w:sz w:val="32"/>
          <w:szCs w:val="32"/>
        </w:rPr>
        <w:t>发展，丰登镇设施园艺标准园引入农业物联网应用平台，开展设施农业物联网技术应用推广示范。良田镇建成农商网数字农业检测中心、农商网电商调度中心、物流配送体系和展</w:t>
      </w:r>
      <w:r>
        <w:rPr>
          <w:spacing w:val="19"/>
          <w:w w:val="99"/>
          <w:sz w:val="32"/>
          <w:szCs w:val="32"/>
        </w:rPr>
        <w:t>示中心，农业物联网应用平台。</w:t>
      </w:r>
    </w:p>
    <w:p w14:paraId="66CE6296">
      <w:pPr>
        <w:spacing w:line="402" w:lineRule="exact"/>
        <w:ind w:left="754"/>
        <w:rPr>
          <w:rFonts w:ascii="黑体" w:eastAsia="黑体"/>
          <w:sz w:val="32"/>
          <w:szCs w:val="32"/>
        </w:rPr>
      </w:pPr>
      <w:r>
        <w:rPr>
          <w:rFonts w:ascii="黑体" w:eastAsia="黑体"/>
          <w:w w:val="95"/>
          <w:sz w:val="32"/>
          <w:szCs w:val="32"/>
        </w:rPr>
        <w:t>三、创新活力不断增强，内生动能日益充</w:t>
      </w:r>
      <w:r>
        <w:rPr>
          <w:rFonts w:ascii="黑体" w:eastAsia="黑体"/>
          <w:spacing w:val="-10"/>
          <w:w w:val="95"/>
          <w:sz w:val="32"/>
          <w:szCs w:val="32"/>
        </w:rPr>
        <w:t>足</w:t>
      </w:r>
    </w:p>
    <w:p w14:paraId="16A90470">
      <w:pPr>
        <w:spacing w:before="144" w:line="328" w:lineRule="auto"/>
        <w:ind w:left="113" w:right="270" w:firstLine="684"/>
        <w:jc w:val="right"/>
        <w:rPr>
          <w:sz w:val="32"/>
          <w:szCs w:val="32"/>
        </w:rPr>
      </w:pPr>
      <w:r>
        <w:rPr>
          <w:spacing w:val="24"/>
          <w:w w:val="99"/>
          <w:sz w:val="32"/>
          <w:szCs w:val="32"/>
        </w:rPr>
        <w:t>“十三五”以来，全区深入实施创新驱动发展战略，</w:t>
      </w:r>
      <w:r>
        <w:rPr>
          <w:b/>
          <w:i/>
          <w:w w:val="99"/>
          <w:sz w:val="32"/>
          <w:szCs w:val="32"/>
        </w:rPr>
        <w:t>创</w:t>
      </w:r>
      <w:r>
        <w:rPr>
          <w:b/>
          <w:i/>
          <w:spacing w:val="16"/>
          <w:w w:val="99"/>
          <w:sz w:val="32"/>
          <w:szCs w:val="32"/>
        </w:rPr>
        <w:t>新主体加快培育。</w:t>
      </w:r>
      <w:r>
        <w:rPr>
          <w:spacing w:val="19"/>
          <w:w w:val="99"/>
          <w:sz w:val="32"/>
          <w:szCs w:val="32"/>
        </w:rPr>
        <w:t>全区现有国家级高新技术企业</w:t>
      </w:r>
      <w:r>
        <w:rPr>
          <w:spacing w:val="-52"/>
          <w:sz w:val="32"/>
          <w:szCs w:val="32"/>
        </w:rPr>
        <w:t xml:space="preserve"> </w:t>
      </w:r>
      <w:r>
        <w:rPr>
          <w:rFonts w:ascii="Times New Roman" w:hAnsi="Times New Roman" w:eastAsia="Times New Roman"/>
          <w:spacing w:val="6"/>
          <w:w w:val="99"/>
          <w:sz w:val="32"/>
          <w:szCs w:val="32"/>
        </w:rPr>
        <w:t>6</w:t>
      </w:r>
      <w:r>
        <w:rPr>
          <w:rFonts w:ascii="Times New Roman" w:hAnsi="Times New Roman" w:eastAsia="Times New Roman"/>
          <w:w w:val="99"/>
          <w:sz w:val="32"/>
          <w:szCs w:val="32"/>
        </w:rPr>
        <w:t>0</w:t>
      </w:r>
      <w:r>
        <w:rPr>
          <w:rFonts w:ascii="Times New Roman" w:hAnsi="Times New Roman" w:eastAsia="Times New Roman"/>
          <w:spacing w:val="22"/>
          <w:sz w:val="32"/>
          <w:szCs w:val="32"/>
        </w:rPr>
        <w:t xml:space="preserve"> </w:t>
      </w:r>
      <w:r>
        <w:rPr>
          <w:spacing w:val="3"/>
          <w:w w:val="99"/>
          <w:sz w:val="32"/>
          <w:szCs w:val="32"/>
        </w:rPr>
        <w:t>家，自治</w:t>
      </w:r>
    </w:p>
    <w:p w14:paraId="6D1BFE66">
      <w:pPr>
        <w:spacing w:line="407" w:lineRule="exact"/>
        <w:ind w:right="262"/>
        <w:jc w:val="right"/>
        <w:rPr>
          <w:rFonts w:ascii="Times New Roman" w:eastAsia="Times New Roman"/>
          <w:sz w:val="32"/>
          <w:szCs w:val="32"/>
        </w:rPr>
      </w:pPr>
      <w:r>
        <w:rPr>
          <w:spacing w:val="29"/>
          <w:w w:val="95"/>
          <w:sz w:val="32"/>
          <w:szCs w:val="32"/>
        </w:rPr>
        <w:t>区级农</w:t>
      </w:r>
      <w:r>
        <w:rPr>
          <w:spacing w:val="31"/>
          <w:w w:val="95"/>
          <w:sz w:val="32"/>
          <w:szCs w:val="32"/>
        </w:rPr>
        <w:t>业</w:t>
      </w:r>
      <w:r>
        <w:rPr>
          <w:spacing w:val="29"/>
          <w:w w:val="95"/>
          <w:sz w:val="32"/>
          <w:szCs w:val="32"/>
        </w:rPr>
        <w:t>高新技术企</w:t>
      </w:r>
      <w:r>
        <w:rPr>
          <w:w w:val="95"/>
          <w:sz w:val="32"/>
          <w:szCs w:val="32"/>
        </w:rPr>
        <w:t>业</w:t>
      </w:r>
      <w:r>
        <w:rPr>
          <w:spacing w:val="50"/>
          <w:sz w:val="32"/>
          <w:szCs w:val="32"/>
        </w:rPr>
        <w:t xml:space="preserve"> </w:t>
      </w:r>
      <w:r>
        <w:rPr>
          <w:rFonts w:ascii="Times New Roman" w:eastAsia="Times New Roman"/>
          <w:w w:val="95"/>
          <w:sz w:val="32"/>
          <w:szCs w:val="32"/>
        </w:rPr>
        <w:t>2</w:t>
      </w:r>
      <w:r>
        <w:rPr>
          <w:rFonts w:ascii="Times New Roman" w:eastAsia="Times New Roman"/>
          <w:spacing w:val="71"/>
          <w:w w:val="150"/>
          <w:sz w:val="32"/>
          <w:szCs w:val="32"/>
        </w:rPr>
        <w:t xml:space="preserve"> </w:t>
      </w:r>
      <w:r>
        <w:rPr>
          <w:spacing w:val="-3"/>
          <w:w w:val="95"/>
          <w:sz w:val="32"/>
          <w:szCs w:val="32"/>
        </w:rPr>
        <w:t>家， 自治</w:t>
      </w:r>
      <w:r>
        <w:rPr>
          <w:spacing w:val="29"/>
          <w:w w:val="95"/>
          <w:sz w:val="32"/>
          <w:szCs w:val="32"/>
        </w:rPr>
        <w:t>区级科技型</w:t>
      </w:r>
      <w:r>
        <w:rPr>
          <w:spacing w:val="31"/>
          <w:w w:val="95"/>
          <w:sz w:val="32"/>
          <w:szCs w:val="32"/>
        </w:rPr>
        <w:t>中</w:t>
      </w:r>
      <w:r>
        <w:rPr>
          <w:spacing w:val="29"/>
          <w:w w:val="95"/>
          <w:sz w:val="32"/>
          <w:szCs w:val="32"/>
        </w:rPr>
        <w:t>小企</w:t>
      </w:r>
      <w:r>
        <w:rPr>
          <w:w w:val="95"/>
          <w:sz w:val="32"/>
          <w:szCs w:val="32"/>
        </w:rPr>
        <w:t>业</w:t>
      </w:r>
      <w:r>
        <w:rPr>
          <w:spacing w:val="47"/>
          <w:sz w:val="32"/>
          <w:szCs w:val="32"/>
        </w:rPr>
        <w:t xml:space="preserve"> </w:t>
      </w:r>
      <w:r>
        <w:rPr>
          <w:rFonts w:ascii="Times New Roman" w:eastAsia="Times New Roman"/>
          <w:spacing w:val="-5"/>
          <w:w w:val="95"/>
          <w:sz w:val="32"/>
          <w:szCs w:val="32"/>
        </w:rPr>
        <w:t>201</w:t>
      </w:r>
    </w:p>
    <w:p w14:paraId="65FB745B">
      <w:pPr>
        <w:spacing w:before="149"/>
        <w:ind w:left="113"/>
        <w:rPr>
          <w:sz w:val="32"/>
        </w:rPr>
      </w:pPr>
      <w:r>
        <w:rPr>
          <w:spacing w:val="22"/>
          <w:w w:val="95"/>
          <w:sz w:val="32"/>
        </w:rPr>
        <w:t>家，自治区级科技小巨人企业</w:t>
      </w:r>
      <w:r>
        <w:rPr>
          <w:spacing w:val="36"/>
          <w:w w:val="150"/>
          <w:sz w:val="32"/>
        </w:rPr>
        <w:t xml:space="preserve"> </w:t>
      </w:r>
      <w:r>
        <w:rPr>
          <w:rFonts w:ascii="Times New Roman" w:eastAsia="Times New Roman"/>
          <w:w w:val="95"/>
          <w:sz w:val="32"/>
        </w:rPr>
        <w:t>2</w:t>
      </w:r>
      <w:r>
        <w:rPr>
          <w:rFonts w:ascii="Times New Roman" w:eastAsia="Times New Roman"/>
          <w:spacing w:val="42"/>
          <w:sz w:val="32"/>
        </w:rPr>
        <w:t xml:space="preserve">  </w:t>
      </w:r>
      <w:r>
        <w:rPr>
          <w:spacing w:val="26"/>
          <w:w w:val="95"/>
          <w:sz w:val="32"/>
        </w:rPr>
        <w:t>家。</w:t>
      </w:r>
      <w:r>
        <w:rPr>
          <w:b/>
          <w:i/>
          <w:spacing w:val="26"/>
          <w:w w:val="95"/>
          <w:sz w:val="32"/>
        </w:rPr>
        <w:t>创新平台快速增加</w:t>
      </w:r>
      <w:r>
        <w:rPr>
          <w:b/>
          <w:i/>
          <w:spacing w:val="24"/>
          <w:w w:val="95"/>
          <w:sz w:val="32"/>
        </w:rPr>
        <w:t>。</w:t>
      </w:r>
      <w:r>
        <w:rPr>
          <w:spacing w:val="-10"/>
          <w:w w:val="95"/>
          <w:sz w:val="32"/>
        </w:rPr>
        <w:t>建</w:t>
      </w:r>
    </w:p>
    <w:p w14:paraId="7AABB713">
      <w:pPr>
        <w:spacing w:before="152"/>
        <w:ind w:left="113"/>
        <w:rPr>
          <w:sz w:val="32"/>
          <w:szCs w:val="32"/>
        </w:rPr>
      </w:pPr>
      <w:r>
        <w:rPr>
          <w:spacing w:val="25"/>
          <w:w w:val="95"/>
          <w:sz w:val="32"/>
          <w:szCs w:val="32"/>
        </w:rPr>
        <w:t>成国</w:t>
      </w:r>
      <w:r>
        <w:rPr>
          <w:spacing w:val="26"/>
          <w:w w:val="95"/>
          <w:sz w:val="32"/>
          <w:szCs w:val="32"/>
        </w:rPr>
        <w:t>家级</w:t>
      </w:r>
      <w:r>
        <w:rPr>
          <w:spacing w:val="19"/>
          <w:w w:val="95"/>
          <w:sz w:val="32"/>
          <w:szCs w:val="32"/>
        </w:rPr>
        <w:t>重点实验室</w:t>
      </w:r>
      <w:r>
        <w:rPr>
          <w:spacing w:val="30"/>
          <w:sz w:val="32"/>
          <w:szCs w:val="32"/>
        </w:rPr>
        <w:t xml:space="preserve"> </w:t>
      </w:r>
      <w:r>
        <w:rPr>
          <w:rFonts w:ascii="Times New Roman" w:eastAsia="Times New Roman"/>
          <w:w w:val="95"/>
          <w:sz w:val="32"/>
          <w:szCs w:val="32"/>
        </w:rPr>
        <w:t>7</w:t>
      </w:r>
      <w:r>
        <w:rPr>
          <w:rFonts w:ascii="Times New Roman" w:eastAsia="Times New Roman"/>
          <w:spacing w:val="52"/>
          <w:w w:val="150"/>
          <w:sz w:val="32"/>
          <w:szCs w:val="32"/>
        </w:rPr>
        <w:t xml:space="preserve"> </w:t>
      </w:r>
      <w:r>
        <w:rPr>
          <w:spacing w:val="25"/>
          <w:w w:val="95"/>
          <w:sz w:val="32"/>
          <w:szCs w:val="32"/>
        </w:rPr>
        <w:t>个，</w:t>
      </w:r>
      <w:r>
        <w:rPr>
          <w:spacing w:val="26"/>
          <w:w w:val="95"/>
          <w:sz w:val="32"/>
          <w:szCs w:val="32"/>
        </w:rPr>
        <w:t>产业</w:t>
      </w:r>
      <w:r>
        <w:rPr>
          <w:spacing w:val="24"/>
          <w:w w:val="95"/>
          <w:sz w:val="32"/>
          <w:szCs w:val="32"/>
        </w:rPr>
        <w:t>技术协</w:t>
      </w:r>
      <w:r>
        <w:rPr>
          <w:spacing w:val="26"/>
          <w:w w:val="95"/>
          <w:sz w:val="32"/>
          <w:szCs w:val="32"/>
        </w:rPr>
        <w:t>同创</w:t>
      </w:r>
      <w:r>
        <w:rPr>
          <w:spacing w:val="16"/>
          <w:w w:val="95"/>
          <w:sz w:val="32"/>
          <w:szCs w:val="32"/>
        </w:rPr>
        <w:t>新中心</w:t>
      </w:r>
      <w:r>
        <w:rPr>
          <w:spacing w:val="36"/>
          <w:sz w:val="32"/>
          <w:szCs w:val="32"/>
        </w:rPr>
        <w:t xml:space="preserve"> </w:t>
      </w:r>
      <w:r>
        <w:rPr>
          <w:rFonts w:ascii="Times New Roman" w:eastAsia="Times New Roman"/>
          <w:w w:val="95"/>
          <w:sz w:val="32"/>
          <w:szCs w:val="32"/>
        </w:rPr>
        <w:t>2</w:t>
      </w:r>
      <w:r>
        <w:rPr>
          <w:rFonts w:ascii="Times New Roman" w:eastAsia="Times New Roman"/>
          <w:spacing w:val="48"/>
          <w:w w:val="150"/>
          <w:sz w:val="32"/>
          <w:szCs w:val="32"/>
        </w:rPr>
        <w:t xml:space="preserve"> </w:t>
      </w:r>
      <w:r>
        <w:rPr>
          <w:spacing w:val="13"/>
          <w:w w:val="95"/>
          <w:sz w:val="32"/>
          <w:szCs w:val="32"/>
        </w:rPr>
        <w:t>个，国</w:t>
      </w:r>
    </w:p>
    <w:p w14:paraId="289B42F3">
      <w:pPr>
        <w:spacing w:before="149"/>
        <w:ind w:left="113"/>
        <w:rPr>
          <w:sz w:val="32"/>
          <w:szCs w:val="32"/>
        </w:rPr>
      </w:pPr>
      <w:r>
        <w:rPr>
          <w:spacing w:val="32"/>
          <w:w w:val="95"/>
          <w:sz w:val="32"/>
          <w:szCs w:val="32"/>
        </w:rPr>
        <w:t>家级</w:t>
      </w:r>
      <w:r>
        <w:rPr>
          <w:spacing w:val="33"/>
          <w:w w:val="95"/>
          <w:sz w:val="32"/>
          <w:szCs w:val="32"/>
        </w:rPr>
        <w:t>工程</w:t>
      </w:r>
      <w:r>
        <w:rPr>
          <w:spacing w:val="31"/>
          <w:w w:val="95"/>
          <w:sz w:val="32"/>
          <w:szCs w:val="32"/>
        </w:rPr>
        <w:t>技术研</w:t>
      </w:r>
      <w:r>
        <w:rPr>
          <w:spacing w:val="33"/>
          <w:w w:val="95"/>
          <w:sz w:val="32"/>
          <w:szCs w:val="32"/>
        </w:rPr>
        <w:t>究中</w:t>
      </w:r>
      <w:r>
        <w:rPr>
          <w:w w:val="95"/>
          <w:sz w:val="32"/>
          <w:szCs w:val="32"/>
        </w:rPr>
        <w:t>心</w:t>
      </w:r>
      <w:r>
        <w:rPr>
          <w:spacing w:val="40"/>
          <w:w w:val="150"/>
          <w:sz w:val="32"/>
          <w:szCs w:val="32"/>
        </w:rPr>
        <w:t xml:space="preserve"> </w:t>
      </w:r>
      <w:r>
        <w:rPr>
          <w:rFonts w:ascii="Times New Roman" w:eastAsia="Times New Roman"/>
          <w:w w:val="95"/>
          <w:sz w:val="32"/>
          <w:szCs w:val="32"/>
        </w:rPr>
        <w:t>10</w:t>
      </w:r>
      <w:r>
        <w:rPr>
          <w:rFonts w:ascii="Times New Roman" w:eastAsia="Times New Roman"/>
          <w:spacing w:val="50"/>
          <w:sz w:val="32"/>
          <w:szCs w:val="32"/>
        </w:rPr>
        <w:t xml:space="preserve">  </w:t>
      </w:r>
      <w:r>
        <w:rPr>
          <w:spacing w:val="32"/>
          <w:w w:val="95"/>
          <w:sz w:val="32"/>
          <w:szCs w:val="32"/>
        </w:rPr>
        <w:t>个、</w:t>
      </w:r>
      <w:r>
        <w:rPr>
          <w:spacing w:val="33"/>
          <w:w w:val="95"/>
          <w:sz w:val="32"/>
          <w:szCs w:val="32"/>
        </w:rPr>
        <w:t>自治</w:t>
      </w:r>
      <w:r>
        <w:rPr>
          <w:spacing w:val="31"/>
          <w:w w:val="95"/>
          <w:sz w:val="32"/>
          <w:szCs w:val="32"/>
        </w:rPr>
        <w:t>区级工</w:t>
      </w:r>
      <w:r>
        <w:rPr>
          <w:spacing w:val="33"/>
          <w:w w:val="95"/>
          <w:sz w:val="32"/>
          <w:szCs w:val="32"/>
        </w:rPr>
        <w:t>程技</w:t>
      </w:r>
      <w:r>
        <w:rPr>
          <w:spacing w:val="31"/>
          <w:w w:val="95"/>
          <w:sz w:val="32"/>
          <w:szCs w:val="32"/>
        </w:rPr>
        <w:t>术</w:t>
      </w:r>
      <w:r>
        <w:rPr>
          <w:spacing w:val="33"/>
          <w:w w:val="95"/>
          <w:sz w:val="32"/>
          <w:szCs w:val="32"/>
        </w:rPr>
        <w:t>研究中</w:t>
      </w:r>
      <w:r>
        <w:rPr>
          <w:spacing w:val="-10"/>
          <w:w w:val="95"/>
          <w:sz w:val="32"/>
          <w:szCs w:val="32"/>
        </w:rPr>
        <w:t>心</w:t>
      </w:r>
    </w:p>
    <w:p w14:paraId="67641F3E">
      <w:pPr>
        <w:spacing w:before="149"/>
        <w:ind w:left="113"/>
        <w:rPr>
          <w:sz w:val="32"/>
          <w:szCs w:val="32"/>
        </w:rPr>
      </w:pPr>
      <w:r>
        <w:rPr>
          <w:rFonts w:ascii="Times New Roman" w:eastAsia="Times New Roman"/>
          <w:sz w:val="32"/>
          <w:szCs w:val="32"/>
        </w:rPr>
        <w:t>10</w:t>
      </w:r>
      <w:r>
        <w:rPr>
          <w:rFonts w:ascii="Times New Roman" w:eastAsia="Times New Roman"/>
          <w:spacing w:val="-16"/>
          <w:sz w:val="32"/>
          <w:szCs w:val="32"/>
        </w:rPr>
        <w:t xml:space="preserve"> </w:t>
      </w:r>
      <w:r>
        <w:rPr>
          <w:spacing w:val="12"/>
          <w:sz w:val="32"/>
          <w:szCs w:val="32"/>
        </w:rPr>
        <w:t xml:space="preserve">个；培育国家级众创空间 </w:t>
      </w:r>
      <w:r>
        <w:rPr>
          <w:rFonts w:ascii="Times New Roman" w:eastAsia="Times New Roman"/>
          <w:sz w:val="32"/>
          <w:szCs w:val="32"/>
        </w:rPr>
        <w:t>5</w:t>
      </w:r>
      <w:r>
        <w:rPr>
          <w:rFonts w:ascii="Times New Roman" w:eastAsia="Times New Roman"/>
          <w:spacing w:val="1"/>
          <w:sz w:val="32"/>
          <w:szCs w:val="32"/>
        </w:rPr>
        <w:t xml:space="preserve"> </w:t>
      </w:r>
      <w:r>
        <w:rPr>
          <w:spacing w:val="11"/>
          <w:sz w:val="32"/>
          <w:szCs w:val="32"/>
        </w:rPr>
        <w:t xml:space="preserve">家、自治区级众创空间 </w:t>
      </w:r>
      <w:r>
        <w:rPr>
          <w:rFonts w:ascii="Times New Roman" w:eastAsia="Times New Roman"/>
          <w:sz w:val="32"/>
          <w:szCs w:val="32"/>
        </w:rPr>
        <w:t>10</w:t>
      </w:r>
      <w:r>
        <w:rPr>
          <w:rFonts w:ascii="Times New Roman" w:eastAsia="Times New Roman"/>
          <w:spacing w:val="7"/>
          <w:sz w:val="32"/>
          <w:szCs w:val="32"/>
        </w:rPr>
        <w:t xml:space="preserve"> </w:t>
      </w:r>
      <w:r>
        <w:rPr>
          <w:spacing w:val="7"/>
          <w:sz w:val="32"/>
          <w:szCs w:val="32"/>
        </w:rPr>
        <w:t>家，</w:t>
      </w:r>
    </w:p>
    <w:p w14:paraId="070F8BDB">
      <w:pPr>
        <w:spacing w:before="152"/>
        <w:ind w:left="113"/>
        <w:rPr>
          <w:sz w:val="32"/>
          <w:szCs w:val="32"/>
        </w:rPr>
      </w:pPr>
      <w:r>
        <w:rPr>
          <w:spacing w:val="18"/>
          <w:w w:val="95"/>
          <w:sz w:val="32"/>
          <w:szCs w:val="32"/>
        </w:rPr>
        <w:t>国家级科技企业孵化器</w:t>
      </w:r>
      <w:r>
        <w:rPr>
          <w:spacing w:val="32"/>
          <w:sz w:val="32"/>
          <w:szCs w:val="32"/>
        </w:rPr>
        <w:t xml:space="preserve"> </w:t>
      </w:r>
      <w:r>
        <w:rPr>
          <w:rFonts w:ascii="Times New Roman" w:eastAsia="Times New Roman"/>
          <w:w w:val="95"/>
          <w:sz w:val="32"/>
          <w:szCs w:val="32"/>
        </w:rPr>
        <w:t>1</w:t>
      </w:r>
      <w:r>
        <w:rPr>
          <w:rFonts w:ascii="Times New Roman" w:eastAsia="Times New Roman"/>
          <w:spacing w:val="53"/>
          <w:w w:val="150"/>
          <w:sz w:val="32"/>
          <w:szCs w:val="32"/>
        </w:rPr>
        <w:t xml:space="preserve"> </w:t>
      </w:r>
      <w:r>
        <w:rPr>
          <w:spacing w:val="9"/>
          <w:w w:val="95"/>
          <w:sz w:val="32"/>
          <w:szCs w:val="32"/>
        </w:rPr>
        <w:t>个、自治区级科技企业孵化器</w:t>
      </w:r>
      <w:r>
        <w:rPr>
          <w:spacing w:val="36"/>
          <w:sz w:val="32"/>
          <w:szCs w:val="32"/>
        </w:rPr>
        <w:t xml:space="preserve"> </w:t>
      </w:r>
      <w:r>
        <w:rPr>
          <w:rFonts w:ascii="Times New Roman" w:eastAsia="Times New Roman"/>
          <w:w w:val="95"/>
          <w:sz w:val="32"/>
          <w:szCs w:val="32"/>
        </w:rPr>
        <w:t>2</w:t>
      </w:r>
      <w:r>
        <w:rPr>
          <w:rFonts w:ascii="Times New Roman" w:eastAsia="Times New Roman"/>
          <w:spacing w:val="48"/>
          <w:w w:val="150"/>
          <w:sz w:val="32"/>
          <w:szCs w:val="32"/>
        </w:rPr>
        <w:t xml:space="preserve"> </w:t>
      </w:r>
      <w:r>
        <w:rPr>
          <w:spacing w:val="7"/>
          <w:w w:val="95"/>
          <w:sz w:val="32"/>
          <w:szCs w:val="32"/>
        </w:rPr>
        <w:t>个，</w:t>
      </w:r>
    </w:p>
    <w:p w14:paraId="7A750D79">
      <w:pPr>
        <w:spacing w:before="149" w:line="328" w:lineRule="auto"/>
        <w:ind w:left="113" w:right="274"/>
        <w:jc w:val="both"/>
        <w:rPr>
          <w:sz w:val="32"/>
          <w:szCs w:val="32"/>
        </w:rPr>
      </w:pPr>
      <w:r>
        <w:rPr>
          <w:spacing w:val="20"/>
          <w:w w:val="99"/>
          <w:sz w:val="32"/>
          <w:szCs w:val="32"/>
        </w:rPr>
        <w:t>国家级星创天地</w:t>
      </w:r>
      <w:r>
        <w:rPr>
          <w:spacing w:val="-50"/>
          <w:sz w:val="32"/>
          <w:szCs w:val="32"/>
        </w:rPr>
        <w:t xml:space="preserve"> </w:t>
      </w:r>
      <w:r>
        <w:rPr>
          <w:rFonts w:ascii="Times New Roman" w:hAnsi="Times New Roman" w:eastAsia="Times New Roman"/>
          <w:w w:val="99"/>
          <w:sz w:val="32"/>
          <w:szCs w:val="32"/>
        </w:rPr>
        <w:t>2</w:t>
      </w:r>
      <w:r>
        <w:rPr>
          <w:rFonts w:ascii="Times New Roman" w:hAnsi="Times New Roman" w:eastAsia="Times New Roman"/>
          <w:spacing w:val="19"/>
          <w:sz w:val="32"/>
          <w:szCs w:val="32"/>
        </w:rPr>
        <w:t xml:space="preserve"> </w:t>
      </w:r>
      <w:r>
        <w:rPr>
          <w:spacing w:val="25"/>
          <w:w w:val="99"/>
          <w:sz w:val="32"/>
          <w:szCs w:val="32"/>
        </w:rPr>
        <w:t>家。</w:t>
      </w:r>
      <w:r>
        <w:rPr>
          <w:b/>
          <w:i/>
          <w:spacing w:val="26"/>
          <w:w w:val="99"/>
          <w:sz w:val="32"/>
          <w:szCs w:val="32"/>
        </w:rPr>
        <w:t>科技成果加速转化。</w:t>
      </w:r>
      <w:r>
        <w:rPr>
          <w:spacing w:val="20"/>
          <w:w w:val="99"/>
          <w:sz w:val="32"/>
          <w:szCs w:val="32"/>
        </w:rPr>
        <w:t>以“科技支宁”</w:t>
      </w:r>
      <w:r>
        <w:rPr>
          <w:spacing w:val="3"/>
          <w:w w:val="99"/>
          <w:sz w:val="32"/>
          <w:szCs w:val="32"/>
        </w:rPr>
        <w:t>东西部合作为平台，开展“校企合作”，推进科技成果落地转</w:t>
      </w:r>
      <w:r>
        <w:rPr>
          <w:spacing w:val="20"/>
          <w:w w:val="99"/>
          <w:sz w:val="32"/>
          <w:szCs w:val="32"/>
        </w:rPr>
        <w:t>化。技术合同交易额稳步提升，每万人口发明专利拥有量达</w:t>
      </w:r>
    </w:p>
    <w:p w14:paraId="7792CEA5">
      <w:pPr>
        <w:spacing w:line="328" w:lineRule="auto"/>
        <w:ind w:left="113" w:right="270"/>
        <w:jc w:val="both"/>
        <w:rPr>
          <w:sz w:val="32"/>
          <w:szCs w:val="32"/>
        </w:rPr>
      </w:pP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5</w:t>
      </w:r>
      <w:r>
        <w:rPr>
          <w:rFonts w:ascii="Times New Roman" w:hAnsi="Times New Roman" w:eastAsia="Times New Roman"/>
          <w:spacing w:val="11"/>
          <w:w w:val="99"/>
          <w:sz w:val="32"/>
          <w:szCs w:val="32"/>
        </w:rPr>
        <w:t>.</w:t>
      </w:r>
      <w:r>
        <w:rPr>
          <w:rFonts w:ascii="Times New Roman" w:hAnsi="Times New Roman" w:eastAsia="Times New Roman"/>
          <w:w w:val="99"/>
          <w:sz w:val="32"/>
          <w:szCs w:val="32"/>
        </w:rPr>
        <w:t>7</w:t>
      </w:r>
      <w:r>
        <w:rPr>
          <w:rFonts w:ascii="Times New Roman" w:hAnsi="Times New Roman" w:eastAsia="Times New Roman"/>
          <w:spacing w:val="19"/>
          <w:sz w:val="32"/>
          <w:szCs w:val="32"/>
        </w:rPr>
        <w:t xml:space="preserve"> </w:t>
      </w:r>
      <w:r>
        <w:rPr>
          <w:spacing w:val="2"/>
          <w:w w:val="99"/>
          <w:sz w:val="32"/>
          <w:szCs w:val="32"/>
        </w:rPr>
        <w:t>件，是</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01</w:t>
      </w:r>
      <w:r>
        <w:rPr>
          <w:rFonts w:ascii="Times New Roman" w:hAnsi="Times New Roman" w:eastAsia="Times New Roman"/>
          <w:w w:val="99"/>
          <w:sz w:val="32"/>
          <w:szCs w:val="32"/>
        </w:rPr>
        <w:t>5</w:t>
      </w:r>
      <w:r>
        <w:rPr>
          <w:rFonts w:ascii="Times New Roman" w:hAnsi="Times New Roman" w:eastAsia="Times New Roman"/>
          <w:spacing w:val="22"/>
          <w:sz w:val="32"/>
          <w:szCs w:val="32"/>
        </w:rPr>
        <w:t xml:space="preserve"> </w:t>
      </w:r>
      <w:r>
        <w:rPr>
          <w:spacing w:val="12"/>
          <w:w w:val="99"/>
          <w:sz w:val="32"/>
          <w:szCs w:val="32"/>
        </w:rPr>
        <w:t>年的</w:t>
      </w:r>
      <w:r>
        <w:rPr>
          <w:spacing w:val="-52"/>
          <w:sz w:val="32"/>
          <w:szCs w:val="32"/>
        </w:rPr>
        <w:t xml:space="preserve"> </w:t>
      </w:r>
      <w:r>
        <w:rPr>
          <w:rFonts w:ascii="Times New Roman" w:hAnsi="Times New Roman" w:eastAsia="Times New Roman"/>
          <w:w w:val="99"/>
          <w:sz w:val="32"/>
          <w:szCs w:val="32"/>
        </w:rPr>
        <w:t>4</w:t>
      </w:r>
      <w:r>
        <w:rPr>
          <w:rFonts w:ascii="Times New Roman" w:hAnsi="Times New Roman" w:eastAsia="Times New Roman"/>
          <w:spacing w:val="14"/>
          <w:sz w:val="32"/>
          <w:szCs w:val="32"/>
        </w:rPr>
        <w:t xml:space="preserve"> </w:t>
      </w:r>
      <w:r>
        <w:rPr>
          <w:spacing w:val="12"/>
          <w:w w:val="99"/>
          <w:sz w:val="32"/>
          <w:szCs w:val="32"/>
        </w:rPr>
        <w:t>倍，高于全国和全区平均水平，居全</w:t>
      </w:r>
      <w:r>
        <w:rPr>
          <w:spacing w:val="28"/>
          <w:w w:val="99"/>
          <w:sz w:val="32"/>
          <w:szCs w:val="32"/>
        </w:rPr>
        <w:t>区第二。</w:t>
      </w:r>
      <w:r>
        <w:rPr>
          <w:b/>
          <w:i/>
          <w:spacing w:val="29"/>
          <w:w w:val="99"/>
          <w:sz w:val="32"/>
          <w:szCs w:val="32"/>
        </w:rPr>
        <w:t>创新人才队伍不断壮大。</w:t>
      </w:r>
      <w:r>
        <w:rPr>
          <w:spacing w:val="23"/>
          <w:w w:val="99"/>
          <w:sz w:val="32"/>
          <w:szCs w:val="32"/>
        </w:rPr>
        <w:t>不断完善“</w:t>
      </w:r>
      <w:r>
        <w:rPr>
          <w:spacing w:val="-131"/>
          <w:sz w:val="32"/>
          <w:szCs w:val="32"/>
        </w:rPr>
        <w:t xml:space="preserve"> </w:t>
      </w:r>
      <w:r>
        <w:rPr>
          <w:rFonts w:ascii="Times New Roman" w:hAnsi="Times New Roman" w:eastAsia="Times New Roman"/>
          <w:spacing w:val="6"/>
          <w:w w:val="99"/>
          <w:sz w:val="32"/>
          <w:szCs w:val="32"/>
        </w:rPr>
        <w:t>1</w:t>
      </w:r>
      <w:r>
        <w:rPr>
          <w:rFonts w:ascii="Times New Roman" w:hAnsi="Times New Roman" w:eastAsia="Times New Roman"/>
          <w:spacing w:val="12"/>
          <w:w w:val="99"/>
          <w:sz w:val="32"/>
          <w:szCs w:val="32"/>
        </w:rPr>
        <w:t>+</w:t>
      </w:r>
      <w:r>
        <w:rPr>
          <w:rFonts w:ascii="Times New Roman" w:hAnsi="Times New Roman" w:eastAsia="Times New Roman"/>
          <w:spacing w:val="21"/>
          <w:w w:val="99"/>
          <w:sz w:val="32"/>
          <w:szCs w:val="32"/>
        </w:rPr>
        <w:t>N</w:t>
      </w:r>
      <w:r>
        <w:rPr>
          <w:w w:val="99"/>
          <w:sz w:val="32"/>
          <w:szCs w:val="32"/>
        </w:rPr>
        <w:t>”</w:t>
      </w:r>
      <w:r>
        <w:rPr>
          <w:spacing w:val="-132"/>
          <w:sz w:val="32"/>
          <w:szCs w:val="32"/>
        </w:rPr>
        <w:t xml:space="preserve"> </w:t>
      </w:r>
      <w:r>
        <w:rPr>
          <w:spacing w:val="15"/>
          <w:w w:val="99"/>
          <w:sz w:val="32"/>
          <w:szCs w:val="32"/>
        </w:rPr>
        <w:t>人才政</w:t>
      </w:r>
      <w:r>
        <w:rPr>
          <w:spacing w:val="23"/>
          <w:w w:val="99"/>
          <w:sz w:val="32"/>
          <w:szCs w:val="32"/>
        </w:rPr>
        <w:t>策体系，大力实施“本土人才回流”工程和“引凤创梦”行</w:t>
      </w:r>
      <w:r>
        <w:rPr>
          <w:spacing w:val="22"/>
          <w:w w:val="99"/>
          <w:sz w:val="32"/>
          <w:szCs w:val="32"/>
        </w:rPr>
        <w:t>动，首次引进国家“千人计划”人才，近</w:t>
      </w:r>
      <w:r>
        <w:rPr>
          <w:spacing w:val="-50"/>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w:t>
      </w:r>
      <w:r>
        <w:rPr>
          <w:rFonts w:ascii="Times New Roman" w:hAnsi="Times New Roman" w:eastAsia="Times New Roman"/>
          <w:w w:val="99"/>
          <w:sz w:val="32"/>
          <w:szCs w:val="32"/>
        </w:rPr>
        <w:t>0</w:t>
      </w:r>
      <w:r>
        <w:rPr>
          <w:rFonts w:ascii="Times New Roman" w:hAnsi="Times New Roman" w:eastAsia="Times New Roman"/>
          <w:spacing w:val="24"/>
          <w:sz w:val="32"/>
          <w:szCs w:val="32"/>
        </w:rPr>
        <w:t xml:space="preserve"> </w:t>
      </w:r>
      <w:r>
        <w:rPr>
          <w:spacing w:val="20"/>
          <w:w w:val="99"/>
          <w:sz w:val="32"/>
          <w:szCs w:val="32"/>
        </w:rPr>
        <w:t>名海内外优秀</w:t>
      </w:r>
    </w:p>
    <w:p w14:paraId="116ABB20">
      <w:pPr>
        <w:spacing w:line="328" w:lineRule="auto"/>
        <w:jc w:val="both"/>
        <w:sectPr>
          <w:pgSz w:w="11910" w:h="16840"/>
          <w:pgMar w:top="1780" w:right="1220" w:bottom="1380" w:left="1360" w:header="0" w:footer="1196" w:gutter="0"/>
          <w:cols w:space="720" w:num="1"/>
        </w:sectPr>
      </w:pPr>
    </w:p>
    <w:p w14:paraId="0497D167">
      <w:pPr>
        <w:spacing w:before="51"/>
        <w:ind w:left="113"/>
        <w:rPr>
          <w:sz w:val="32"/>
          <w:szCs w:val="32"/>
        </w:rPr>
      </w:pPr>
      <w:r>
        <w:rPr>
          <w:spacing w:val="15"/>
          <w:w w:val="95"/>
          <w:sz w:val="32"/>
          <w:szCs w:val="32"/>
        </w:rPr>
        <w:t>人才回区发展。目前，金凤区建档入库人才</w:t>
      </w:r>
      <w:r>
        <w:rPr>
          <w:spacing w:val="28"/>
          <w:w w:val="150"/>
          <w:sz w:val="32"/>
          <w:szCs w:val="32"/>
        </w:rPr>
        <w:t xml:space="preserve"> </w:t>
      </w:r>
      <w:r>
        <w:rPr>
          <w:rFonts w:ascii="Times New Roman" w:eastAsia="Times New Roman"/>
          <w:w w:val="95"/>
          <w:sz w:val="32"/>
          <w:szCs w:val="32"/>
        </w:rPr>
        <w:t>9161</w:t>
      </w:r>
      <w:r>
        <w:rPr>
          <w:rFonts w:ascii="Times New Roman" w:eastAsia="Times New Roman"/>
          <w:spacing w:val="47"/>
          <w:sz w:val="32"/>
          <w:szCs w:val="32"/>
        </w:rPr>
        <w:t xml:space="preserve">  </w:t>
      </w:r>
      <w:r>
        <w:rPr>
          <w:spacing w:val="10"/>
          <w:w w:val="95"/>
          <w:sz w:val="32"/>
          <w:szCs w:val="32"/>
        </w:rPr>
        <w:t>人，其中专</w:t>
      </w:r>
    </w:p>
    <w:p w14:paraId="4F491969">
      <w:pPr>
        <w:spacing w:before="151"/>
        <w:ind w:left="113"/>
        <w:rPr>
          <w:rFonts w:ascii="Times New Roman" w:eastAsia="Times New Roman"/>
          <w:sz w:val="32"/>
          <w:szCs w:val="32"/>
        </w:rPr>
      </w:pPr>
      <w:r>
        <w:rPr>
          <w:spacing w:val="16"/>
          <w:w w:val="95"/>
          <w:sz w:val="32"/>
          <w:szCs w:val="32"/>
        </w:rPr>
        <w:t>业技术人才</w:t>
      </w:r>
      <w:r>
        <w:rPr>
          <w:spacing w:val="23"/>
          <w:sz w:val="32"/>
          <w:szCs w:val="32"/>
        </w:rPr>
        <w:t xml:space="preserve"> </w:t>
      </w:r>
      <w:r>
        <w:rPr>
          <w:rFonts w:ascii="Times New Roman" w:eastAsia="Times New Roman"/>
          <w:w w:val="95"/>
          <w:sz w:val="32"/>
          <w:szCs w:val="32"/>
        </w:rPr>
        <w:t>1475</w:t>
      </w:r>
      <w:r>
        <w:rPr>
          <w:rFonts w:ascii="Times New Roman" w:eastAsia="Times New Roman"/>
          <w:spacing w:val="41"/>
          <w:w w:val="150"/>
          <w:sz w:val="32"/>
          <w:szCs w:val="32"/>
        </w:rPr>
        <w:t xml:space="preserve"> </w:t>
      </w:r>
      <w:r>
        <w:rPr>
          <w:spacing w:val="-6"/>
          <w:w w:val="95"/>
          <w:sz w:val="32"/>
          <w:szCs w:val="32"/>
        </w:rPr>
        <w:t>人、高技能人才</w:t>
      </w:r>
      <w:r>
        <w:rPr>
          <w:spacing w:val="20"/>
          <w:sz w:val="32"/>
          <w:szCs w:val="32"/>
        </w:rPr>
        <w:t xml:space="preserve"> </w:t>
      </w:r>
      <w:r>
        <w:rPr>
          <w:rFonts w:ascii="Times New Roman" w:eastAsia="Times New Roman"/>
          <w:w w:val="95"/>
          <w:sz w:val="32"/>
          <w:szCs w:val="32"/>
        </w:rPr>
        <w:t>2303</w:t>
      </w:r>
      <w:r>
        <w:rPr>
          <w:rFonts w:ascii="Times New Roman" w:eastAsia="Times New Roman"/>
          <w:spacing w:val="44"/>
          <w:w w:val="150"/>
          <w:sz w:val="32"/>
          <w:szCs w:val="32"/>
        </w:rPr>
        <w:t xml:space="preserve"> </w:t>
      </w:r>
      <w:r>
        <w:rPr>
          <w:spacing w:val="-3"/>
          <w:w w:val="95"/>
          <w:sz w:val="32"/>
          <w:szCs w:val="32"/>
        </w:rPr>
        <w:t>人、经营管理人才</w:t>
      </w:r>
      <w:r>
        <w:rPr>
          <w:spacing w:val="24"/>
          <w:sz w:val="32"/>
          <w:szCs w:val="32"/>
        </w:rPr>
        <w:t xml:space="preserve"> </w:t>
      </w:r>
      <w:r>
        <w:rPr>
          <w:rFonts w:ascii="Times New Roman" w:eastAsia="Times New Roman"/>
          <w:spacing w:val="-4"/>
          <w:w w:val="95"/>
          <w:sz w:val="32"/>
          <w:szCs w:val="32"/>
        </w:rPr>
        <w:t>4207</w:t>
      </w:r>
    </w:p>
    <w:p w14:paraId="4260A570">
      <w:pPr>
        <w:spacing w:before="150"/>
        <w:ind w:left="113"/>
        <w:rPr>
          <w:sz w:val="32"/>
          <w:szCs w:val="32"/>
        </w:rPr>
      </w:pPr>
      <w:r>
        <w:rPr>
          <w:spacing w:val="24"/>
          <w:sz w:val="32"/>
          <w:szCs w:val="32"/>
        </w:rPr>
        <w:t>人</w:t>
      </w:r>
      <w:r>
        <w:rPr>
          <w:spacing w:val="21"/>
          <w:sz w:val="32"/>
          <w:szCs w:val="32"/>
        </w:rPr>
        <w:t>、农</w:t>
      </w:r>
      <w:r>
        <w:rPr>
          <w:spacing w:val="5"/>
          <w:sz w:val="32"/>
          <w:szCs w:val="32"/>
        </w:rPr>
        <w:t xml:space="preserve">村实用人才 </w:t>
      </w:r>
      <w:r>
        <w:rPr>
          <w:rFonts w:ascii="Times New Roman" w:eastAsia="Times New Roman"/>
          <w:sz w:val="32"/>
          <w:szCs w:val="32"/>
        </w:rPr>
        <w:t>653</w:t>
      </w:r>
      <w:r>
        <w:rPr>
          <w:rFonts w:ascii="Times New Roman" w:eastAsia="Times New Roman"/>
          <w:spacing w:val="4"/>
          <w:sz w:val="32"/>
          <w:szCs w:val="32"/>
        </w:rPr>
        <w:t xml:space="preserve"> </w:t>
      </w:r>
      <w:r>
        <w:rPr>
          <w:spacing w:val="24"/>
          <w:sz w:val="32"/>
          <w:szCs w:val="32"/>
        </w:rPr>
        <w:t>人</w:t>
      </w:r>
      <w:r>
        <w:rPr>
          <w:spacing w:val="21"/>
          <w:sz w:val="32"/>
          <w:szCs w:val="32"/>
        </w:rPr>
        <w:t>、社</w:t>
      </w:r>
      <w:r>
        <w:rPr>
          <w:spacing w:val="-2"/>
          <w:sz w:val="32"/>
          <w:szCs w:val="32"/>
        </w:rPr>
        <w:t xml:space="preserve">工人才 </w:t>
      </w:r>
      <w:r>
        <w:rPr>
          <w:rFonts w:ascii="Times New Roman" w:eastAsia="Times New Roman"/>
          <w:sz w:val="32"/>
          <w:szCs w:val="32"/>
        </w:rPr>
        <w:t>523</w:t>
      </w:r>
      <w:r>
        <w:rPr>
          <w:rFonts w:ascii="Times New Roman" w:eastAsia="Times New Roman"/>
          <w:spacing w:val="14"/>
          <w:sz w:val="32"/>
          <w:szCs w:val="32"/>
        </w:rPr>
        <w:t xml:space="preserve"> </w:t>
      </w:r>
      <w:r>
        <w:rPr>
          <w:spacing w:val="5"/>
          <w:sz w:val="32"/>
          <w:szCs w:val="32"/>
        </w:rPr>
        <w:t>人。</w:t>
      </w:r>
    </w:p>
    <w:p w14:paraId="10B7A0CB">
      <w:pPr>
        <w:spacing w:before="149"/>
        <w:ind w:left="797"/>
        <w:rPr>
          <w:rFonts w:ascii="黑体" w:eastAsia="黑体"/>
          <w:sz w:val="32"/>
          <w:szCs w:val="32"/>
        </w:rPr>
      </w:pPr>
      <w:r>
        <w:rPr>
          <w:rFonts w:ascii="黑体" w:eastAsia="黑体"/>
          <w:spacing w:val="19"/>
          <w:w w:val="95"/>
          <w:sz w:val="32"/>
          <w:szCs w:val="32"/>
        </w:rPr>
        <w:t>四、城市功能持续完善，品质环境不断优化</w:t>
      </w:r>
    </w:p>
    <w:p w14:paraId="6FA03CD2">
      <w:pPr>
        <w:spacing w:before="151" w:line="328" w:lineRule="auto"/>
        <w:ind w:left="113" w:right="100" w:firstLine="684"/>
        <w:rPr>
          <w:sz w:val="32"/>
          <w:szCs w:val="32"/>
        </w:rPr>
      </w:pPr>
      <w:r>
        <w:rPr>
          <w:spacing w:val="24"/>
          <w:w w:val="99"/>
          <w:sz w:val="32"/>
          <w:szCs w:val="32"/>
        </w:rPr>
        <w:t>着眼打造首府城市客厅名片，</w:t>
      </w:r>
      <w:r>
        <w:rPr>
          <w:b/>
          <w:i/>
          <w:spacing w:val="26"/>
          <w:w w:val="99"/>
          <w:sz w:val="32"/>
          <w:szCs w:val="32"/>
        </w:rPr>
        <w:t>城市规模不断拓展。</w:t>
      </w:r>
      <w:r>
        <w:rPr>
          <w:spacing w:val="13"/>
          <w:w w:val="99"/>
          <w:sz w:val="32"/>
          <w:szCs w:val="32"/>
        </w:rPr>
        <w:t>深入</w:t>
      </w:r>
      <w:r>
        <w:rPr>
          <w:spacing w:val="23"/>
          <w:w w:val="99"/>
          <w:sz w:val="32"/>
          <w:szCs w:val="32"/>
        </w:rPr>
        <w:t>落实“北拓—中优—南提”的空间发展策略，北部以阅海湾中央商务区、丝路经济园为总揽，重点集聚高端服务与城市功能，推动产城融合；中部重点优化调整街道功能，加快成立贺兰山中路街道办事处，发展现代服务业，完善城市功能体系；南部推进良田镇“美丽乡村”建设，建成区面积扩展</w:t>
      </w:r>
      <w:r>
        <w:rPr>
          <w:spacing w:val="12"/>
          <w:w w:val="99"/>
          <w:sz w:val="32"/>
          <w:szCs w:val="32"/>
        </w:rPr>
        <w:t>至约</w:t>
      </w:r>
      <w:r>
        <w:rPr>
          <w:spacing w:val="-52"/>
          <w:sz w:val="32"/>
          <w:szCs w:val="32"/>
        </w:rPr>
        <w:t xml:space="preserve"> </w:t>
      </w:r>
      <w:r>
        <w:rPr>
          <w:rFonts w:ascii="Times New Roman" w:hAnsi="Times New Roman" w:eastAsia="Times New Roman"/>
          <w:spacing w:val="6"/>
          <w:w w:val="99"/>
          <w:sz w:val="32"/>
          <w:szCs w:val="32"/>
        </w:rPr>
        <w:t>7</w:t>
      </w:r>
      <w:r>
        <w:rPr>
          <w:rFonts w:ascii="Times New Roman" w:hAnsi="Times New Roman" w:eastAsia="Times New Roman"/>
          <w:w w:val="99"/>
          <w:sz w:val="32"/>
          <w:szCs w:val="32"/>
        </w:rPr>
        <w:t>5</w:t>
      </w:r>
      <w:r>
        <w:rPr>
          <w:rFonts w:ascii="Times New Roman" w:hAnsi="Times New Roman" w:eastAsia="Times New Roman"/>
          <w:spacing w:val="22"/>
          <w:sz w:val="32"/>
          <w:szCs w:val="32"/>
        </w:rPr>
        <w:t xml:space="preserve"> </w:t>
      </w:r>
      <w:r>
        <w:rPr>
          <w:spacing w:val="14"/>
          <w:w w:val="99"/>
          <w:sz w:val="32"/>
          <w:szCs w:val="32"/>
        </w:rPr>
        <w:t>平方公里，城镇化率达到</w:t>
      </w:r>
      <w:r>
        <w:rPr>
          <w:spacing w:val="-52"/>
          <w:sz w:val="32"/>
          <w:szCs w:val="32"/>
        </w:rPr>
        <w:t xml:space="preserve"> </w:t>
      </w:r>
      <w:r>
        <w:rPr>
          <w:rFonts w:ascii="Times New Roman" w:hAnsi="Times New Roman" w:eastAsia="Times New Roman"/>
          <w:spacing w:val="8"/>
          <w:w w:val="99"/>
          <w:sz w:val="32"/>
          <w:szCs w:val="32"/>
        </w:rPr>
        <w:t>8</w:t>
      </w:r>
      <w:r>
        <w:rPr>
          <w:rFonts w:ascii="Times New Roman" w:hAnsi="Times New Roman" w:eastAsia="Times New Roman"/>
          <w:spacing w:val="10"/>
          <w:w w:val="99"/>
          <w:sz w:val="32"/>
          <w:szCs w:val="32"/>
        </w:rPr>
        <w:t>7</w:t>
      </w:r>
      <w:r>
        <w:rPr>
          <w:rFonts w:ascii="Times New Roman" w:hAnsi="Times New Roman" w:eastAsia="Times New Roman"/>
          <w:spacing w:val="15"/>
          <w:w w:val="99"/>
          <w:sz w:val="32"/>
          <w:szCs w:val="32"/>
        </w:rPr>
        <w:t>%</w:t>
      </w:r>
      <w:r>
        <w:rPr>
          <w:spacing w:val="8"/>
          <w:w w:val="99"/>
          <w:sz w:val="32"/>
          <w:szCs w:val="32"/>
        </w:rPr>
        <w:t>，居全区第二。</w:t>
      </w:r>
      <w:r>
        <w:rPr>
          <w:b/>
          <w:i/>
          <w:spacing w:val="16"/>
          <w:w w:val="99"/>
          <w:sz w:val="32"/>
          <w:szCs w:val="32"/>
        </w:rPr>
        <w:t>城乡面</w:t>
      </w:r>
      <w:r>
        <w:rPr>
          <w:b/>
          <w:i/>
          <w:spacing w:val="19"/>
          <w:w w:val="99"/>
          <w:sz w:val="32"/>
          <w:szCs w:val="32"/>
        </w:rPr>
        <w:t>貌不断改善。</w:t>
      </w:r>
      <w:r>
        <w:rPr>
          <w:spacing w:val="11"/>
          <w:w w:val="99"/>
          <w:sz w:val="32"/>
          <w:szCs w:val="32"/>
        </w:rPr>
        <w:t>完善城区“八横四纵”南部路网和“三横三纵”</w:t>
      </w:r>
      <w:r>
        <w:rPr>
          <w:spacing w:val="23"/>
          <w:w w:val="99"/>
          <w:sz w:val="32"/>
          <w:szCs w:val="32"/>
        </w:rPr>
        <w:t>北部路网建设，沈阳路快速通道、哈尔滨路建成通车。配合区市实施银西高铁、海绵城市、地下管廊等项目，进一步完善城市功能。积极开展特色亮化行动，团结路、阅海湾中央商务区、人民广场景观亮化闪耀夜空，绚丽夜景五上央视，成为市民网红打卡地。启动老旧小区整治和背街小巷集中维</w:t>
      </w:r>
      <w:r>
        <w:rPr>
          <w:spacing w:val="9"/>
          <w:w w:val="99"/>
          <w:sz w:val="32"/>
          <w:szCs w:val="32"/>
        </w:rPr>
        <w:t>修改造，完成</w:t>
      </w:r>
      <w:r>
        <w:rPr>
          <w:spacing w:val="-52"/>
          <w:sz w:val="32"/>
          <w:szCs w:val="32"/>
        </w:rPr>
        <w:t xml:space="preserve"> </w:t>
      </w:r>
      <w:r>
        <w:rPr>
          <w:rFonts w:ascii="Times New Roman" w:hAnsi="Times New Roman" w:eastAsia="Times New Roman"/>
          <w:spacing w:val="8"/>
          <w:w w:val="99"/>
          <w:sz w:val="32"/>
          <w:szCs w:val="32"/>
        </w:rPr>
        <w:t>5</w:t>
      </w:r>
      <w:r>
        <w:rPr>
          <w:rFonts w:ascii="Times New Roman" w:hAnsi="Times New Roman" w:eastAsia="Times New Roman"/>
          <w:w w:val="99"/>
          <w:sz w:val="32"/>
          <w:szCs w:val="32"/>
        </w:rPr>
        <w:t>8</w:t>
      </w:r>
      <w:r>
        <w:rPr>
          <w:rFonts w:ascii="Times New Roman" w:hAnsi="Times New Roman" w:eastAsia="Times New Roman"/>
          <w:spacing w:val="19"/>
          <w:sz w:val="32"/>
          <w:szCs w:val="32"/>
        </w:rPr>
        <w:t xml:space="preserve"> </w:t>
      </w:r>
      <w:r>
        <w:rPr>
          <w:spacing w:val="18"/>
          <w:w w:val="99"/>
          <w:sz w:val="32"/>
          <w:szCs w:val="32"/>
        </w:rPr>
        <w:t>个老旧小区改造和</w:t>
      </w:r>
      <w:r>
        <w:rPr>
          <w:spacing w:val="-52"/>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2</w:t>
      </w:r>
      <w:r>
        <w:rPr>
          <w:rFonts w:ascii="Times New Roman" w:hAnsi="Times New Roman" w:eastAsia="Times New Roman"/>
          <w:w w:val="99"/>
          <w:sz w:val="32"/>
          <w:szCs w:val="32"/>
        </w:rPr>
        <w:t>3</w:t>
      </w:r>
      <w:r>
        <w:rPr>
          <w:rFonts w:ascii="Times New Roman" w:hAnsi="Times New Roman" w:eastAsia="Times New Roman"/>
          <w:spacing w:val="22"/>
          <w:sz w:val="32"/>
          <w:szCs w:val="32"/>
        </w:rPr>
        <w:t xml:space="preserve"> </w:t>
      </w:r>
      <w:r>
        <w:rPr>
          <w:spacing w:val="12"/>
          <w:w w:val="99"/>
          <w:sz w:val="32"/>
          <w:szCs w:val="32"/>
        </w:rPr>
        <w:t>条背街小巷维修，建</w:t>
      </w:r>
    </w:p>
    <w:p w14:paraId="714A4384">
      <w:pPr>
        <w:spacing w:line="385" w:lineRule="exact"/>
        <w:ind w:left="113"/>
        <w:jc w:val="both"/>
        <w:rPr>
          <w:sz w:val="32"/>
          <w:szCs w:val="32"/>
        </w:rPr>
      </w:pPr>
      <w:r>
        <w:rPr>
          <w:spacing w:val="16"/>
          <w:w w:val="95"/>
          <w:sz w:val="32"/>
          <w:szCs w:val="32"/>
        </w:rPr>
        <w:t>设安置区</w:t>
      </w:r>
      <w:r>
        <w:rPr>
          <w:spacing w:val="15"/>
          <w:sz w:val="32"/>
          <w:szCs w:val="32"/>
        </w:rPr>
        <w:t xml:space="preserve"> </w:t>
      </w:r>
      <w:r>
        <w:rPr>
          <w:w w:val="95"/>
          <w:sz w:val="32"/>
          <w:szCs w:val="32"/>
        </w:rPr>
        <w:t>17</w:t>
      </w:r>
      <w:r>
        <w:rPr>
          <w:spacing w:val="14"/>
          <w:w w:val="95"/>
          <w:sz w:val="32"/>
          <w:szCs w:val="32"/>
        </w:rPr>
        <w:t xml:space="preserve"> 个，惠及群众近</w:t>
      </w:r>
      <w:r>
        <w:rPr>
          <w:spacing w:val="19"/>
          <w:sz w:val="32"/>
          <w:szCs w:val="32"/>
        </w:rPr>
        <w:t xml:space="preserve"> </w:t>
      </w:r>
      <w:r>
        <w:rPr>
          <w:w w:val="95"/>
          <w:sz w:val="32"/>
          <w:szCs w:val="32"/>
        </w:rPr>
        <w:t>4</w:t>
      </w:r>
      <w:r>
        <w:rPr>
          <w:spacing w:val="14"/>
          <w:w w:val="95"/>
          <w:sz w:val="32"/>
          <w:szCs w:val="32"/>
        </w:rPr>
        <w:t xml:space="preserve"> 万户。成功入选第二批全国新</w:t>
      </w:r>
    </w:p>
    <w:p w14:paraId="490D0947">
      <w:pPr>
        <w:spacing w:before="152" w:line="328" w:lineRule="auto"/>
        <w:ind w:left="113" w:right="273"/>
        <w:jc w:val="both"/>
        <w:rPr>
          <w:sz w:val="32"/>
          <w:szCs w:val="32"/>
        </w:rPr>
      </w:pPr>
      <w:r>
        <w:rPr>
          <w:spacing w:val="17"/>
          <w:w w:val="99"/>
          <w:sz w:val="32"/>
          <w:szCs w:val="32"/>
        </w:rPr>
        <w:t>时代文明实践中心建设试点县</w:t>
      </w:r>
      <w:r>
        <w:rPr>
          <w:spacing w:val="21"/>
          <w:w w:val="99"/>
          <w:sz w:val="32"/>
          <w:szCs w:val="32"/>
        </w:rPr>
        <w:t>（</w:t>
      </w:r>
      <w:r>
        <w:rPr>
          <w:spacing w:val="24"/>
          <w:w w:val="99"/>
          <w:sz w:val="32"/>
          <w:szCs w:val="32"/>
        </w:rPr>
        <w:t>区</w:t>
      </w:r>
      <w:r>
        <w:rPr>
          <w:spacing w:val="-149"/>
          <w:w w:val="99"/>
          <w:sz w:val="32"/>
          <w:szCs w:val="32"/>
        </w:rPr>
        <w:t>）</w:t>
      </w:r>
      <w:r>
        <w:rPr>
          <w:spacing w:val="13"/>
          <w:w w:val="99"/>
          <w:sz w:val="32"/>
          <w:szCs w:val="32"/>
        </w:rPr>
        <w:t>，打赢整改创建全国文明</w:t>
      </w:r>
      <w:r>
        <w:rPr>
          <w:spacing w:val="21"/>
          <w:w w:val="99"/>
          <w:sz w:val="32"/>
          <w:szCs w:val="32"/>
        </w:rPr>
        <w:t>城市攻坚战</w:t>
      </w:r>
      <w:r>
        <w:rPr>
          <w:spacing w:val="3"/>
          <w:w w:val="99"/>
          <w:sz w:val="32"/>
          <w:szCs w:val="32"/>
        </w:rPr>
        <w:t>。“美丽乡村”建设有序推进，实施了良田镇兴源</w:t>
      </w:r>
      <w:r>
        <w:rPr>
          <w:spacing w:val="23"/>
          <w:w w:val="99"/>
          <w:sz w:val="32"/>
          <w:szCs w:val="32"/>
        </w:rPr>
        <w:t>安置区和丰登镇润丰村移民安置区建设，润丰村获评“全国</w:t>
      </w:r>
      <w:r>
        <w:rPr>
          <w:spacing w:val="3"/>
          <w:w w:val="99"/>
          <w:sz w:val="32"/>
          <w:szCs w:val="32"/>
        </w:rPr>
        <w:t>乡村治理示范村”，园子村获批“中国美丽休闲乡村”；完成</w:t>
      </w:r>
      <w:r>
        <w:rPr>
          <w:spacing w:val="23"/>
          <w:w w:val="99"/>
          <w:sz w:val="32"/>
          <w:szCs w:val="32"/>
        </w:rPr>
        <w:t>银兴公路改扩建工程、典农河旅游路、润丰村配套公路等总</w:t>
      </w:r>
    </w:p>
    <w:p w14:paraId="1AF77826">
      <w:pPr>
        <w:spacing w:line="328" w:lineRule="auto"/>
        <w:jc w:val="both"/>
        <w:sectPr>
          <w:pgSz w:w="11910" w:h="16840"/>
          <w:pgMar w:top="1760" w:right="1220" w:bottom="1380" w:left="1360" w:header="0" w:footer="1196" w:gutter="0"/>
          <w:cols w:space="720" w:num="1"/>
        </w:sectPr>
      </w:pPr>
    </w:p>
    <w:p w14:paraId="1FACA314">
      <w:pPr>
        <w:spacing w:before="51" w:line="328" w:lineRule="auto"/>
        <w:ind w:left="113" w:right="100"/>
        <w:rPr>
          <w:sz w:val="32"/>
          <w:szCs w:val="32"/>
        </w:rPr>
      </w:pPr>
      <w:r>
        <w:rPr>
          <w:w w:val="99"/>
          <w:sz w:val="32"/>
          <w:szCs w:val="32"/>
        </w:rPr>
        <w:t>长</w:t>
      </w:r>
      <w:r>
        <w:rPr>
          <w:spacing w:val="-52"/>
          <w:sz w:val="32"/>
          <w:szCs w:val="32"/>
        </w:rPr>
        <w:t xml:space="preserve"> </w:t>
      </w:r>
      <w:r>
        <w:rPr>
          <w:rFonts w:ascii="Times New Roman" w:hAnsi="Times New Roman" w:eastAsia="Times New Roman"/>
          <w:spacing w:val="8"/>
          <w:w w:val="99"/>
          <w:sz w:val="32"/>
          <w:szCs w:val="32"/>
        </w:rPr>
        <w:t>3</w:t>
      </w:r>
      <w:r>
        <w:rPr>
          <w:rFonts w:ascii="Times New Roman" w:hAnsi="Times New Roman" w:eastAsia="Times New Roman"/>
          <w:w w:val="99"/>
          <w:sz w:val="32"/>
          <w:szCs w:val="32"/>
        </w:rPr>
        <w:t>1</w:t>
      </w:r>
      <w:r>
        <w:rPr>
          <w:rFonts w:ascii="Times New Roman" w:hAnsi="Times New Roman" w:eastAsia="Times New Roman"/>
          <w:spacing w:val="19"/>
          <w:sz w:val="32"/>
          <w:szCs w:val="32"/>
        </w:rPr>
        <w:t xml:space="preserve"> </w:t>
      </w:r>
      <w:r>
        <w:rPr>
          <w:spacing w:val="12"/>
          <w:w w:val="99"/>
          <w:sz w:val="32"/>
          <w:szCs w:val="32"/>
        </w:rPr>
        <w:t>公里的农村公路建设，银兴公路桑园段荣获宁夏“最美</w:t>
      </w:r>
      <w:r>
        <w:rPr>
          <w:spacing w:val="3"/>
          <w:w w:val="99"/>
          <w:sz w:val="32"/>
          <w:szCs w:val="32"/>
        </w:rPr>
        <w:t>农村路”；建成园子中心村、润丰村、和丰村、金星村污水处</w:t>
      </w:r>
      <w:r>
        <w:rPr>
          <w:spacing w:val="13"/>
          <w:w w:val="99"/>
          <w:sz w:val="32"/>
          <w:szCs w:val="32"/>
        </w:rPr>
        <w:t>理站</w:t>
      </w:r>
      <w:r>
        <w:rPr>
          <w:spacing w:val="-50"/>
          <w:sz w:val="32"/>
          <w:szCs w:val="32"/>
        </w:rPr>
        <w:t xml:space="preserve"> </w:t>
      </w:r>
      <w:r>
        <w:rPr>
          <w:rFonts w:ascii="Times New Roman" w:hAnsi="Times New Roman" w:eastAsia="Times New Roman"/>
          <w:w w:val="99"/>
          <w:sz w:val="32"/>
          <w:szCs w:val="32"/>
        </w:rPr>
        <w:t>4</w:t>
      </w:r>
      <w:r>
        <w:rPr>
          <w:rFonts w:ascii="Times New Roman" w:hAnsi="Times New Roman" w:eastAsia="Times New Roman"/>
          <w:spacing w:val="19"/>
          <w:sz w:val="32"/>
          <w:szCs w:val="32"/>
        </w:rPr>
        <w:t xml:space="preserve"> </w:t>
      </w:r>
      <w:r>
        <w:rPr>
          <w:spacing w:val="22"/>
          <w:w w:val="99"/>
          <w:sz w:val="32"/>
          <w:szCs w:val="32"/>
        </w:rPr>
        <w:t>座，启动实施了良田镇给排水基础设施建设项目，全</w:t>
      </w:r>
      <w:r>
        <w:rPr>
          <w:spacing w:val="15"/>
          <w:w w:val="99"/>
          <w:sz w:val="32"/>
          <w:szCs w:val="32"/>
        </w:rPr>
        <w:t>面实现金凤区农村自来水供水、污水处理率</w:t>
      </w:r>
      <w:r>
        <w:rPr>
          <w:spacing w:val="-52"/>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00</w:t>
      </w:r>
      <w:r>
        <w:rPr>
          <w:rFonts w:ascii="Times New Roman" w:hAnsi="Times New Roman" w:eastAsia="Times New Roman"/>
          <w:spacing w:val="17"/>
          <w:w w:val="99"/>
          <w:sz w:val="32"/>
          <w:szCs w:val="32"/>
        </w:rPr>
        <w:t>%</w:t>
      </w:r>
      <w:r>
        <w:rPr>
          <w:spacing w:val="5"/>
          <w:w w:val="99"/>
          <w:sz w:val="32"/>
          <w:szCs w:val="32"/>
        </w:rPr>
        <w:t>的目标。</w:t>
      </w:r>
      <w:r>
        <w:rPr>
          <w:b/>
          <w:i/>
          <w:w w:val="99"/>
          <w:sz w:val="32"/>
          <w:szCs w:val="32"/>
        </w:rPr>
        <w:t>城</w:t>
      </w:r>
      <w:r>
        <w:rPr>
          <w:b/>
          <w:i/>
          <w:spacing w:val="18"/>
          <w:w w:val="99"/>
          <w:sz w:val="32"/>
          <w:szCs w:val="32"/>
        </w:rPr>
        <w:t>市管理更趋精细。</w:t>
      </w:r>
      <w:r>
        <w:rPr>
          <w:spacing w:val="13"/>
          <w:w w:val="99"/>
          <w:sz w:val="32"/>
          <w:szCs w:val="32"/>
        </w:rPr>
        <w:t>智慧城市建设加快推进，打通“智慧金凤”</w:t>
      </w:r>
      <w:r>
        <w:rPr>
          <w:spacing w:val="22"/>
          <w:w w:val="99"/>
          <w:sz w:val="32"/>
          <w:szCs w:val="32"/>
        </w:rPr>
        <w:t>社会治理综合平台与银川市</w:t>
      </w:r>
      <w:r>
        <w:rPr>
          <w:spacing w:val="-50"/>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234</w:t>
      </w:r>
      <w:r>
        <w:rPr>
          <w:rFonts w:ascii="Times New Roman" w:hAnsi="Times New Roman" w:eastAsia="Times New Roman"/>
          <w:w w:val="99"/>
          <w:sz w:val="32"/>
          <w:szCs w:val="32"/>
        </w:rPr>
        <w:t>5</w:t>
      </w:r>
      <w:r>
        <w:rPr>
          <w:rFonts w:ascii="Times New Roman" w:hAnsi="Times New Roman" w:eastAsia="Times New Roman"/>
          <w:spacing w:val="24"/>
          <w:sz w:val="32"/>
          <w:szCs w:val="32"/>
        </w:rPr>
        <w:t xml:space="preserve"> </w:t>
      </w:r>
      <w:r>
        <w:rPr>
          <w:spacing w:val="21"/>
          <w:w w:val="99"/>
          <w:sz w:val="32"/>
          <w:szCs w:val="32"/>
        </w:rPr>
        <w:t>便民服务平台、智慧社区</w:t>
      </w:r>
      <w:r>
        <w:rPr>
          <w:spacing w:val="10"/>
          <w:w w:val="99"/>
          <w:sz w:val="32"/>
          <w:szCs w:val="32"/>
        </w:rPr>
        <w:t>等资源，公安城管联防、街面网格员巡管、社区网格员巡防、</w:t>
      </w:r>
      <w:r>
        <w:rPr>
          <w:spacing w:val="20"/>
          <w:w w:val="99"/>
          <w:sz w:val="32"/>
          <w:szCs w:val="32"/>
        </w:rPr>
        <w:t xml:space="preserve">综合指挥中心远程监控实现联动作业，平台累计接收案件约 </w:t>
      </w:r>
      <w:r>
        <w:rPr>
          <w:rFonts w:ascii="Times New Roman" w:hAnsi="Times New Roman" w:eastAsia="Times New Roman"/>
          <w:spacing w:val="8"/>
          <w:w w:val="99"/>
          <w:sz w:val="32"/>
          <w:szCs w:val="32"/>
        </w:rPr>
        <w:t>1</w:t>
      </w:r>
      <w:r>
        <w:rPr>
          <w:rFonts w:ascii="Times New Roman" w:hAnsi="Times New Roman" w:eastAsia="Times New Roman"/>
          <w:spacing w:val="15"/>
          <w:w w:val="99"/>
          <w:sz w:val="32"/>
          <w:szCs w:val="32"/>
        </w:rPr>
        <w:t>4</w:t>
      </w:r>
      <w:r>
        <w:rPr>
          <w:rFonts w:ascii="Times New Roman" w:hAnsi="Times New Roman" w:eastAsia="Times New Roman"/>
          <w:w w:val="99"/>
          <w:sz w:val="32"/>
          <w:szCs w:val="32"/>
        </w:rPr>
        <w:t>1</w:t>
      </w:r>
      <w:r>
        <w:rPr>
          <w:rFonts w:ascii="Times New Roman" w:hAnsi="Times New Roman" w:eastAsia="Times New Roman"/>
          <w:spacing w:val="14"/>
          <w:sz w:val="32"/>
          <w:szCs w:val="32"/>
        </w:rPr>
        <w:t xml:space="preserve"> </w:t>
      </w:r>
      <w:r>
        <w:rPr>
          <w:spacing w:val="3"/>
          <w:w w:val="99"/>
          <w:sz w:val="32"/>
          <w:szCs w:val="32"/>
        </w:rPr>
        <w:t>万件，办结率达</w:t>
      </w:r>
      <w:r>
        <w:rPr>
          <w:spacing w:val="-52"/>
          <w:sz w:val="32"/>
          <w:szCs w:val="32"/>
        </w:rPr>
        <w:t xml:space="preserve"> </w:t>
      </w:r>
      <w:r>
        <w:rPr>
          <w:rFonts w:ascii="Times New Roman" w:hAnsi="Times New Roman" w:eastAsia="Times New Roman"/>
          <w:spacing w:val="6"/>
          <w:w w:val="99"/>
          <w:sz w:val="32"/>
          <w:szCs w:val="32"/>
        </w:rPr>
        <w:t>9</w:t>
      </w:r>
      <w:r>
        <w:rPr>
          <w:rFonts w:ascii="Times New Roman" w:hAnsi="Times New Roman" w:eastAsia="Times New Roman"/>
          <w:spacing w:val="13"/>
          <w:w w:val="99"/>
          <w:sz w:val="32"/>
          <w:szCs w:val="32"/>
        </w:rPr>
        <w:t>9</w:t>
      </w:r>
      <w:r>
        <w:rPr>
          <w:rFonts w:ascii="Times New Roman" w:hAnsi="Times New Roman" w:eastAsia="Times New Roman"/>
          <w:spacing w:val="9"/>
          <w:w w:val="99"/>
          <w:sz w:val="32"/>
          <w:szCs w:val="32"/>
        </w:rPr>
        <w:t>.</w:t>
      </w:r>
      <w:r>
        <w:rPr>
          <w:rFonts w:ascii="Times New Roman" w:hAnsi="Times New Roman" w:eastAsia="Times New Roman"/>
          <w:spacing w:val="13"/>
          <w:w w:val="99"/>
          <w:sz w:val="32"/>
          <w:szCs w:val="32"/>
        </w:rPr>
        <w:t>9</w:t>
      </w:r>
      <w:r>
        <w:rPr>
          <w:rFonts w:ascii="Times New Roman" w:hAnsi="Times New Roman" w:eastAsia="Times New Roman"/>
          <w:spacing w:val="15"/>
          <w:w w:val="99"/>
          <w:sz w:val="32"/>
          <w:szCs w:val="32"/>
        </w:rPr>
        <w:t>%</w:t>
      </w:r>
      <w:r>
        <w:rPr>
          <w:spacing w:val="5"/>
          <w:w w:val="99"/>
          <w:sz w:val="32"/>
          <w:szCs w:val="32"/>
        </w:rPr>
        <w:t>。智慧金凤社会综合治理“大联动”</w:t>
      </w:r>
      <w:r>
        <w:rPr>
          <w:spacing w:val="19"/>
          <w:w w:val="99"/>
          <w:sz w:val="32"/>
          <w:szCs w:val="32"/>
        </w:rPr>
        <w:t>模式不断完善并在全市推广。</w:t>
      </w:r>
    </w:p>
    <w:p w14:paraId="3CF90611">
      <w:pPr>
        <w:spacing w:line="395" w:lineRule="exact"/>
        <w:ind w:left="797"/>
        <w:rPr>
          <w:rFonts w:ascii="黑体" w:eastAsia="黑体"/>
          <w:sz w:val="32"/>
          <w:szCs w:val="32"/>
        </w:rPr>
      </w:pPr>
      <w:r>
        <w:rPr>
          <w:rFonts w:ascii="黑体" w:eastAsia="黑体"/>
          <w:spacing w:val="19"/>
          <w:w w:val="95"/>
          <w:sz w:val="32"/>
          <w:szCs w:val="32"/>
        </w:rPr>
        <w:t>五、生态建设成效明显，绿色发展持续推进</w:t>
      </w:r>
    </w:p>
    <w:p w14:paraId="386A7ED0">
      <w:pPr>
        <w:spacing w:before="149" w:line="328" w:lineRule="auto"/>
        <w:ind w:left="113" w:right="273" w:firstLine="684"/>
        <w:jc w:val="both"/>
        <w:rPr>
          <w:sz w:val="32"/>
          <w:szCs w:val="32"/>
        </w:rPr>
      </w:pPr>
      <w:r>
        <w:rPr>
          <w:spacing w:val="24"/>
          <w:w w:val="99"/>
          <w:sz w:val="32"/>
          <w:szCs w:val="32"/>
        </w:rPr>
        <w:t>深入落实生态立区战略，</w:t>
      </w:r>
      <w:r>
        <w:rPr>
          <w:b/>
          <w:i/>
          <w:spacing w:val="26"/>
          <w:w w:val="99"/>
          <w:sz w:val="32"/>
          <w:szCs w:val="32"/>
        </w:rPr>
        <w:t>城市生态绿化持续升级。</w:t>
      </w:r>
      <w:r>
        <w:rPr>
          <w:spacing w:val="12"/>
          <w:w w:val="99"/>
          <w:sz w:val="32"/>
          <w:szCs w:val="32"/>
        </w:rPr>
        <w:t>实施</w:t>
      </w:r>
      <w:r>
        <w:rPr>
          <w:spacing w:val="23"/>
          <w:w w:val="99"/>
          <w:sz w:val="32"/>
          <w:szCs w:val="32"/>
        </w:rPr>
        <w:t>市民休闲公园建设，建成了毓秀公园等城市生态公园；扎实</w:t>
      </w:r>
      <w:r>
        <w:rPr>
          <w:spacing w:val="22"/>
          <w:w w:val="99"/>
          <w:sz w:val="32"/>
          <w:szCs w:val="32"/>
        </w:rPr>
        <w:t>推进城市道路绿化建设，绿化面积达</w:t>
      </w:r>
      <w:r>
        <w:rPr>
          <w:spacing w:val="-50"/>
          <w:sz w:val="32"/>
          <w:szCs w:val="32"/>
        </w:rPr>
        <w:t xml:space="preserve"> </w:t>
      </w:r>
      <w:r>
        <w:rPr>
          <w:rFonts w:ascii="Times New Roman" w:eastAsia="Times New Roman"/>
          <w:w w:val="99"/>
          <w:sz w:val="32"/>
          <w:szCs w:val="32"/>
        </w:rPr>
        <w:t>6</w:t>
      </w:r>
      <w:r>
        <w:rPr>
          <w:rFonts w:ascii="Times New Roman" w:eastAsia="Times New Roman"/>
          <w:spacing w:val="19"/>
          <w:sz w:val="32"/>
          <w:szCs w:val="32"/>
        </w:rPr>
        <w:t xml:space="preserve"> </w:t>
      </w:r>
      <w:r>
        <w:rPr>
          <w:spacing w:val="21"/>
          <w:w w:val="99"/>
          <w:sz w:val="32"/>
          <w:szCs w:val="32"/>
        </w:rPr>
        <w:t>万平方米；建设小微</w:t>
      </w:r>
    </w:p>
    <w:p w14:paraId="688FB3B9">
      <w:pPr>
        <w:spacing w:line="328" w:lineRule="auto"/>
        <w:ind w:left="113" w:right="100"/>
        <w:rPr>
          <w:sz w:val="32"/>
          <w:szCs w:val="32"/>
        </w:rPr>
      </w:pPr>
      <w:r>
        <w:rPr>
          <w:spacing w:val="-5"/>
          <w:sz w:val="32"/>
          <w:szCs w:val="32"/>
        </w:rPr>
        <w:t xml:space="preserve">公园 </w:t>
      </w:r>
      <w:r>
        <w:rPr>
          <w:rFonts w:ascii="Times New Roman" w:hAnsi="Times New Roman" w:eastAsia="Times New Roman"/>
          <w:sz w:val="32"/>
          <w:szCs w:val="32"/>
        </w:rPr>
        <w:t xml:space="preserve">17 </w:t>
      </w:r>
      <w:r>
        <w:rPr>
          <w:spacing w:val="-4"/>
          <w:sz w:val="32"/>
          <w:szCs w:val="32"/>
        </w:rPr>
        <w:t xml:space="preserve">处，湖泊湿地面积达 </w:t>
      </w:r>
      <w:r>
        <w:rPr>
          <w:rFonts w:ascii="Times New Roman" w:hAnsi="Times New Roman" w:eastAsia="Times New Roman"/>
          <w:sz w:val="32"/>
          <w:szCs w:val="32"/>
        </w:rPr>
        <w:t xml:space="preserve">5.6 </w:t>
      </w:r>
      <w:r>
        <w:rPr>
          <w:spacing w:val="-1"/>
          <w:sz w:val="32"/>
          <w:szCs w:val="32"/>
        </w:rPr>
        <w:t xml:space="preserve">万亩；累计完成造林面积 </w:t>
      </w:r>
      <w:r>
        <w:rPr>
          <w:rFonts w:ascii="Times New Roman" w:hAnsi="Times New Roman" w:eastAsia="Times New Roman"/>
          <w:sz w:val="32"/>
          <w:szCs w:val="32"/>
        </w:rPr>
        <w:t>4000</w:t>
      </w:r>
      <w:r>
        <w:rPr>
          <w:spacing w:val="13"/>
          <w:sz w:val="32"/>
          <w:szCs w:val="32"/>
        </w:rPr>
        <w:t>余亩，城市“</w:t>
      </w:r>
      <w:r>
        <w:rPr>
          <w:spacing w:val="24"/>
          <w:sz w:val="32"/>
          <w:szCs w:val="32"/>
        </w:rPr>
        <w:t>三绿</w:t>
      </w:r>
      <w:r>
        <w:rPr>
          <w:spacing w:val="4"/>
          <w:sz w:val="32"/>
          <w:szCs w:val="32"/>
        </w:rPr>
        <w:t xml:space="preserve">”指标增至 </w:t>
      </w:r>
      <w:r>
        <w:rPr>
          <w:rFonts w:ascii="Times New Roman" w:hAnsi="Times New Roman" w:eastAsia="Times New Roman"/>
          <w:spacing w:val="11"/>
          <w:sz w:val="32"/>
          <w:szCs w:val="32"/>
        </w:rPr>
        <w:t>42.3%</w:t>
      </w:r>
      <w:r>
        <w:rPr>
          <w:sz w:val="32"/>
          <w:szCs w:val="32"/>
        </w:rPr>
        <w:t>、</w:t>
      </w:r>
      <w:r>
        <w:rPr>
          <w:rFonts w:ascii="Times New Roman" w:hAnsi="Times New Roman" w:eastAsia="Times New Roman"/>
          <w:spacing w:val="11"/>
          <w:sz w:val="32"/>
          <w:szCs w:val="32"/>
        </w:rPr>
        <w:t>43.2%</w:t>
      </w:r>
      <w:r>
        <w:rPr>
          <w:sz w:val="32"/>
          <w:szCs w:val="32"/>
        </w:rPr>
        <w:t>、</w:t>
      </w:r>
      <w:r>
        <w:rPr>
          <w:rFonts w:ascii="Times New Roman" w:hAnsi="Times New Roman" w:eastAsia="Times New Roman"/>
          <w:sz w:val="32"/>
          <w:szCs w:val="32"/>
        </w:rPr>
        <w:t>20.04</w:t>
      </w:r>
      <w:r>
        <w:rPr>
          <w:rFonts w:ascii="Times New Roman" w:hAnsi="Times New Roman" w:eastAsia="Times New Roman"/>
          <w:spacing w:val="24"/>
          <w:sz w:val="32"/>
          <w:szCs w:val="32"/>
        </w:rPr>
        <w:t xml:space="preserve"> </w:t>
      </w:r>
      <w:r>
        <w:rPr>
          <w:spacing w:val="16"/>
          <w:sz w:val="32"/>
          <w:szCs w:val="32"/>
        </w:rPr>
        <w:t>平方米，</w:t>
      </w:r>
      <w:r>
        <w:rPr>
          <w:spacing w:val="24"/>
          <w:sz w:val="32"/>
          <w:szCs w:val="32"/>
        </w:rPr>
        <w:t>居全市前列。</w:t>
      </w:r>
      <w:r>
        <w:rPr>
          <w:b/>
          <w:i/>
          <w:spacing w:val="24"/>
          <w:sz w:val="32"/>
          <w:szCs w:val="32"/>
        </w:rPr>
        <w:t>环境治理成效显著。</w:t>
      </w:r>
      <w:r>
        <w:rPr>
          <w:spacing w:val="21"/>
          <w:sz w:val="32"/>
          <w:szCs w:val="32"/>
        </w:rPr>
        <w:t>持续推进蓝天、碧水、净</w:t>
      </w:r>
      <w:r>
        <w:rPr>
          <w:spacing w:val="3"/>
          <w:sz w:val="32"/>
          <w:szCs w:val="32"/>
        </w:rPr>
        <w:t>土“三大行动”，主要污染物排放总量目标完成自治区、银川</w:t>
      </w:r>
      <w:r>
        <w:rPr>
          <w:spacing w:val="11"/>
          <w:sz w:val="32"/>
          <w:szCs w:val="32"/>
        </w:rPr>
        <w:t xml:space="preserve">市下达任务，优良天数比例由 </w:t>
      </w:r>
      <w:r>
        <w:rPr>
          <w:rFonts w:ascii="Times New Roman" w:hAnsi="Times New Roman" w:eastAsia="Times New Roman"/>
          <w:spacing w:val="10"/>
          <w:sz w:val="32"/>
          <w:szCs w:val="32"/>
        </w:rPr>
        <w:t>71.6%</w:t>
      </w:r>
      <w:r>
        <w:rPr>
          <w:spacing w:val="10"/>
          <w:sz w:val="32"/>
          <w:szCs w:val="32"/>
        </w:rPr>
        <w:t xml:space="preserve">提高至 </w:t>
      </w:r>
      <w:r>
        <w:rPr>
          <w:rFonts w:ascii="Times New Roman" w:hAnsi="Times New Roman" w:eastAsia="Times New Roman"/>
          <w:spacing w:val="10"/>
          <w:sz w:val="32"/>
          <w:szCs w:val="32"/>
        </w:rPr>
        <w:t>81.4%</w:t>
      </w:r>
      <w:r>
        <w:rPr>
          <w:spacing w:val="2"/>
          <w:sz w:val="32"/>
          <w:szCs w:val="32"/>
        </w:rPr>
        <w:t>。常态化落</w:t>
      </w:r>
      <w:r>
        <w:rPr>
          <w:spacing w:val="24"/>
          <w:sz w:val="32"/>
          <w:szCs w:val="32"/>
        </w:rPr>
        <w:t>实河（湖）长制，实现了三级河（湖）长全覆盖</w:t>
      </w:r>
      <w:r>
        <w:rPr>
          <w:spacing w:val="19"/>
          <w:sz w:val="32"/>
          <w:szCs w:val="32"/>
        </w:rPr>
        <w:t>，持续强化</w:t>
      </w:r>
      <w:r>
        <w:rPr>
          <w:spacing w:val="21"/>
          <w:sz w:val="32"/>
          <w:szCs w:val="32"/>
        </w:rPr>
        <w:t>水源地保护，四污、</w:t>
      </w:r>
      <w:r>
        <w:rPr>
          <w:spacing w:val="24"/>
          <w:sz w:val="32"/>
          <w:szCs w:val="32"/>
        </w:rPr>
        <w:t>六</w:t>
      </w:r>
      <w:r>
        <w:rPr>
          <w:spacing w:val="21"/>
          <w:sz w:val="32"/>
          <w:szCs w:val="32"/>
        </w:rPr>
        <w:t>污、</w:t>
      </w:r>
      <w:r>
        <w:rPr>
          <w:spacing w:val="15"/>
          <w:sz w:val="32"/>
          <w:szCs w:val="32"/>
        </w:rPr>
        <w:t xml:space="preserve">七污均达到一级 </w:t>
      </w:r>
      <w:r>
        <w:rPr>
          <w:rFonts w:ascii="Times New Roman" w:hAnsi="Times New Roman" w:eastAsia="Times New Roman"/>
          <w:sz w:val="32"/>
          <w:szCs w:val="32"/>
        </w:rPr>
        <w:t>A</w:t>
      </w:r>
      <w:r>
        <w:rPr>
          <w:rFonts w:ascii="Times New Roman" w:hAnsi="Times New Roman" w:eastAsia="Times New Roman"/>
          <w:spacing w:val="24"/>
          <w:sz w:val="32"/>
          <w:szCs w:val="32"/>
        </w:rPr>
        <w:t xml:space="preserve"> </w:t>
      </w:r>
      <w:r>
        <w:rPr>
          <w:spacing w:val="22"/>
          <w:sz w:val="32"/>
          <w:szCs w:val="32"/>
        </w:rPr>
        <w:t>排放</w:t>
      </w:r>
      <w:r>
        <w:rPr>
          <w:spacing w:val="24"/>
          <w:sz w:val="32"/>
          <w:szCs w:val="32"/>
        </w:rPr>
        <w:t>标准</w:t>
      </w:r>
      <w:r>
        <w:rPr>
          <w:spacing w:val="10"/>
          <w:sz w:val="32"/>
          <w:szCs w:val="32"/>
        </w:rPr>
        <w:t>，南</w:t>
      </w:r>
      <w:r>
        <w:rPr>
          <w:spacing w:val="24"/>
          <w:sz w:val="32"/>
          <w:szCs w:val="32"/>
        </w:rPr>
        <w:t>郊水源地、阅海水质达Ⅲ类标准，典农河水质达（</w:t>
      </w:r>
      <w:r>
        <w:rPr>
          <w:spacing w:val="17"/>
          <w:sz w:val="32"/>
          <w:szCs w:val="32"/>
        </w:rPr>
        <w:t>亲水大街</w:t>
      </w:r>
      <w:r>
        <w:rPr>
          <w:spacing w:val="22"/>
          <w:sz w:val="32"/>
          <w:szCs w:val="32"/>
        </w:rPr>
        <w:t>桥段面</w:t>
      </w:r>
      <w:r>
        <w:rPr>
          <w:sz w:val="32"/>
          <w:szCs w:val="32"/>
        </w:rPr>
        <w:t>）</w:t>
      </w:r>
      <w:r>
        <w:rPr>
          <w:spacing w:val="12"/>
          <w:sz w:val="32"/>
          <w:szCs w:val="32"/>
        </w:rPr>
        <w:t xml:space="preserve">Ⅱ类标准，贺兰水源地水质 </w:t>
      </w:r>
      <w:r>
        <w:rPr>
          <w:rFonts w:ascii="Times New Roman" w:hAnsi="Times New Roman" w:eastAsia="Times New Roman"/>
          <w:spacing w:val="10"/>
          <w:sz w:val="32"/>
          <w:szCs w:val="32"/>
        </w:rPr>
        <w:t>100%</w:t>
      </w:r>
      <w:r>
        <w:rPr>
          <w:spacing w:val="15"/>
          <w:sz w:val="32"/>
          <w:szCs w:val="32"/>
        </w:rPr>
        <w:t>达标，污水集中处</w:t>
      </w:r>
      <w:r>
        <w:rPr>
          <w:spacing w:val="14"/>
          <w:sz w:val="32"/>
          <w:szCs w:val="32"/>
        </w:rPr>
        <w:t xml:space="preserve">理指数为 </w:t>
      </w:r>
      <w:r>
        <w:rPr>
          <w:rFonts w:ascii="Times New Roman" w:hAnsi="Times New Roman" w:eastAsia="Times New Roman"/>
          <w:spacing w:val="11"/>
          <w:sz w:val="32"/>
          <w:szCs w:val="32"/>
        </w:rPr>
        <w:t>100%</w:t>
      </w:r>
      <w:r>
        <w:rPr>
          <w:spacing w:val="-62"/>
          <w:sz w:val="32"/>
          <w:szCs w:val="32"/>
        </w:rPr>
        <w:t>。“</w:t>
      </w:r>
      <w:r>
        <w:rPr>
          <w:spacing w:val="24"/>
          <w:sz w:val="32"/>
          <w:szCs w:val="32"/>
        </w:rPr>
        <w:t>三禁三减”深</w:t>
      </w:r>
      <w:r>
        <w:rPr>
          <w:spacing w:val="26"/>
          <w:sz w:val="32"/>
          <w:szCs w:val="32"/>
        </w:rPr>
        <w:t>入</w:t>
      </w:r>
      <w:r>
        <w:rPr>
          <w:spacing w:val="24"/>
          <w:sz w:val="32"/>
          <w:szCs w:val="32"/>
        </w:rPr>
        <w:t>开展</w:t>
      </w:r>
      <w:r>
        <w:rPr>
          <w:spacing w:val="25"/>
          <w:sz w:val="32"/>
          <w:szCs w:val="32"/>
        </w:rPr>
        <w:t>，农</w:t>
      </w:r>
      <w:r>
        <w:rPr>
          <w:spacing w:val="24"/>
          <w:sz w:val="32"/>
          <w:szCs w:val="32"/>
        </w:rPr>
        <w:t>业面</w:t>
      </w:r>
      <w:r>
        <w:rPr>
          <w:spacing w:val="26"/>
          <w:sz w:val="32"/>
          <w:szCs w:val="32"/>
        </w:rPr>
        <w:t>源</w:t>
      </w:r>
      <w:r>
        <w:rPr>
          <w:spacing w:val="24"/>
          <w:sz w:val="32"/>
          <w:szCs w:val="32"/>
        </w:rPr>
        <w:t>污染</w:t>
      </w:r>
      <w:r>
        <w:rPr>
          <w:spacing w:val="13"/>
          <w:sz w:val="32"/>
          <w:szCs w:val="32"/>
        </w:rPr>
        <w:t>有效</w:t>
      </w:r>
    </w:p>
    <w:p w14:paraId="6CF4F741">
      <w:pPr>
        <w:spacing w:line="328" w:lineRule="auto"/>
        <w:sectPr>
          <w:pgSz w:w="11910" w:h="16840"/>
          <w:pgMar w:top="1760" w:right="1220" w:bottom="1380" w:left="1360" w:header="0" w:footer="1196" w:gutter="0"/>
          <w:cols w:space="720" w:num="1"/>
        </w:sectPr>
      </w:pPr>
    </w:p>
    <w:p w14:paraId="3DD4964C">
      <w:pPr>
        <w:spacing w:before="51" w:line="328" w:lineRule="auto"/>
        <w:ind w:left="113" w:right="273"/>
        <w:jc w:val="both"/>
        <w:rPr>
          <w:sz w:val="32"/>
          <w:szCs w:val="32"/>
        </w:rPr>
      </w:pPr>
      <w:r>
        <w:rPr>
          <w:spacing w:val="13"/>
          <w:w w:val="99"/>
          <w:sz w:val="32"/>
          <w:szCs w:val="32"/>
        </w:rPr>
        <w:t>控制，规模化养殖场粪污设施配套率达到</w:t>
      </w:r>
      <w:r>
        <w:rPr>
          <w:spacing w:val="-52"/>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00</w:t>
      </w:r>
      <w:r>
        <w:rPr>
          <w:rFonts w:ascii="Times New Roman" w:hAnsi="Times New Roman" w:eastAsia="Times New Roman"/>
          <w:spacing w:val="17"/>
          <w:w w:val="99"/>
          <w:sz w:val="32"/>
          <w:szCs w:val="32"/>
        </w:rPr>
        <w:t>%</w:t>
      </w:r>
      <w:r>
        <w:rPr>
          <w:spacing w:val="7"/>
          <w:w w:val="99"/>
          <w:sz w:val="32"/>
          <w:szCs w:val="32"/>
        </w:rPr>
        <w:t>、资源化利用</w:t>
      </w:r>
      <w:r>
        <w:rPr>
          <w:spacing w:val="15"/>
          <w:w w:val="99"/>
          <w:sz w:val="32"/>
          <w:szCs w:val="32"/>
        </w:rPr>
        <w:t>率达到</w:t>
      </w:r>
      <w:r>
        <w:rPr>
          <w:spacing w:val="-52"/>
          <w:sz w:val="32"/>
          <w:szCs w:val="32"/>
        </w:rPr>
        <w:t xml:space="preserve"> </w:t>
      </w:r>
      <w:r>
        <w:rPr>
          <w:rFonts w:ascii="Times New Roman" w:hAnsi="Times New Roman" w:eastAsia="Times New Roman"/>
          <w:spacing w:val="8"/>
          <w:w w:val="99"/>
          <w:sz w:val="32"/>
          <w:szCs w:val="32"/>
        </w:rPr>
        <w:t>9</w:t>
      </w:r>
      <w:r>
        <w:rPr>
          <w:rFonts w:ascii="Times New Roman" w:hAnsi="Times New Roman" w:eastAsia="Times New Roman"/>
          <w:spacing w:val="10"/>
          <w:w w:val="99"/>
          <w:sz w:val="32"/>
          <w:szCs w:val="32"/>
        </w:rPr>
        <w:t>6</w:t>
      </w:r>
      <w:r>
        <w:rPr>
          <w:rFonts w:ascii="Times New Roman" w:hAnsi="Times New Roman" w:eastAsia="Times New Roman"/>
          <w:spacing w:val="17"/>
          <w:w w:val="99"/>
          <w:sz w:val="32"/>
          <w:szCs w:val="32"/>
        </w:rPr>
        <w:t>%</w:t>
      </w:r>
      <w:r>
        <w:rPr>
          <w:spacing w:val="22"/>
          <w:w w:val="99"/>
          <w:sz w:val="32"/>
          <w:szCs w:val="32"/>
        </w:rPr>
        <w:t>，固体废弃物处置利用率稳定保持在</w:t>
      </w:r>
      <w:r>
        <w:rPr>
          <w:spacing w:val="-52"/>
          <w:sz w:val="32"/>
          <w:szCs w:val="32"/>
        </w:rPr>
        <w:t xml:space="preserve"> </w:t>
      </w:r>
      <w:r>
        <w:rPr>
          <w:rFonts w:ascii="Times New Roman" w:hAnsi="Times New Roman" w:eastAsia="Times New Roman"/>
          <w:spacing w:val="8"/>
          <w:w w:val="99"/>
          <w:sz w:val="32"/>
          <w:szCs w:val="32"/>
        </w:rPr>
        <w:t>9</w:t>
      </w:r>
      <w:r>
        <w:rPr>
          <w:rFonts w:ascii="Times New Roman" w:hAnsi="Times New Roman" w:eastAsia="Times New Roman"/>
          <w:spacing w:val="10"/>
          <w:w w:val="99"/>
          <w:sz w:val="32"/>
          <w:szCs w:val="32"/>
        </w:rPr>
        <w:t>0</w:t>
      </w:r>
      <w:r>
        <w:rPr>
          <w:rFonts w:ascii="Times New Roman" w:hAnsi="Times New Roman" w:eastAsia="Times New Roman"/>
          <w:spacing w:val="17"/>
          <w:w w:val="99"/>
          <w:sz w:val="32"/>
          <w:szCs w:val="32"/>
        </w:rPr>
        <w:t>%</w:t>
      </w:r>
      <w:r>
        <w:rPr>
          <w:spacing w:val="16"/>
          <w:w w:val="99"/>
          <w:sz w:val="32"/>
          <w:szCs w:val="32"/>
        </w:rPr>
        <w:t>以上，</w:t>
      </w:r>
      <w:r>
        <w:rPr>
          <w:spacing w:val="19"/>
          <w:w w:val="99"/>
          <w:sz w:val="32"/>
          <w:szCs w:val="32"/>
        </w:rPr>
        <w:t>危险废物安全处置率达到</w:t>
      </w:r>
      <w:r>
        <w:rPr>
          <w:spacing w:val="-55"/>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00</w:t>
      </w:r>
      <w:r>
        <w:rPr>
          <w:rFonts w:ascii="Times New Roman" w:hAnsi="Times New Roman" w:eastAsia="Times New Roman"/>
          <w:spacing w:val="17"/>
          <w:w w:val="99"/>
          <w:sz w:val="32"/>
          <w:szCs w:val="32"/>
        </w:rPr>
        <w:t>%</w:t>
      </w:r>
      <w:r>
        <w:rPr>
          <w:spacing w:val="2"/>
          <w:w w:val="99"/>
          <w:sz w:val="32"/>
          <w:szCs w:val="32"/>
        </w:rPr>
        <w:t>，</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5</w:t>
      </w:r>
      <w:r>
        <w:rPr>
          <w:rFonts w:ascii="Times New Roman" w:hAnsi="Times New Roman" w:eastAsia="Times New Roman"/>
          <w:w w:val="99"/>
          <w:sz w:val="32"/>
          <w:szCs w:val="32"/>
        </w:rPr>
        <w:t>9</w:t>
      </w:r>
      <w:r>
        <w:rPr>
          <w:rFonts w:ascii="Times New Roman" w:hAnsi="Times New Roman" w:eastAsia="Times New Roman"/>
          <w:spacing w:val="22"/>
          <w:sz w:val="32"/>
          <w:szCs w:val="32"/>
        </w:rPr>
        <w:t xml:space="preserve"> </w:t>
      </w:r>
      <w:r>
        <w:rPr>
          <w:spacing w:val="16"/>
          <w:w w:val="99"/>
          <w:sz w:val="32"/>
          <w:szCs w:val="32"/>
        </w:rPr>
        <w:t>件中央环保督察“回头</w:t>
      </w:r>
      <w:r>
        <w:rPr>
          <w:spacing w:val="23"/>
          <w:w w:val="99"/>
          <w:sz w:val="32"/>
          <w:szCs w:val="32"/>
        </w:rPr>
        <w:t>看”转办件在全市率先办结销号。深入实施“大棚房”问题</w:t>
      </w:r>
      <w:r>
        <w:rPr>
          <w:spacing w:val="22"/>
          <w:w w:val="99"/>
          <w:sz w:val="32"/>
          <w:szCs w:val="32"/>
        </w:rPr>
        <w:t>专项清理整治行动，排查确定“大棚房”问题</w:t>
      </w:r>
      <w:r>
        <w:rPr>
          <w:spacing w:val="-50"/>
          <w:sz w:val="32"/>
          <w:szCs w:val="32"/>
        </w:rPr>
        <w:t xml:space="preserve"> </w:t>
      </w:r>
      <w:r>
        <w:rPr>
          <w:rFonts w:ascii="Times New Roman" w:hAnsi="Times New Roman" w:eastAsia="Times New Roman"/>
          <w:spacing w:val="8"/>
          <w:w w:val="99"/>
          <w:sz w:val="32"/>
          <w:szCs w:val="32"/>
        </w:rPr>
        <w:t>7</w:t>
      </w:r>
      <w:r>
        <w:rPr>
          <w:rFonts w:ascii="Times New Roman" w:hAnsi="Times New Roman" w:eastAsia="Times New Roman"/>
          <w:spacing w:val="10"/>
          <w:w w:val="99"/>
          <w:sz w:val="32"/>
          <w:szCs w:val="32"/>
        </w:rPr>
        <w:t>9</w:t>
      </w:r>
      <w:r>
        <w:rPr>
          <w:rFonts w:ascii="Times New Roman" w:hAnsi="Times New Roman" w:eastAsia="Times New Roman"/>
          <w:w w:val="99"/>
          <w:sz w:val="32"/>
          <w:szCs w:val="32"/>
        </w:rPr>
        <w:t>9</w:t>
      </w:r>
      <w:r>
        <w:rPr>
          <w:rFonts w:ascii="Times New Roman" w:hAnsi="Times New Roman" w:eastAsia="Times New Roman"/>
          <w:spacing w:val="22"/>
          <w:sz w:val="32"/>
          <w:szCs w:val="32"/>
        </w:rPr>
        <w:t xml:space="preserve"> </w:t>
      </w:r>
      <w:r>
        <w:rPr>
          <w:spacing w:val="18"/>
          <w:w w:val="99"/>
          <w:sz w:val="32"/>
          <w:szCs w:val="32"/>
        </w:rPr>
        <w:t>个，清理</w:t>
      </w:r>
    </w:p>
    <w:p w14:paraId="1F96AC9D">
      <w:pPr>
        <w:spacing w:line="402" w:lineRule="exact"/>
        <w:ind w:left="113"/>
        <w:jc w:val="both"/>
        <w:rPr>
          <w:sz w:val="32"/>
          <w:szCs w:val="32"/>
        </w:rPr>
      </w:pPr>
      <w:r>
        <w:rPr>
          <w:spacing w:val="10"/>
          <w:sz w:val="32"/>
          <w:szCs w:val="32"/>
        </w:rPr>
        <w:t xml:space="preserve">整治违法占用土地 </w:t>
      </w:r>
      <w:r>
        <w:rPr>
          <w:rFonts w:ascii="Times New Roman" w:eastAsia="Times New Roman"/>
          <w:sz w:val="32"/>
          <w:szCs w:val="32"/>
        </w:rPr>
        <w:t>274</w:t>
      </w:r>
      <w:r>
        <w:rPr>
          <w:rFonts w:ascii="Times New Roman" w:eastAsia="Times New Roman"/>
          <w:spacing w:val="4"/>
          <w:sz w:val="32"/>
          <w:szCs w:val="32"/>
        </w:rPr>
        <w:t xml:space="preserve"> </w:t>
      </w:r>
      <w:r>
        <w:rPr>
          <w:spacing w:val="5"/>
          <w:sz w:val="32"/>
          <w:szCs w:val="32"/>
        </w:rPr>
        <w:t>亩。</w:t>
      </w:r>
    </w:p>
    <w:p w14:paraId="7268D60E">
      <w:pPr>
        <w:spacing w:before="149"/>
        <w:ind w:left="797"/>
        <w:rPr>
          <w:rFonts w:ascii="黑体" w:eastAsia="黑体"/>
          <w:sz w:val="32"/>
          <w:szCs w:val="32"/>
        </w:rPr>
      </w:pPr>
      <w:r>
        <w:rPr>
          <w:rFonts w:ascii="黑体" w:eastAsia="黑体"/>
          <w:spacing w:val="19"/>
          <w:w w:val="95"/>
          <w:sz w:val="32"/>
          <w:szCs w:val="32"/>
        </w:rPr>
        <w:t>六、改革开放深入推进，营商环境逐步改善</w:t>
      </w:r>
    </w:p>
    <w:p w14:paraId="3AE8BAD1">
      <w:pPr>
        <w:spacing w:before="151" w:line="328" w:lineRule="auto"/>
        <w:ind w:left="113" w:right="273" w:firstLine="684"/>
        <w:jc w:val="both"/>
        <w:rPr>
          <w:sz w:val="32"/>
          <w:szCs w:val="32"/>
        </w:rPr>
      </w:pPr>
      <w:r>
        <w:rPr>
          <w:spacing w:val="23"/>
          <w:w w:val="99"/>
          <w:sz w:val="32"/>
          <w:szCs w:val="32"/>
        </w:rPr>
        <w:t>坚持深化改革开放和优化营商环境，加快效率变革，激</w:t>
      </w:r>
      <w:r>
        <w:rPr>
          <w:spacing w:val="24"/>
          <w:w w:val="99"/>
          <w:sz w:val="32"/>
          <w:szCs w:val="32"/>
        </w:rPr>
        <w:t>发市场主体活力。</w:t>
      </w:r>
      <w:r>
        <w:rPr>
          <w:b/>
          <w:i/>
          <w:spacing w:val="25"/>
          <w:w w:val="99"/>
          <w:sz w:val="32"/>
          <w:szCs w:val="32"/>
        </w:rPr>
        <w:t>改革开放统筹推进。</w:t>
      </w:r>
      <w:r>
        <w:rPr>
          <w:spacing w:val="21"/>
          <w:w w:val="99"/>
          <w:sz w:val="32"/>
          <w:szCs w:val="32"/>
        </w:rPr>
        <w:t>机构改革全面完成，</w:t>
      </w:r>
      <w:r>
        <w:rPr>
          <w:spacing w:val="23"/>
          <w:w w:val="99"/>
          <w:sz w:val="32"/>
          <w:szCs w:val="32"/>
        </w:rPr>
        <w:t>建立“一核三联五治五化”社区治理新模式。综合执法改革</w:t>
      </w:r>
      <w:r>
        <w:rPr>
          <w:spacing w:val="22"/>
          <w:w w:val="99"/>
          <w:sz w:val="32"/>
          <w:szCs w:val="32"/>
        </w:rPr>
        <w:t>有序推进，承接银川市行政执法职权</w:t>
      </w:r>
      <w:r>
        <w:rPr>
          <w:spacing w:val="-50"/>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4</w:t>
      </w:r>
      <w:r>
        <w:rPr>
          <w:rFonts w:ascii="Times New Roman" w:hAnsi="Times New Roman" w:eastAsia="Times New Roman"/>
          <w:w w:val="99"/>
          <w:sz w:val="32"/>
          <w:szCs w:val="32"/>
        </w:rPr>
        <w:t>8</w:t>
      </w:r>
      <w:r>
        <w:rPr>
          <w:rFonts w:ascii="Times New Roman" w:hAnsi="Times New Roman" w:eastAsia="Times New Roman"/>
          <w:spacing w:val="24"/>
          <w:sz w:val="32"/>
          <w:szCs w:val="32"/>
        </w:rPr>
        <w:t xml:space="preserve"> </w:t>
      </w:r>
      <w:r>
        <w:rPr>
          <w:spacing w:val="21"/>
          <w:w w:val="99"/>
          <w:sz w:val="32"/>
          <w:szCs w:val="32"/>
        </w:rPr>
        <w:t>项，整合本级执法</w:t>
      </w:r>
    </w:p>
    <w:p w14:paraId="0D53B4C7">
      <w:pPr>
        <w:spacing w:line="402" w:lineRule="exact"/>
        <w:ind w:left="113"/>
        <w:jc w:val="both"/>
        <w:rPr>
          <w:sz w:val="32"/>
          <w:szCs w:val="32"/>
        </w:rPr>
      </w:pPr>
      <w:r>
        <w:rPr>
          <w:spacing w:val="12"/>
          <w:w w:val="95"/>
          <w:sz w:val="32"/>
          <w:szCs w:val="32"/>
        </w:rPr>
        <w:t>事项</w:t>
      </w:r>
      <w:r>
        <w:rPr>
          <w:spacing w:val="35"/>
          <w:w w:val="150"/>
          <w:sz w:val="32"/>
          <w:szCs w:val="32"/>
        </w:rPr>
        <w:t xml:space="preserve"> </w:t>
      </w:r>
      <w:r>
        <w:rPr>
          <w:rFonts w:ascii="Times New Roman" w:hAnsi="Times New Roman" w:eastAsia="Times New Roman"/>
          <w:w w:val="95"/>
          <w:sz w:val="32"/>
          <w:szCs w:val="32"/>
        </w:rPr>
        <w:t>510</w:t>
      </w:r>
      <w:r>
        <w:rPr>
          <w:rFonts w:ascii="Times New Roman" w:hAnsi="Times New Roman" w:eastAsia="Times New Roman"/>
          <w:spacing w:val="46"/>
          <w:sz w:val="32"/>
          <w:szCs w:val="32"/>
        </w:rPr>
        <w:t xml:space="preserve">  </w:t>
      </w:r>
      <w:r>
        <w:rPr>
          <w:spacing w:val="-46"/>
          <w:w w:val="95"/>
          <w:sz w:val="32"/>
          <w:szCs w:val="32"/>
        </w:rPr>
        <w:t>项，“</w:t>
      </w:r>
      <w:r>
        <w:rPr>
          <w:spacing w:val="24"/>
          <w:w w:val="95"/>
          <w:sz w:val="32"/>
          <w:szCs w:val="32"/>
        </w:rPr>
        <w:t>智</w:t>
      </w:r>
      <w:r>
        <w:rPr>
          <w:spacing w:val="14"/>
          <w:w w:val="95"/>
          <w:sz w:val="32"/>
          <w:szCs w:val="32"/>
        </w:rPr>
        <w:t>慧金凤”社会治理综合平台启动运行。全面</w:t>
      </w:r>
    </w:p>
    <w:p w14:paraId="5F4AE964">
      <w:pPr>
        <w:spacing w:before="150" w:line="328" w:lineRule="auto"/>
        <w:ind w:left="113" w:right="100"/>
        <w:rPr>
          <w:sz w:val="32"/>
          <w:szCs w:val="32"/>
        </w:rPr>
      </w:pPr>
      <w:r>
        <w:rPr>
          <w:spacing w:val="4"/>
          <w:sz w:val="32"/>
          <w:szCs w:val="32"/>
        </w:rPr>
        <w:t xml:space="preserve">完成 </w:t>
      </w:r>
      <w:r>
        <w:rPr>
          <w:rFonts w:ascii="Times New Roman" w:hAnsi="Times New Roman" w:eastAsia="Times New Roman"/>
          <w:sz w:val="32"/>
          <w:szCs w:val="32"/>
        </w:rPr>
        <w:t>28</w:t>
      </w:r>
      <w:r>
        <w:rPr>
          <w:rFonts w:ascii="Times New Roman" w:hAnsi="Times New Roman" w:eastAsia="Times New Roman"/>
          <w:spacing w:val="26"/>
          <w:sz w:val="32"/>
          <w:szCs w:val="32"/>
        </w:rPr>
        <w:t xml:space="preserve"> </w:t>
      </w:r>
      <w:r>
        <w:rPr>
          <w:spacing w:val="25"/>
          <w:sz w:val="32"/>
          <w:szCs w:val="32"/>
        </w:rPr>
        <w:t>个村</w:t>
      </w:r>
      <w:r>
        <w:rPr>
          <w:spacing w:val="26"/>
          <w:sz w:val="32"/>
          <w:szCs w:val="32"/>
        </w:rPr>
        <w:t>集体</w:t>
      </w:r>
      <w:r>
        <w:rPr>
          <w:spacing w:val="24"/>
          <w:sz w:val="32"/>
          <w:szCs w:val="32"/>
        </w:rPr>
        <w:t>经</w:t>
      </w:r>
      <w:r>
        <w:rPr>
          <w:spacing w:val="26"/>
          <w:sz w:val="32"/>
          <w:szCs w:val="32"/>
        </w:rPr>
        <w:t>济组</w:t>
      </w:r>
      <w:r>
        <w:rPr>
          <w:spacing w:val="24"/>
          <w:sz w:val="32"/>
          <w:szCs w:val="32"/>
        </w:rPr>
        <w:t>织</w:t>
      </w:r>
      <w:r>
        <w:rPr>
          <w:spacing w:val="26"/>
          <w:sz w:val="32"/>
          <w:szCs w:val="32"/>
        </w:rPr>
        <w:t>股改</w:t>
      </w:r>
      <w:r>
        <w:rPr>
          <w:spacing w:val="24"/>
          <w:sz w:val="32"/>
          <w:szCs w:val="32"/>
        </w:rPr>
        <w:t>，</w:t>
      </w:r>
      <w:r>
        <w:rPr>
          <w:spacing w:val="26"/>
          <w:sz w:val="32"/>
          <w:szCs w:val="32"/>
        </w:rPr>
        <w:t>挂牌成</w:t>
      </w:r>
      <w:r>
        <w:rPr>
          <w:spacing w:val="-7"/>
          <w:sz w:val="32"/>
          <w:szCs w:val="32"/>
        </w:rPr>
        <w:t xml:space="preserve">立 </w:t>
      </w:r>
      <w:r>
        <w:rPr>
          <w:rFonts w:ascii="Times New Roman" w:hAnsi="Times New Roman" w:eastAsia="Times New Roman"/>
          <w:sz w:val="32"/>
          <w:szCs w:val="32"/>
        </w:rPr>
        <w:t>18</w:t>
      </w:r>
      <w:r>
        <w:rPr>
          <w:rFonts w:ascii="Times New Roman" w:hAnsi="Times New Roman" w:eastAsia="Times New Roman"/>
          <w:spacing w:val="26"/>
          <w:sz w:val="32"/>
          <w:szCs w:val="32"/>
        </w:rPr>
        <w:t xml:space="preserve"> </w:t>
      </w:r>
      <w:r>
        <w:rPr>
          <w:spacing w:val="25"/>
          <w:sz w:val="32"/>
          <w:szCs w:val="32"/>
        </w:rPr>
        <w:t>个村</w:t>
      </w:r>
      <w:r>
        <w:rPr>
          <w:spacing w:val="26"/>
          <w:sz w:val="32"/>
          <w:szCs w:val="32"/>
        </w:rPr>
        <w:t>股份</w:t>
      </w:r>
      <w:r>
        <w:rPr>
          <w:spacing w:val="12"/>
          <w:sz w:val="32"/>
          <w:szCs w:val="32"/>
        </w:rPr>
        <w:t>经济</w:t>
      </w:r>
      <w:r>
        <w:rPr>
          <w:spacing w:val="20"/>
          <w:sz w:val="32"/>
          <w:szCs w:val="32"/>
        </w:rPr>
        <w:t>合作社、</w:t>
      </w:r>
      <w:r>
        <w:rPr>
          <w:rFonts w:ascii="Times New Roman" w:hAnsi="Times New Roman" w:eastAsia="Times New Roman"/>
          <w:sz w:val="32"/>
          <w:szCs w:val="32"/>
        </w:rPr>
        <w:t xml:space="preserve">10 </w:t>
      </w:r>
      <w:r>
        <w:rPr>
          <w:spacing w:val="21"/>
          <w:sz w:val="32"/>
          <w:szCs w:val="32"/>
        </w:rPr>
        <w:t>个村经济合作社</w:t>
      </w:r>
      <w:r>
        <w:rPr>
          <w:spacing w:val="20"/>
          <w:sz w:val="32"/>
          <w:szCs w:val="32"/>
        </w:rPr>
        <w:t>。在阅海湾中央商务区</w:t>
      </w:r>
      <w:r>
        <w:rPr>
          <w:spacing w:val="24"/>
          <w:sz w:val="32"/>
          <w:szCs w:val="32"/>
        </w:rPr>
        <w:t>（丝</w:t>
      </w:r>
      <w:r>
        <w:rPr>
          <w:spacing w:val="10"/>
          <w:sz w:val="32"/>
          <w:szCs w:val="32"/>
        </w:rPr>
        <w:t>路经</w:t>
      </w:r>
      <w:r>
        <w:rPr>
          <w:spacing w:val="22"/>
          <w:sz w:val="32"/>
          <w:szCs w:val="32"/>
        </w:rPr>
        <w:t>济园</w:t>
      </w:r>
      <w:r>
        <w:rPr>
          <w:sz w:val="32"/>
          <w:szCs w:val="32"/>
        </w:rPr>
        <w:t>）</w:t>
      </w:r>
      <w:r>
        <w:rPr>
          <w:spacing w:val="-10"/>
          <w:sz w:val="32"/>
          <w:szCs w:val="32"/>
        </w:rPr>
        <w:t xml:space="preserve">开展 </w:t>
      </w:r>
      <w:r>
        <w:rPr>
          <w:rFonts w:ascii="Times New Roman" w:hAnsi="Times New Roman" w:eastAsia="Times New Roman"/>
          <w:sz w:val="32"/>
          <w:szCs w:val="32"/>
        </w:rPr>
        <w:t>5G</w:t>
      </w:r>
      <w:r>
        <w:rPr>
          <w:rFonts w:ascii="Times New Roman" w:hAnsi="Times New Roman" w:eastAsia="Times New Roman"/>
          <w:spacing w:val="-1"/>
          <w:sz w:val="32"/>
          <w:szCs w:val="32"/>
        </w:rPr>
        <w:t xml:space="preserve"> </w:t>
      </w:r>
      <w:r>
        <w:rPr>
          <w:spacing w:val="10"/>
          <w:sz w:val="32"/>
          <w:szCs w:val="32"/>
        </w:rPr>
        <w:t xml:space="preserve">商用试点工程，辖区布局 </w:t>
      </w:r>
      <w:r>
        <w:rPr>
          <w:rFonts w:ascii="Times New Roman" w:hAnsi="Times New Roman" w:eastAsia="Times New Roman"/>
          <w:sz w:val="32"/>
          <w:szCs w:val="32"/>
        </w:rPr>
        <w:t>5G</w:t>
      </w:r>
      <w:r>
        <w:rPr>
          <w:rFonts w:ascii="Times New Roman" w:hAnsi="Times New Roman" w:eastAsia="Times New Roman"/>
          <w:spacing w:val="13"/>
          <w:sz w:val="32"/>
          <w:szCs w:val="32"/>
        </w:rPr>
        <w:t xml:space="preserve"> </w:t>
      </w:r>
      <w:r>
        <w:rPr>
          <w:spacing w:val="-10"/>
          <w:sz w:val="32"/>
          <w:szCs w:val="32"/>
        </w:rPr>
        <w:t xml:space="preserve">基站 </w:t>
      </w:r>
      <w:r>
        <w:rPr>
          <w:rFonts w:ascii="Times New Roman" w:hAnsi="Times New Roman" w:eastAsia="Times New Roman"/>
          <w:sz w:val="32"/>
          <w:szCs w:val="32"/>
        </w:rPr>
        <w:t>2000</w:t>
      </w:r>
      <w:r>
        <w:rPr>
          <w:rFonts w:ascii="Times New Roman" w:hAnsi="Times New Roman" w:eastAsia="Times New Roman"/>
          <w:spacing w:val="16"/>
          <w:sz w:val="32"/>
          <w:szCs w:val="32"/>
        </w:rPr>
        <w:t xml:space="preserve"> </w:t>
      </w:r>
      <w:r>
        <w:rPr>
          <w:spacing w:val="14"/>
          <w:sz w:val="32"/>
          <w:szCs w:val="32"/>
        </w:rPr>
        <w:t>余个，</w:t>
      </w:r>
      <w:r>
        <w:rPr>
          <w:spacing w:val="29"/>
          <w:sz w:val="32"/>
          <w:szCs w:val="32"/>
        </w:rPr>
        <w:t>商圈、园区等</w:t>
      </w:r>
      <w:r>
        <w:rPr>
          <w:spacing w:val="30"/>
          <w:sz w:val="32"/>
          <w:szCs w:val="32"/>
        </w:rPr>
        <w:t>重点区</w:t>
      </w:r>
      <w:r>
        <w:rPr>
          <w:spacing w:val="29"/>
          <w:sz w:val="32"/>
          <w:szCs w:val="32"/>
        </w:rPr>
        <w:t>域实</w:t>
      </w:r>
      <w:r>
        <w:rPr>
          <w:sz w:val="32"/>
          <w:szCs w:val="32"/>
        </w:rPr>
        <w:t xml:space="preserve">现 </w:t>
      </w:r>
      <w:r>
        <w:rPr>
          <w:rFonts w:ascii="Times New Roman" w:hAnsi="Times New Roman" w:eastAsia="Times New Roman"/>
          <w:sz w:val="32"/>
          <w:szCs w:val="32"/>
        </w:rPr>
        <w:t>5G</w:t>
      </w:r>
      <w:r>
        <w:rPr>
          <w:rFonts w:ascii="Times New Roman" w:hAnsi="Times New Roman" w:eastAsia="Times New Roman"/>
          <w:spacing w:val="29"/>
          <w:sz w:val="32"/>
          <w:szCs w:val="32"/>
        </w:rPr>
        <w:t xml:space="preserve"> </w:t>
      </w:r>
      <w:r>
        <w:rPr>
          <w:spacing w:val="29"/>
          <w:sz w:val="32"/>
          <w:szCs w:val="32"/>
        </w:rPr>
        <w:t>网络全覆盖。</w:t>
      </w:r>
      <w:r>
        <w:rPr>
          <w:sz w:val="32"/>
          <w:szCs w:val="32"/>
        </w:rPr>
        <w:t>深入推进“ 高</w:t>
      </w:r>
      <w:r>
        <w:rPr>
          <w:spacing w:val="25"/>
          <w:sz w:val="32"/>
          <w:szCs w:val="32"/>
        </w:rPr>
        <w:t>质高</w:t>
      </w:r>
      <w:r>
        <w:rPr>
          <w:spacing w:val="26"/>
          <w:sz w:val="32"/>
          <w:szCs w:val="32"/>
        </w:rPr>
        <w:t>效招</w:t>
      </w:r>
      <w:r>
        <w:rPr>
          <w:spacing w:val="24"/>
          <w:sz w:val="32"/>
          <w:szCs w:val="32"/>
        </w:rPr>
        <w:t>商</w:t>
      </w:r>
      <w:r>
        <w:rPr>
          <w:spacing w:val="26"/>
          <w:sz w:val="32"/>
          <w:szCs w:val="32"/>
        </w:rPr>
        <w:t>引资</w:t>
      </w:r>
      <w:r>
        <w:rPr>
          <w:spacing w:val="25"/>
          <w:sz w:val="32"/>
          <w:szCs w:val="32"/>
        </w:rPr>
        <w:t>年”</w:t>
      </w:r>
      <w:r>
        <w:rPr>
          <w:spacing w:val="26"/>
          <w:sz w:val="32"/>
          <w:szCs w:val="32"/>
        </w:rPr>
        <w:t>行</w:t>
      </w:r>
      <w:r>
        <w:rPr>
          <w:spacing w:val="25"/>
          <w:sz w:val="32"/>
          <w:szCs w:val="32"/>
        </w:rPr>
        <w:t>动，</w:t>
      </w:r>
      <w:r>
        <w:rPr>
          <w:spacing w:val="26"/>
          <w:sz w:val="32"/>
          <w:szCs w:val="32"/>
        </w:rPr>
        <w:t>累</w:t>
      </w:r>
      <w:r>
        <w:rPr>
          <w:spacing w:val="24"/>
          <w:sz w:val="32"/>
          <w:szCs w:val="32"/>
        </w:rPr>
        <w:t>计</w:t>
      </w:r>
      <w:r>
        <w:rPr>
          <w:spacing w:val="26"/>
          <w:sz w:val="32"/>
          <w:szCs w:val="32"/>
        </w:rPr>
        <w:t>实施</w:t>
      </w:r>
      <w:r>
        <w:rPr>
          <w:spacing w:val="24"/>
          <w:sz w:val="32"/>
          <w:szCs w:val="32"/>
        </w:rPr>
        <w:t>招</w:t>
      </w:r>
      <w:r>
        <w:rPr>
          <w:spacing w:val="26"/>
          <w:sz w:val="32"/>
          <w:szCs w:val="32"/>
        </w:rPr>
        <w:t>商引</w:t>
      </w:r>
      <w:r>
        <w:rPr>
          <w:spacing w:val="12"/>
          <w:sz w:val="32"/>
          <w:szCs w:val="32"/>
        </w:rPr>
        <w:t xml:space="preserve">资项目 </w:t>
      </w:r>
      <w:r>
        <w:rPr>
          <w:rFonts w:ascii="Times New Roman" w:hAnsi="Times New Roman" w:eastAsia="Times New Roman"/>
          <w:sz w:val="32"/>
          <w:szCs w:val="32"/>
        </w:rPr>
        <w:t>240</w:t>
      </w:r>
      <w:r>
        <w:rPr>
          <w:rFonts w:ascii="Times New Roman" w:hAnsi="Times New Roman" w:eastAsia="Times New Roman"/>
          <w:spacing w:val="26"/>
          <w:sz w:val="32"/>
          <w:szCs w:val="32"/>
        </w:rPr>
        <w:t xml:space="preserve"> </w:t>
      </w:r>
      <w:r>
        <w:rPr>
          <w:spacing w:val="13"/>
          <w:sz w:val="32"/>
          <w:szCs w:val="32"/>
        </w:rPr>
        <w:t>个，</w:t>
      </w:r>
    </w:p>
    <w:p w14:paraId="57E89CE2">
      <w:pPr>
        <w:spacing w:line="328" w:lineRule="auto"/>
        <w:ind w:left="113" w:right="102"/>
        <w:rPr>
          <w:sz w:val="32"/>
          <w:szCs w:val="32"/>
        </w:rPr>
      </w:pPr>
      <w:r>
        <w:rPr>
          <w:spacing w:val="20"/>
          <w:w w:val="99"/>
          <w:sz w:val="32"/>
          <w:szCs w:val="32"/>
        </w:rPr>
        <w:t>完成到位资金</w:t>
      </w:r>
      <w:r>
        <w:rPr>
          <w:spacing w:val="-47"/>
          <w:sz w:val="32"/>
          <w:szCs w:val="32"/>
        </w:rPr>
        <w:t xml:space="preserve"> </w:t>
      </w:r>
      <w:r>
        <w:rPr>
          <w:rFonts w:ascii="Times New Roman" w:hAnsi="Times New Roman" w:eastAsia="Times New Roman"/>
          <w:spacing w:val="6"/>
          <w:w w:val="99"/>
          <w:sz w:val="32"/>
          <w:szCs w:val="32"/>
        </w:rPr>
        <w:t>4</w:t>
      </w:r>
      <w:r>
        <w:rPr>
          <w:rFonts w:ascii="Times New Roman" w:hAnsi="Times New Roman" w:eastAsia="Times New Roman"/>
          <w:spacing w:val="13"/>
          <w:w w:val="99"/>
          <w:sz w:val="32"/>
          <w:szCs w:val="32"/>
        </w:rPr>
        <w:t>3</w:t>
      </w:r>
      <w:r>
        <w:rPr>
          <w:rFonts w:ascii="Times New Roman" w:hAnsi="Times New Roman" w:eastAsia="Times New Roman"/>
          <w:w w:val="99"/>
          <w:sz w:val="32"/>
          <w:szCs w:val="32"/>
        </w:rPr>
        <w:t>8</w:t>
      </w:r>
      <w:r>
        <w:rPr>
          <w:rFonts w:ascii="Times New Roman" w:hAnsi="Times New Roman" w:eastAsia="Times New Roman"/>
          <w:spacing w:val="22"/>
          <w:sz w:val="32"/>
          <w:szCs w:val="32"/>
        </w:rPr>
        <w:t xml:space="preserve"> </w:t>
      </w:r>
      <w:r>
        <w:rPr>
          <w:spacing w:val="22"/>
          <w:w w:val="99"/>
          <w:sz w:val="32"/>
          <w:szCs w:val="32"/>
        </w:rPr>
        <w:t>亿元。创新完善城市小区治理体系试点改</w:t>
      </w:r>
      <w:r>
        <w:rPr>
          <w:spacing w:val="23"/>
          <w:w w:val="99"/>
          <w:sz w:val="32"/>
          <w:szCs w:val="32"/>
        </w:rPr>
        <w:t>革、新时代文明实践中心、残疾人联合会改革、社会心理服</w:t>
      </w:r>
      <w:r>
        <w:rPr>
          <w:spacing w:val="31"/>
          <w:w w:val="99"/>
          <w:sz w:val="32"/>
          <w:szCs w:val="32"/>
        </w:rPr>
        <w:t>务体系建设等改革试点任务顺利推进。</w:t>
      </w:r>
      <w:r>
        <w:rPr>
          <w:b/>
          <w:i/>
          <w:spacing w:val="28"/>
          <w:w w:val="99"/>
          <w:sz w:val="32"/>
          <w:szCs w:val="32"/>
        </w:rPr>
        <w:t xml:space="preserve">营商环境不断优化。 </w:t>
      </w:r>
      <w:r>
        <w:rPr>
          <w:spacing w:val="23"/>
          <w:w w:val="99"/>
          <w:sz w:val="32"/>
          <w:szCs w:val="32"/>
        </w:rPr>
        <w:t xml:space="preserve">“放管服”改革不断深化，完成“一枚印章管审批”改革， </w:t>
      </w:r>
      <w:r>
        <w:rPr>
          <w:rFonts w:ascii="Times New Roman" w:hAnsi="Times New Roman" w:eastAsia="Times New Roman"/>
          <w:spacing w:val="8"/>
          <w:w w:val="99"/>
          <w:sz w:val="32"/>
          <w:szCs w:val="32"/>
        </w:rPr>
        <w:t>8</w:t>
      </w:r>
      <w:r>
        <w:rPr>
          <w:rFonts w:ascii="Times New Roman" w:hAnsi="Times New Roman" w:eastAsia="Times New Roman"/>
          <w:spacing w:val="10"/>
          <w:w w:val="99"/>
          <w:sz w:val="32"/>
          <w:szCs w:val="32"/>
        </w:rPr>
        <w:t>0</w:t>
      </w:r>
      <w:r>
        <w:rPr>
          <w:rFonts w:ascii="Times New Roman" w:hAnsi="Times New Roman" w:eastAsia="Times New Roman"/>
          <w:spacing w:val="24"/>
          <w:w w:val="99"/>
          <w:sz w:val="32"/>
          <w:szCs w:val="32"/>
        </w:rPr>
        <w:t>%</w:t>
      </w:r>
      <w:r>
        <w:rPr>
          <w:spacing w:val="28"/>
          <w:w w:val="99"/>
          <w:sz w:val="32"/>
          <w:szCs w:val="32"/>
        </w:rPr>
        <w:t>以上政务服务事项实现“</w:t>
      </w:r>
      <w:r>
        <w:rPr>
          <w:spacing w:val="-129"/>
          <w:sz w:val="32"/>
          <w:szCs w:val="32"/>
        </w:rPr>
        <w:t xml:space="preserve"> </w:t>
      </w:r>
      <w:r>
        <w:rPr>
          <w:spacing w:val="-10"/>
          <w:w w:val="99"/>
          <w:sz w:val="32"/>
          <w:szCs w:val="32"/>
        </w:rPr>
        <w:t>网上办”，</w:t>
      </w:r>
      <w:r>
        <w:rPr>
          <w:spacing w:val="-129"/>
          <w:sz w:val="32"/>
          <w:szCs w:val="32"/>
        </w:rPr>
        <w:t xml:space="preserve"> </w:t>
      </w:r>
      <w:r>
        <w:rPr>
          <w:spacing w:val="26"/>
          <w:w w:val="99"/>
          <w:sz w:val="32"/>
          <w:szCs w:val="32"/>
        </w:rPr>
        <w:t>容缺受理事项达</w:t>
      </w:r>
      <w:r>
        <w:rPr>
          <w:spacing w:val="-43"/>
          <w:sz w:val="32"/>
          <w:szCs w:val="32"/>
        </w:rPr>
        <w:t xml:space="preserve"> </w:t>
      </w:r>
      <w:r>
        <w:rPr>
          <w:rFonts w:ascii="Times New Roman" w:hAnsi="Times New Roman" w:eastAsia="Times New Roman"/>
          <w:spacing w:val="10"/>
          <w:w w:val="99"/>
          <w:sz w:val="32"/>
          <w:szCs w:val="32"/>
        </w:rPr>
        <w:t>4</w:t>
      </w:r>
      <w:r>
        <w:rPr>
          <w:rFonts w:ascii="Times New Roman" w:hAnsi="Times New Roman" w:eastAsia="Times New Roman"/>
          <w:w w:val="99"/>
          <w:sz w:val="32"/>
          <w:szCs w:val="32"/>
        </w:rPr>
        <w:t>3</w:t>
      </w:r>
      <w:r>
        <w:rPr>
          <w:spacing w:val="10"/>
          <w:w w:val="99"/>
          <w:sz w:val="32"/>
          <w:szCs w:val="32"/>
        </w:rPr>
        <w:t>项；深入贯彻国家、自治区、银川市减税降费相关决策部署，</w:t>
      </w:r>
      <w:r>
        <w:rPr>
          <w:spacing w:val="18"/>
          <w:w w:val="99"/>
          <w:sz w:val="32"/>
          <w:szCs w:val="32"/>
        </w:rPr>
        <w:t>累计新增减税降费</w:t>
      </w:r>
      <w:r>
        <w:rPr>
          <w:spacing w:val="-52"/>
          <w:sz w:val="32"/>
          <w:szCs w:val="32"/>
        </w:rPr>
        <w:t xml:space="preserve"> </w:t>
      </w:r>
      <w:r>
        <w:rPr>
          <w:rFonts w:ascii="Times New Roman" w:hAnsi="Times New Roman" w:eastAsia="Times New Roman"/>
          <w:spacing w:val="8"/>
          <w:w w:val="99"/>
          <w:sz w:val="32"/>
          <w:szCs w:val="32"/>
        </w:rPr>
        <w:t>6</w:t>
      </w:r>
      <w:r>
        <w:rPr>
          <w:rFonts w:ascii="Times New Roman" w:hAnsi="Times New Roman" w:eastAsia="Times New Roman"/>
          <w:spacing w:val="11"/>
          <w:w w:val="99"/>
          <w:sz w:val="32"/>
          <w:szCs w:val="32"/>
        </w:rPr>
        <w:t>.</w:t>
      </w:r>
      <w:r>
        <w:rPr>
          <w:rFonts w:ascii="Times New Roman" w:hAnsi="Times New Roman" w:eastAsia="Times New Roman"/>
          <w:spacing w:val="10"/>
          <w:w w:val="99"/>
          <w:sz w:val="32"/>
          <w:szCs w:val="32"/>
        </w:rPr>
        <w:t>6</w:t>
      </w:r>
      <w:r>
        <w:rPr>
          <w:rFonts w:ascii="Times New Roman" w:hAnsi="Times New Roman" w:eastAsia="Times New Roman"/>
          <w:w w:val="99"/>
          <w:sz w:val="32"/>
          <w:szCs w:val="32"/>
        </w:rPr>
        <w:t>7</w:t>
      </w:r>
      <w:r>
        <w:rPr>
          <w:rFonts w:ascii="Times New Roman" w:hAnsi="Times New Roman" w:eastAsia="Times New Roman"/>
          <w:spacing w:val="19"/>
          <w:sz w:val="32"/>
          <w:szCs w:val="32"/>
        </w:rPr>
        <w:t xml:space="preserve"> </w:t>
      </w:r>
      <w:r>
        <w:rPr>
          <w:spacing w:val="16"/>
          <w:w w:val="99"/>
          <w:sz w:val="32"/>
          <w:szCs w:val="32"/>
        </w:rPr>
        <w:t>亿元；在市民大厅增设“便企综合服</w:t>
      </w:r>
    </w:p>
    <w:p w14:paraId="777E385A">
      <w:pPr>
        <w:spacing w:line="328" w:lineRule="auto"/>
        <w:sectPr>
          <w:pgSz w:w="11910" w:h="16840"/>
          <w:pgMar w:top="1760" w:right="1220" w:bottom="1380" w:left="1360" w:header="0" w:footer="1196" w:gutter="0"/>
          <w:cols w:space="720" w:num="1"/>
        </w:sectPr>
      </w:pPr>
    </w:p>
    <w:p w14:paraId="12272370">
      <w:pPr>
        <w:spacing w:before="31" w:line="328" w:lineRule="auto"/>
        <w:ind w:left="113" w:right="274"/>
        <w:rPr>
          <w:sz w:val="32"/>
          <w:szCs w:val="32"/>
        </w:rPr>
      </w:pPr>
      <w:r>
        <w:rPr>
          <w:spacing w:val="24"/>
          <w:w w:val="99"/>
          <w:sz w:val="32"/>
          <w:szCs w:val="32"/>
        </w:rPr>
        <w:t>务”窗口，在阅海湾中央商务区</w:t>
      </w:r>
      <w:r>
        <w:rPr>
          <w:spacing w:val="26"/>
          <w:w w:val="99"/>
          <w:sz w:val="32"/>
          <w:szCs w:val="32"/>
        </w:rPr>
        <w:t>（</w:t>
      </w:r>
      <w:r>
        <w:rPr>
          <w:spacing w:val="24"/>
          <w:w w:val="99"/>
          <w:sz w:val="32"/>
          <w:szCs w:val="32"/>
        </w:rPr>
        <w:t>丝路经济园）</w:t>
      </w:r>
      <w:r>
        <w:rPr>
          <w:spacing w:val="20"/>
          <w:w w:val="99"/>
          <w:sz w:val="32"/>
          <w:szCs w:val="32"/>
        </w:rPr>
        <w:t>设立企业智</w:t>
      </w:r>
      <w:r>
        <w:rPr>
          <w:spacing w:val="25"/>
          <w:w w:val="99"/>
          <w:sz w:val="32"/>
          <w:szCs w:val="32"/>
        </w:rPr>
        <w:t>慧服务中心，</w:t>
      </w:r>
      <w:r>
        <w:rPr>
          <w:spacing w:val="-127"/>
          <w:sz w:val="32"/>
          <w:szCs w:val="32"/>
        </w:rPr>
        <w:t xml:space="preserve"> </w:t>
      </w:r>
      <w:r>
        <w:rPr>
          <w:spacing w:val="15"/>
          <w:w w:val="99"/>
          <w:sz w:val="32"/>
          <w:szCs w:val="32"/>
        </w:rPr>
        <w:t>提供</w:t>
      </w:r>
      <w:r>
        <w:rPr>
          <w:spacing w:val="-43"/>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w w:val="99"/>
          <w:sz w:val="32"/>
          <w:szCs w:val="32"/>
        </w:rPr>
        <w:t>4</w:t>
      </w:r>
      <w:r>
        <w:rPr>
          <w:rFonts w:ascii="Times New Roman" w:hAnsi="Times New Roman" w:eastAsia="Times New Roman"/>
          <w:spacing w:val="31"/>
          <w:sz w:val="32"/>
          <w:szCs w:val="32"/>
        </w:rPr>
        <w:t xml:space="preserve"> </w:t>
      </w:r>
      <w:r>
        <w:rPr>
          <w:spacing w:val="29"/>
          <w:w w:val="99"/>
          <w:sz w:val="32"/>
          <w:szCs w:val="32"/>
        </w:rPr>
        <w:t>小时优质高效智能的便企服务。截止</w:t>
      </w:r>
    </w:p>
    <w:p w14:paraId="028736B0">
      <w:pPr>
        <w:spacing w:line="407" w:lineRule="exact"/>
        <w:ind w:left="113"/>
        <w:rPr>
          <w:sz w:val="32"/>
          <w:szCs w:val="32"/>
        </w:rPr>
      </w:pPr>
      <w:r>
        <w:rPr>
          <w:rFonts w:ascii="Times New Roman" w:eastAsia="Times New Roman"/>
          <w:sz w:val="32"/>
          <w:szCs w:val="32"/>
        </w:rPr>
        <w:t>2020</w:t>
      </w:r>
      <w:r>
        <w:rPr>
          <w:rFonts w:ascii="Times New Roman" w:eastAsia="Times New Roman"/>
          <w:spacing w:val="-14"/>
          <w:sz w:val="32"/>
          <w:szCs w:val="32"/>
        </w:rPr>
        <w:t xml:space="preserve"> </w:t>
      </w:r>
      <w:r>
        <w:rPr>
          <w:spacing w:val="18"/>
          <w:sz w:val="32"/>
          <w:szCs w:val="32"/>
        </w:rPr>
        <w:t>年底，全区市场主体</w:t>
      </w:r>
      <w:r>
        <w:rPr>
          <w:spacing w:val="24"/>
          <w:sz w:val="32"/>
          <w:szCs w:val="32"/>
        </w:rPr>
        <w:t>总数</w:t>
      </w:r>
      <w:r>
        <w:rPr>
          <w:spacing w:val="-10"/>
          <w:sz w:val="32"/>
          <w:szCs w:val="32"/>
        </w:rPr>
        <w:t xml:space="preserve">达到 </w:t>
      </w:r>
      <w:r>
        <w:rPr>
          <w:rFonts w:ascii="Times New Roman" w:eastAsia="Times New Roman"/>
          <w:sz w:val="32"/>
          <w:szCs w:val="32"/>
        </w:rPr>
        <w:t>6.3</w:t>
      </w:r>
      <w:r>
        <w:rPr>
          <w:rFonts w:ascii="Times New Roman" w:eastAsia="Times New Roman"/>
          <w:spacing w:val="3"/>
          <w:sz w:val="32"/>
          <w:szCs w:val="32"/>
        </w:rPr>
        <w:t xml:space="preserve"> </w:t>
      </w:r>
      <w:r>
        <w:rPr>
          <w:spacing w:val="-3"/>
          <w:sz w:val="32"/>
          <w:szCs w:val="32"/>
        </w:rPr>
        <w:t xml:space="preserve">万户，较 </w:t>
      </w:r>
      <w:r>
        <w:rPr>
          <w:rFonts w:ascii="Times New Roman" w:eastAsia="Times New Roman"/>
          <w:sz w:val="32"/>
          <w:szCs w:val="32"/>
        </w:rPr>
        <w:t>2015</w:t>
      </w:r>
      <w:r>
        <w:rPr>
          <w:rFonts w:ascii="Times New Roman" w:eastAsia="Times New Roman"/>
          <w:spacing w:val="6"/>
          <w:sz w:val="32"/>
          <w:szCs w:val="32"/>
        </w:rPr>
        <w:t xml:space="preserve"> </w:t>
      </w:r>
      <w:r>
        <w:rPr>
          <w:spacing w:val="11"/>
          <w:sz w:val="32"/>
          <w:szCs w:val="32"/>
        </w:rPr>
        <w:t>年增加</w:t>
      </w:r>
    </w:p>
    <w:p w14:paraId="1849BDDB">
      <w:pPr>
        <w:spacing w:before="149" w:line="328" w:lineRule="auto"/>
        <w:ind w:left="113" w:right="274"/>
        <w:rPr>
          <w:sz w:val="32"/>
          <w:szCs w:val="32"/>
        </w:rPr>
      </w:pPr>
      <w:r>
        <w:rPr>
          <w:rFonts w:ascii="Times New Roman" w:eastAsia="Times New Roman"/>
          <w:sz w:val="32"/>
          <w:szCs w:val="32"/>
        </w:rPr>
        <w:t>4.1</w:t>
      </w:r>
      <w:r>
        <w:rPr>
          <w:rFonts w:ascii="Times New Roman" w:eastAsia="Times New Roman"/>
          <w:spacing w:val="-16"/>
          <w:sz w:val="32"/>
          <w:szCs w:val="32"/>
        </w:rPr>
        <w:t xml:space="preserve"> </w:t>
      </w:r>
      <w:r>
        <w:rPr>
          <w:spacing w:val="10"/>
          <w:sz w:val="32"/>
          <w:szCs w:val="32"/>
        </w:rPr>
        <w:t xml:space="preserve">万户。民间投资占固定资产投资比重保持在 </w:t>
      </w:r>
      <w:r>
        <w:rPr>
          <w:rFonts w:ascii="Times New Roman" w:eastAsia="Times New Roman"/>
          <w:spacing w:val="11"/>
          <w:sz w:val="32"/>
          <w:szCs w:val="32"/>
        </w:rPr>
        <w:t>80%</w:t>
      </w:r>
      <w:r>
        <w:rPr>
          <w:spacing w:val="9"/>
          <w:sz w:val="32"/>
          <w:szCs w:val="32"/>
        </w:rPr>
        <w:t>以上，非</w:t>
      </w:r>
      <w:r>
        <w:rPr>
          <w:spacing w:val="12"/>
          <w:sz w:val="32"/>
          <w:szCs w:val="32"/>
        </w:rPr>
        <w:t xml:space="preserve">公经济占 </w:t>
      </w:r>
      <w:r>
        <w:rPr>
          <w:rFonts w:ascii="Times New Roman" w:eastAsia="Times New Roman"/>
          <w:sz w:val="32"/>
          <w:szCs w:val="32"/>
        </w:rPr>
        <w:t>GDP</w:t>
      </w:r>
      <w:r>
        <w:rPr>
          <w:rFonts w:ascii="Times New Roman" w:eastAsia="Times New Roman"/>
          <w:spacing w:val="21"/>
          <w:sz w:val="32"/>
          <w:szCs w:val="32"/>
        </w:rPr>
        <w:t xml:space="preserve"> </w:t>
      </w:r>
      <w:r>
        <w:rPr>
          <w:spacing w:val="6"/>
          <w:sz w:val="32"/>
          <w:szCs w:val="32"/>
        </w:rPr>
        <w:t xml:space="preserve">达到 </w:t>
      </w:r>
      <w:r>
        <w:rPr>
          <w:rFonts w:ascii="Times New Roman" w:eastAsia="Times New Roman"/>
          <w:spacing w:val="11"/>
          <w:sz w:val="32"/>
          <w:szCs w:val="32"/>
        </w:rPr>
        <w:t>56%</w:t>
      </w:r>
      <w:r>
        <w:rPr>
          <w:sz w:val="32"/>
          <w:szCs w:val="32"/>
        </w:rPr>
        <w:t>。</w:t>
      </w:r>
    </w:p>
    <w:p w14:paraId="60052BB6">
      <w:pPr>
        <w:spacing w:line="407" w:lineRule="exact"/>
        <w:ind w:left="797"/>
        <w:rPr>
          <w:rFonts w:ascii="黑体" w:eastAsia="黑体"/>
          <w:sz w:val="32"/>
          <w:szCs w:val="32"/>
        </w:rPr>
      </w:pPr>
      <w:r>
        <w:rPr>
          <w:rFonts w:ascii="黑体" w:eastAsia="黑体"/>
          <w:spacing w:val="19"/>
          <w:w w:val="95"/>
          <w:sz w:val="32"/>
          <w:szCs w:val="32"/>
        </w:rPr>
        <w:t>七、社会事业全面进步，民生福祉不断增强</w:t>
      </w:r>
    </w:p>
    <w:p w14:paraId="416ADBF4">
      <w:pPr>
        <w:spacing w:before="149" w:line="328" w:lineRule="auto"/>
        <w:ind w:left="113" w:right="274" w:firstLine="684"/>
        <w:jc w:val="both"/>
        <w:rPr>
          <w:sz w:val="32"/>
          <w:szCs w:val="32"/>
        </w:rPr>
      </w:pPr>
      <w:r>
        <w:rPr>
          <w:spacing w:val="18"/>
          <w:w w:val="99"/>
          <w:sz w:val="32"/>
          <w:szCs w:val="32"/>
        </w:rPr>
        <w:t>财政支出</w:t>
      </w:r>
      <w:r>
        <w:rPr>
          <w:spacing w:val="-50"/>
          <w:sz w:val="32"/>
          <w:szCs w:val="32"/>
        </w:rPr>
        <w:t xml:space="preserve"> </w:t>
      </w:r>
      <w:r>
        <w:rPr>
          <w:rFonts w:ascii="Times New Roman" w:eastAsia="Times New Roman"/>
          <w:spacing w:val="8"/>
          <w:w w:val="99"/>
          <w:sz w:val="32"/>
          <w:szCs w:val="32"/>
        </w:rPr>
        <w:t>8</w:t>
      </w:r>
      <w:r>
        <w:rPr>
          <w:rFonts w:ascii="Times New Roman" w:eastAsia="Times New Roman"/>
          <w:spacing w:val="10"/>
          <w:w w:val="99"/>
          <w:sz w:val="32"/>
          <w:szCs w:val="32"/>
        </w:rPr>
        <w:t>0</w:t>
      </w:r>
      <w:r>
        <w:rPr>
          <w:rFonts w:ascii="Times New Roman" w:eastAsia="Times New Roman"/>
          <w:spacing w:val="17"/>
          <w:w w:val="99"/>
          <w:sz w:val="32"/>
          <w:szCs w:val="32"/>
        </w:rPr>
        <w:t>%</w:t>
      </w:r>
      <w:r>
        <w:rPr>
          <w:spacing w:val="22"/>
          <w:w w:val="99"/>
          <w:sz w:val="32"/>
          <w:szCs w:val="32"/>
        </w:rPr>
        <w:t>以上用于改善民生，公共服务均等化水平</w:t>
      </w:r>
      <w:r>
        <w:rPr>
          <w:spacing w:val="24"/>
          <w:w w:val="99"/>
          <w:sz w:val="32"/>
          <w:szCs w:val="32"/>
        </w:rPr>
        <w:t>持续提升，全面小康社会建设进程达到预期进度。</w:t>
      </w:r>
      <w:r>
        <w:rPr>
          <w:b/>
          <w:i/>
          <w:spacing w:val="19"/>
          <w:w w:val="99"/>
          <w:sz w:val="32"/>
          <w:szCs w:val="32"/>
        </w:rPr>
        <w:t>城乡居民</w:t>
      </w:r>
      <w:r>
        <w:rPr>
          <w:b/>
          <w:i/>
          <w:spacing w:val="20"/>
          <w:w w:val="99"/>
          <w:sz w:val="32"/>
          <w:szCs w:val="32"/>
        </w:rPr>
        <w:t>收入显著提高。</w:t>
      </w:r>
      <w:r>
        <w:rPr>
          <w:rFonts w:ascii="Times New Roman" w:eastAsia="Times New Roman"/>
          <w:spacing w:val="6"/>
          <w:w w:val="99"/>
          <w:sz w:val="32"/>
          <w:szCs w:val="32"/>
        </w:rPr>
        <w:t>2</w:t>
      </w:r>
      <w:r>
        <w:rPr>
          <w:rFonts w:ascii="Times New Roman" w:eastAsia="Times New Roman"/>
          <w:spacing w:val="13"/>
          <w:w w:val="99"/>
          <w:sz w:val="32"/>
          <w:szCs w:val="32"/>
        </w:rPr>
        <w:t>0</w:t>
      </w:r>
      <w:r>
        <w:rPr>
          <w:rFonts w:ascii="Times New Roman" w:eastAsia="Times New Roman"/>
          <w:spacing w:val="10"/>
          <w:w w:val="99"/>
          <w:sz w:val="32"/>
          <w:szCs w:val="32"/>
        </w:rPr>
        <w:t>2</w:t>
      </w:r>
      <w:r>
        <w:rPr>
          <w:rFonts w:ascii="Times New Roman" w:eastAsia="Times New Roman"/>
          <w:w w:val="99"/>
          <w:sz w:val="32"/>
          <w:szCs w:val="32"/>
        </w:rPr>
        <w:t>0</w:t>
      </w:r>
      <w:r>
        <w:rPr>
          <w:rFonts w:ascii="Times New Roman" w:eastAsia="Times New Roman"/>
          <w:spacing w:val="19"/>
          <w:sz w:val="32"/>
          <w:szCs w:val="32"/>
        </w:rPr>
        <w:t xml:space="preserve"> </w:t>
      </w:r>
      <w:r>
        <w:rPr>
          <w:spacing w:val="19"/>
          <w:w w:val="99"/>
          <w:sz w:val="32"/>
          <w:szCs w:val="32"/>
        </w:rPr>
        <w:t>年城镇居民人均可支配收入和农村居民人均可支配收入分别达到</w:t>
      </w:r>
      <w:r>
        <w:rPr>
          <w:spacing w:val="-52"/>
          <w:sz w:val="32"/>
          <w:szCs w:val="32"/>
        </w:rPr>
        <w:t xml:space="preserve"> </w:t>
      </w:r>
      <w:r>
        <w:rPr>
          <w:rFonts w:ascii="Times New Roman" w:eastAsia="Times New Roman"/>
          <w:spacing w:val="8"/>
          <w:w w:val="99"/>
          <w:sz w:val="32"/>
          <w:szCs w:val="32"/>
        </w:rPr>
        <w:t>4</w:t>
      </w:r>
      <w:r>
        <w:rPr>
          <w:rFonts w:ascii="Times New Roman" w:eastAsia="Times New Roman"/>
          <w:spacing w:val="10"/>
          <w:w w:val="99"/>
          <w:sz w:val="32"/>
          <w:szCs w:val="32"/>
        </w:rPr>
        <w:t>3</w:t>
      </w:r>
      <w:r>
        <w:rPr>
          <w:rFonts w:ascii="Times New Roman" w:eastAsia="Times New Roman"/>
          <w:spacing w:val="15"/>
          <w:w w:val="99"/>
          <w:sz w:val="32"/>
          <w:szCs w:val="32"/>
        </w:rPr>
        <w:t>5</w:t>
      </w:r>
      <w:r>
        <w:rPr>
          <w:rFonts w:ascii="Times New Roman" w:eastAsia="Times New Roman"/>
          <w:spacing w:val="6"/>
          <w:w w:val="99"/>
          <w:sz w:val="32"/>
          <w:szCs w:val="32"/>
        </w:rPr>
        <w:t>7</w:t>
      </w:r>
      <w:r>
        <w:rPr>
          <w:rFonts w:ascii="Times New Roman" w:eastAsia="Times New Roman"/>
          <w:w w:val="99"/>
          <w:sz w:val="32"/>
          <w:szCs w:val="32"/>
        </w:rPr>
        <w:t>8</w:t>
      </w:r>
      <w:r>
        <w:rPr>
          <w:rFonts w:ascii="Times New Roman" w:eastAsia="Times New Roman"/>
          <w:spacing w:val="22"/>
          <w:sz w:val="32"/>
          <w:szCs w:val="32"/>
        </w:rPr>
        <w:t xml:space="preserve"> </w:t>
      </w:r>
      <w:r>
        <w:rPr>
          <w:spacing w:val="10"/>
          <w:w w:val="99"/>
          <w:sz w:val="32"/>
          <w:szCs w:val="32"/>
        </w:rPr>
        <w:t>元和</w:t>
      </w:r>
      <w:r>
        <w:rPr>
          <w:spacing w:val="-52"/>
          <w:sz w:val="32"/>
          <w:szCs w:val="32"/>
        </w:rPr>
        <w:t xml:space="preserve"> </w:t>
      </w:r>
      <w:r>
        <w:rPr>
          <w:rFonts w:ascii="Times New Roman" w:eastAsia="Times New Roman"/>
          <w:spacing w:val="8"/>
          <w:w w:val="99"/>
          <w:sz w:val="32"/>
          <w:szCs w:val="32"/>
        </w:rPr>
        <w:t>1</w:t>
      </w:r>
      <w:r>
        <w:rPr>
          <w:rFonts w:ascii="Times New Roman" w:eastAsia="Times New Roman"/>
          <w:spacing w:val="15"/>
          <w:w w:val="99"/>
          <w:sz w:val="32"/>
          <w:szCs w:val="32"/>
        </w:rPr>
        <w:t>4</w:t>
      </w:r>
      <w:r>
        <w:rPr>
          <w:rFonts w:ascii="Times New Roman" w:eastAsia="Times New Roman"/>
          <w:spacing w:val="8"/>
          <w:w w:val="99"/>
          <w:sz w:val="32"/>
          <w:szCs w:val="32"/>
        </w:rPr>
        <w:t>6</w:t>
      </w:r>
      <w:r>
        <w:rPr>
          <w:rFonts w:ascii="Times New Roman" w:eastAsia="Times New Roman"/>
          <w:spacing w:val="10"/>
          <w:w w:val="99"/>
          <w:sz w:val="32"/>
          <w:szCs w:val="32"/>
        </w:rPr>
        <w:t>0</w:t>
      </w:r>
      <w:r>
        <w:rPr>
          <w:rFonts w:ascii="Times New Roman" w:eastAsia="Times New Roman"/>
          <w:w w:val="99"/>
          <w:sz w:val="32"/>
          <w:szCs w:val="32"/>
        </w:rPr>
        <w:t>2</w:t>
      </w:r>
      <w:r>
        <w:rPr>
          <w:rFonts w:ascii="Times New Roman" w:eastAsia="Times New Roman"/>
          <w:spacing w:val="19"/>
          <w:sz w:val="32"/>
          <w:szCs w:val="32"/>
        </w:rPr>
        <w:t xml:space="preserve"> </w:t>
      </w:r>
      <w:r>
        <w:rPr>
          <w:spacing w:val="-20"/>
          <w:w w:val="99"/>
          <w:sz w:val="32"/>
          <w:szCs w:val="32"/>
        </w:rPr>
        <w:t>元，是</w:t>
      </w:r>
      <w:r>
        <w:rPr>
          <w:spacing w:val="-52"/>
          <w:sz w:val="32"/>
          <w:szCs w:val="32"/>
        </w:rPr>
        <w:t xml:space="preserve"> </w:t>
      </w:r>
      <w:r>
        <w:rPr>
          <w:rFonts w:ascii="Times New Roman" w:eastAsia="Times New Roman"/>
          <w:spacing w:val="8"/>
          <w:w w:val="99"/>
          <w:sz w:val="32"/>
          <w:szCs w:val="32"/>
        </w:rPr>
        <w:t>2</w:t>
      </w:r>
      <w:r>
        <w:rPr>
          <w:rFonts w:ascii="Times New Roman" w:eastAsia="Times New Roman"/>
          <w:spacing w:val="10"/>
          <w:w w:val="99"/>
          <w:sz w:val="32"/>
          <w:szCs w:val="32"/>
        </w:rPr>
        <w:t>01</w:t>
      </w:r>
      <w:r>
        <w:rPr>
          <w:rFonts w:ascii="Times New Roman" w:eastAsia="Times New Roman"/>
          <w:w w:val="99"/>
          <w:sz w:val="32"/>
          <w:szCs w:val="32"/>
        </w:rPr>
        <w:t>5</w:t>
      </w:r>
      <w:r>
        <w:rPr>
          <w:rFonts w:ascii="Times New Roman" w:eastAsia="Times New Roman"/>
          <w:spacing w:val="19"/>
          <w:sz w:val="32"/>
          <w:szCs w:val="32"/>
        </w:rPr>
        <w:t xml:space="preserve"> </w:t>
      </w:r>
      <w:r>
        <w:rPr>
          <w:spacing w:val="12"/>
          <w:w w:val="99"/>
          <w:sz w:val="32"/>
          <w:szCs w:val="32"/>
        </w:rPr>
        <w:t>年的</w:t>
      </w:r>
    </w:p>
    <w:p w14:paraId="3B84FCA1">
      <w:pPr>
        <w:spacing w:line="405" w:lineRule="exact"/>
        <w:ind w:left="113"/>
        <w:jc w:val="both"/>
        <w:rPr>
          <w:b/>
          <w:i/>
          <w:sz w:val="32"/>
          <w:szCs w:val="32"/>
        </w:rPr>
      </w:pPr>
      <w:r>
        <w:rPr>
          <w:rFonts w:ascii="Times New Roman" w:eastAsia="Times New Roman"/>
          <w:w w:val="95"/>
          <w:sz w:val="32"/>
          <w:szCs w:val="32"/>
        </w:rPr>
        <w:t>1.4</w:t>
      </w:r>
      <w:r>
        <w:rPr>
          <w:rFonts w:ascii="Times New Roman" w:eastAsia="Times New Roman"/>
          <w:spacing w:val="48"/>
          <w:sz w:val="32"/>
          <w:szCs w:val="32"/>
        </w:rPr>
        <w:t xml:space="preserve">  </w:t>
      </w:r>
      <w:r>
        <w:rPr>
          <w:spacing w:val="21"/>
          <w:w w:val="95"/>
          <w:sz w:val="32"/>
          <w:szCs w:val="32"/>
        </w:rPr>
        <w:t>倍，年均增速均高于</w:t>
      </w:r>
      <w:r>
        <w:rPr>
          <w:spacing w:val="47"/>
          <w:w w:val="150"/>
          <w:sz w:val="32"/>
          <w:szCs w:val="32"/>
        </w:rPr>
        <w:t xml:space="preserve"> </w:t>
      </w:r>
      <w:r>
        <w:rPr>
          <w:rFonts w:ascii="Times New Roman" w:eastAsia="Times New Roman"/>
          <w:spacing w:val="16"/>
          <w:w w:val="95"/>
          <w:sz w:val="32"/>
          <w:szCs w:val="32"/>
        </w:rPr>
        <w:t>7%</w:t>
      </w:r>
      <w:r>
        <w:rPr>
          <w:spacing w:val="22"/>
          <w:w w:val="95"/>
          <w:sz w:val="32"/>
          <w:szCs w:val="32"/>
        </w:rPr>
        <w:t>，高于经济增速。</w:t>
      </w:r>
      <w:r>
        <w:rPr>
          <w:b/>
          <w:i/>
          <w:spacing w:val="18"/>
          <w:w w:val="95"/>
          <w:sz w:val="32"/>
          <w:szCs w:val="32"/>
        </w:rPr>
        <w:t>教育供给更加</w:t>
      </w:r>
    </w:p>
    <w:p w14:paraId="77DC6FEC">
      <w:pPr>
        <w:spacing w:before="149"/>
        <w:ind w:left="113"/>
        <w:rPr>
          <w:sz w:val="32"/>
          <w:szCs w:val="32"/>
        </w:rPr>
      </w:pPr>
      <w:r>
        <w:rPr>
          <w:b/>
          <w:i/>
          <w:spacing w:val="24"/>
          <w:w w:val="95"/>
          <w:sz w:val="32"/>
          <w:szCs w:val="32"/>
        </w:rPr>
        <w:t>充足</w:t>
      </w:r>
      <w:r>
        <w:rPr>
          <w:b/>
          <w:i/>
          <w:w w:val="95"/>
          <w:sz w:val="32"/>
          <w:szCs w:val="32"/>
        </w:rPr>
        <w:t>。</w:t>
      </w:r>
      <w:r>
        <w:rPr>
          <w:spacing w:val="18"/>
          <w:w w:val="95"/>
          <w:sz w:val="32"/>
          <w:szCs w:val="32"/>
        </w:rPr>
        <w:t>累计实施新建、扩建中小学幼</w:t>
      </w:r>
      <w:r>
        <w:rPr>
          <w:spacing w:val="24"/>
          <w:w w:val="95"/>
          <w:sz w:val="32"/>
          <w:szCs w:val="32"/>
        </w:rPr>
        <w:t>儿园</w:t>
      </w:r>
      <w:r>
        <w:rPr>
          <w:spacing w:val="10"/>
          <w:w w:val="95"/>
          <w:sz w:val="32"/>
          <w:szCs w:val="32"/>
        </w:rPr>
        <w:t>项目</w:t>
      </w:r>
      <w:r>
        <w:rPr>
          <w:spacing w:val="18"/>
          <w:w w:val="150"/>
          <w:sz w:val="32"/>
          <w:szCs w:val="32"/>
        </w:rPr>
        <w:t xml:space="preserve"> </w:t>
      </w:r>
      <w:r>
        <w:rPr>
          <w:rFonts w:ascii="Times New Roman" w:eastAsia="Times New Roman"/>
          <w:w w:val="95"/>
          <w:sz w:val="32"/>
          <w:szCs w:val="32"/>
        </w:rPr>
        <w:t>36</w:t>
      </w:r>
      <w:r>
        <w:rPr>
          <w:rFonts w:ascii="Times New Roman" w:eastAsia="Times New Roman"/>
          <w:spacing w:val="39"/>
          <w:sz w:val="32"/>
          <w:szCs w:val="32"/>
        </w:rPr>
        <w:t xml:space="preserve">  </w:t>
      </w:r>
      <w:r>
        <w:rPr>
          <w:spacing w:val="11"/>
          <w:w w:val="95"/>
          <w:sz w:val="32"/>
          <w:szCs w:val="32"/>
        </w:rPr>
        <w:t>所，新增教</w:t>
      </w:r>
    </w:p>
    <w:p w14:paraId="5EBE9CDB">
      <w:pPr>
        <w:spacing w:before="149" w:line="328" w:lineRule="auto"/>
        <w:ind w:left="113" w:right="100"/>
        <w:rPr>
          <w:sz w:val="32"/>
          <w:szCs w:val="32"/>
        </w:rPr>
      </w:pPr>
      <w:r>
        <w:rPr>
          <w:spacing w:val="13"/>
          <w:w w:val="99"/>
          <w:sz w:val="32"/>
          <w:szCs w:val="32"/>
        </w:rPr>
        <w:t>学班</w:t>
      </w:r>
      <w:r>
        <w:rPr>
          <w:spacing w:val="-50"/>
          <w:sz w:val="32"/>
          <w:szCs w:val="32"/>
        </w:rPr>
        <w:t xml:space="preserve"> </w:t>
      </w:r>
      <w:r>
        <w:rPr>
          <w:rFonts w:ascii="Times New Roman" w:hAnsi="Times New Roman" w:eastAsia="Times New Roman"/>
          <w:spacing w:val="6"/>
          <w:w w:val="99"/>
          <w:sz w:val="32"/>
          <w:szCs w:val="32"/>
        </w:rPr>
        <w:t>6</w:t>
      </w:r>
      <w:r>
        <w:rPr>
          <w:rFonts w:ascii="Times New Roman" w:hAnsi="Times New Roman" w:eastAsia="Times New Roman"/>
          <w:spacing w:val="13"/>
          <w:w w:val="99"/>
          <w:sz w:val="32"/>
          <w:szCs w:val="32"/>
        </w:rPr>
        <w:t>9</w:t>
      </w:r>
      <w:r>
        <w:rPr>
          <w:rFonts w:ascii="Times New Roman" w:hAnsi="Times New Roman" w:eastAsia="Times New Roman"/>
          <w:w w:val="99"/>
          <w:sz w:val="32"/>
          <w:szCs w:val="32"/>
        </w:rPr>
        <w:t>9</w:t>
      </w:r>
      <w:r>
        <w:rPr>
          <w:rFonts w:ascii="Times New Roman" w:hAnsi="Times New Roman" w:eastAsia="Times New Roman"/>
          <w:spacing w:val="22"/>
          <w:sz w:val="32"/>
          <w:szCs w:val="32"/>
        </w:rPr>
        <w:t xml:space="preserve"> </w:t>
      </w:r>
      <w:r>
        <w:rPr>
          <w:spacing w:val="18"/>
          <w:w w:val="99"/>
          <w:sz w:val="32"/>
          <w:szCs w:val="32"/>
        </w:rPr>
        <w:t>个、学位</w:t>
      </w:r>
      <w:r>
        <w:rPr>
          <w:spacing w:val="-50"/>
          <w:sz w:val="32"/>
          <w:szCs w:val="32"/>
        </w:rPr>
        <w:t xml:space="preserve"> </w:t>
      </w:r>
      <w:r>
        <w:rPr>
          <w:rFonts w:ascii="Times New Roman" w:hAnsi="Times New Roman" w:eastAsia="Times New Roman"/>
          <w:w w:val="99"/>
          <w:sz w:val="32"/>
          <w:szCs w:val="32"/>
        </w:rPr>
        <w:t>3</w:t>
      </w:r>
      <w:r>
        <w:rPr>
          <w:rFonts w:ascii="Times New Roman" w:hAnsi="Times New Roman" w:eastAsia="Times New Roman"/>
          <w:spacing w:val="19"/>
          <w:sz w:val="32"/>
          <w:szCs w:val="32"/>
        </w:rPr>
        <w:t xml:space="preserve"> </w:t>
      </w:r>
      <w:r>
        <w:rPr>
          <w:spacing w:val="10"/>
          <w:w w:val="99"/>
          <w:sz w:val="32"/>
          <w:szCs w:val="32"/>
        </w:rPr>
        <w:t>万个。大力发展“互联网+教育”，班级</w:t>
      </w:r>
      <w:r>
        <w:rPr>
          <w:spacing w:val="23"/>
          <w:w w:val="99"/>
          <w:sz w:val="32"/>
          <w:szCs w:val="32"/>
        </w:rPr>
        <w:t>网络、智能教学触控一体机、在线互动课堂实现城乡学校全</w:t>
      </w:r>
      <w:r>
        <w:rPr>
          <w:spacing w:val="4"/>
          <w:w w:val="99"/>
          <w:sz w:val="32"/>
          <w:szCs w:val="32"/>
        </w:rPr>
        <w:t>覆盖，“三通”指标居全区第一。整合优质教育资源，集团化</w:t>
      </w:r>
      <w:r>
        <w:rPr>
          <w:spacing w:val="21"/>
          <w:w w:val="99"/>
          <w:sz w:val="32"/>
          <w:szCs w:val="32"/>
        </w:rPr>
        <w:t>办学全覆盖带动优质教育资源普惠共享</w:t>
      </w:r>
      <w:r>
        <w:rPr>
          <w:spacing w:val="-9"/>
          <w:w w:val="99"/>
          <w:sz w:val="32"/>
          <w:szCs w:val="32"/>
        </w:rPr>
        <w:t>，“首都带首府”取得</w:t>
      </w:r>
      <w:r>
        <w:rPr>
          <w:spacing w:val="12"/>
          <w:w w:val="99"/>
          <w:sz w:val="32"/>
          <w:szCs w:val="32"/>
        </w:rPr>
        <w:t>突破，北师大附属学校品牌作用凸显</w:t>
      </w:r>
      <w:r>
        <w:rPr>
          <w:spacing w:val="-243"/>
          <w:w w:val="99"/>
          <w:sz w:val="32"/>
          <w:szCs w:val="32"/>
        </w:rPr>
        <w:t>。</w:t>
      </w:r>
      <w:r>
        <w:rPr>
          <w:b/>
          <w:i/>
          <w:spacing w:val="10"/>
          <w:w w:val="99"/>
          <w:sz w:val="32"/>
          <w:szCs w:val="32"/>
        </w:rPr>
        <w:t>“健康金凤”深入推进。</w:t>
      </w:r>
      <w:r>
        <w:rPr>
          <w:spacing w:val="22"/>
          <w:w w:val="99"/>
          <w:sz w:val="32"/>
          <w:szCs w:val="32"/>
        </w:rPr>
        <w:t>加强新冠肺炎疫情联防联控工作，全区首个市辖区</w:t>
      </w:r>
      <w:r>
        <w:rPr>
          <w:spacing w:val="-50"/>
          <w:sz w:val="32"/>
          <w:szCs w:val="32"/>
        </w:rPr>
        <w:t xml:space="preserve"> </w:t>
      </w:r>
      <w:r>
        <w:rPr>
          <w:spacing w:val="8"/>
          <w:w w:val="99"/>
          <w:sz w:val="32"/>
          <w:szCs w:val="32"/>
        </w:rPr>
        <w:t>P</w:t>
      </w:r>
      <w:r>
        <w:rPr>
          <w:spacing w:val="10"/>
          <w:w w:val="99"/>
          <w:sz w:val="32"/>
          <w:szCs w:val="32"/>
        </w:rPr>
        <w:t>C</w:t>
      </w:r>
      <w:r>
        <w:rPr>
          <w:w w:val="99"/>
          <w:sz w:val="32"/>
          <w:szCs w:val="32"/>
        </w:rPr>
        <w:t>R</w:t>
      </w:r>
      <w:r>
        <w:rPr>
          <w:spacing w:val="-56"/>
          <w:sz w:val="32"/>
          <w:szCs w:val="32"/>
        </w:rPr>
        <w:t xml:space="preserve"> </w:t>
      </w:r>
      <w:r>
        <w:rPr>
          <w:spacing w:val="13"/>
          <w:w w:val="99"/>
          <w:sz w:val="32"/>
          <w:szCs w:val="32"/>
        </w:rPr>
        <w:t>核酸</w:t>
      </w:r>
      <w:r>
        <w:rPr>
          <w:spacing w:val="23"/>
          <w:w w:val="99"/>
          <w:sz w:val="32"/>
          <w:szCs w:val="32"/>
        </w:rPr>
        <w:t>检测实验室投入使用，成功应对疫情考验。改扩建良田镇、</w:t>
      </w:r>
      <w:r>
        <w:rPr>
          <w:spacing w:val="21"/>
          <w:w w:val="99"/>
          <w:sz w:val="32"/>
          <w:szCs w:val="32"/>
        </w:rPr>
        <w:t>丰登镇卫生院，完成</w:t>
      </w:r>
      <w:r>
        <w:rPr>
          <w:spacing w:val="-50"/>
          <w:sz w:val="32"/>
          <w:szCs w:val="32"/>
        </w:rPr>
        <w:t xml:space="preserve"> </w:t>
      </w:r>
      <w:r>
        <w:rPr>
          <w:rFonts w:ascii="Times New Roman" w:hAnsi="Times New Roman" w:eastAsia="Times New Roman"/>
          <w:w w:val="99"/>
          <w:sz w:val="32"/>
          <w:szCs w:val="32"/>
        </w:rPr>
        <w:t>6</w:t>
      </w:r>
      <w:r>
        <w:rPr>
          <w:rFonts w:ascii="Times New Roman" w:hAnsi="Times New Roman" w:eastAsia="Times New Roman"/>
          <w:spacing w:val="19"/>
          <w:sz w:val="32"/>
          <w:szCs w:val="32"/>
        </w:rPr>
        <w:t xml:space="preserve"> </w:t>
      </w:r>
      <w:r>
        <w:rPr>
          <w:spacing w:val="22"/>
          <w:w w:val="99"/>
          <w:sz w:val="32"/>
          <w:szCs w:val="32"/>
        </w:rPr>
        <w:t>家基层医疗机构标准化建设。深化巩</w:t>
      </w:r>
      <w:r>
        <w:rPr>
          <w:spacing w:val="23"/>
          <w:w w:val="99"/>
          <w:sz w:val="32"/>
          <w:szCs w:val="32"/>
        </w:rPr>
        <w:t>固“全国健康促进区”和“国家慢性病防控示范区”建设成</w:t>
      </w:r>
      <w:r>
        <w:rPr>
          <w:spacing w:val="14"/>
          <w:w w:val="99"/>
          <w:sz w:val="32"/>
          <w:szCs w:val="32"/>
        </w:rPr>
        <w:t>果，</w:t>
      </w:r>
      <w:r>
        <w:rPr>
          <w:spacing w:val="-131"/>
          <w:sz w:val="32"/>
          <w:szCs w:val="32"/>
        </w:rPr>
        <w:t xml:space="preserve"> </w:t>
      </w:r>
      <w:r>
        <w:rPr>
          <w:spacing w:val="24"/>
          <w:w w:val="99"/>
          <w:sz w:val="32"/>
          <w:szCs w:val="32"/>
        </w:rPr>
        <w:t>辖区居民健康素养水平达</w:t>
      </w:r>
      <w:r>
        <w:rPr>
          <w:spacing w:val="-47"/>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8</w:t>
      </w:r>
      <w:r>
        <w:rPr>
          <w:rFonts w:ascii="Times New Roman" w:hAnsi="Times New Roman" w:eastAsia="Times New Roman"/>
          <w:spacing w:val="11"/>
          <w:w w:val="99"/>
          <w:sz w:val="32"/>
          <w:szCs w:val="32"/>
        </w:rPr>
        <w:t>.</w:t>
      </w:r>
      <w:r>
        <w:rPr>
          <w:rFonts w:ascii="Times New Roman" w:hAnsi="Times New Roman" w:eastAsia="Times New Roman"/>
          <w:spacing w:val="10"/>
          <w:w w:val="99"/>
          <w:sz w:val="32"/>
          <w:szCs w:val="32"/>
        </w:rPr>
        <w:t>4</w:t>
      </w:r>
      <w:r>
        <w:rPr>
          <w:rFonts w:ascii="Times New Roman" w:hAnsi="Times New Roman" w:eastAsia="Times New Roman"/>
          <w:spacing w:val="22"/>
          <w:w w:val="99"/>
          <w:sz w:val="32"/>
          <w:szCs w:val="32"/>
        </w:rPr>
        <w:t>%</w:t>
      </w:r>
      <w:r>
        <w:rPr>
          <w:w w:val="99"/>
          <w:sz w:val="32"/>
          <w:szCs w:val="32"/>
        </w:rPr>
        <w:t>，</w:t>
      </w:r>
      <w:r>
        <w:rPr>
          <w:spacing w:val="-131"/>
          <w:sz w:val="32"/>
          <w:szCs w:val="32"/>
        </w:rPr>
        <w:t xml:space="preserve"> </w:t>
      </w:r>
      <w:r>
        <w:rPr>
          <w:spacing w:val="21"/>
          <w:w w:val="99"/>
          <w:sz w:val="32"/>
          <w:szCs w:val="32"/>
        </w:rPr>
        <w:t>高于自治区</w:t>
      </w:r>
      <w:r>
        <w:rPr>
          <w:spacing w:val="-47"/>
          <w:sz w:val="32"/>
          <w:szCs w:val="32"/>
        </w:rPr>
        <w:t xml:space="preserve"> </w:t>
      </w:r>
      <w:r>
        <w:rPr>
          <w:rFonts w:ascii="Times New Roman" w:hAnsi="Times New Roman" w:eastAsia="Times New Roman"/>
          <w:w w:val="99"/>
          <w:sz w:val="32"/>
          <w:szCs w:val="32"/>
        </w:rPr>
        <w:t>3</w:t>
      </w:r>
      <w:r>
        <w:rPr>
          <w:rFonts w:ascii="Times New Roman" w:hAnsi="Times New Roman" w:eastAsia="Times New Roman"/>
          <w:spacing w:val="22"/>
          <w:sz w:val="32"/>
          <w:szCs w:val="32"/>
        </w:rPr>
        <w:t xml:space="preserve"> </w:t>
      </w:r>
      <w:r>
        <w:rPr>
          <w:spacing w:val="19"/>
          <w:w w:val="99"/>
          <w:sz w:val="32"/>
          <w:szCs w:val="32"/>
        </w:rPr>
        <w:t>个百分</w:t>
      </w:r>
      <w:r>
        <w:rPr>
          <w:spacing w:val="10"/>
          <w:w w:val="99"/>
          <w:sz w:val="32"/>
          <w:szCs w:val="32"/>
        </w:rPr>
        <w:t xml:space="preserve">点。实施“互联网+医疗健康”工程，家庭医生线上签约突破 </w:t>
      </w:r>
      <w:r>
        <w:rPr>
          <w:rFonts w:ascii="Times New Roman" w:hAnsi="Times New Roman" w:eastAsia="Times New Roman"/>
          <w:spacing w:val="10"/>
          <w:w w:val="99"/>
          <w:sz w:val="32"/>
          <w:szCs w:val="32"/>
        </w:rPr>
        <w:t>1</w:t>
      </w:r>
      <w:r>
        <w:rPr>
          <w:rFonts w:ascii="Times New Roman" w:hAnsi="Times New Roman" w:eastAsia="Times New Roman"/>
          <w:w w:val="99"/>
          <w:sz w:val="32"/>
          <w:szCs w:val="32"/>
        </w:rPr>
        <w:t>7</w:t>
      </w:r>
      <w:r>
        <w:rPr>
          <w:rFonts w:ascii="Times New Roman" w:hAnsi="Times New Roman" w:eastAsia="Times New Roman"/>
          <w:spacing w:val="17"/>
          <w:sz w:val="32"/>
          <w:szCs w:val="32"/>
        </w:rPr>
        <w:t xml:space="preserve"> </w:t>
      </w:r>
      <w:r>
        <w:rPr>
          <w:spacing w:val="17"/>
          <w:w w:val="99"/>
          <w:sz w:val="32"/>
          <w:szCs w:val="32"/>
        </w:rPr>
        <w:t>万人，配合实施了自治区妇幼保健院、银川妇幼保健院阅</w:t>
      </w:r>
    </w:p>
    <w:p w14:paraId="539F9D9B">
      <w:pPr>
        <w:spacing w:line="328" w:lineRule="auto"/>
        <w:sectPr>
          <w:pgSz w:w="11910" w:h="16840"/>
          <w:pgMar w:top="1780" w:right="1220" w:bottom="1380" w:left="1360" w:header="0" w:footer="1196" w:gutter="0"/>
          <w:cols w:space="720" w:num="1"/>
        </w:sectPr>
      </w:pPr>
    </w:p>
    <w:p w14:paraId="438AAE7C">
      <w:pPr>
        <w:spacing w:before="31" w:line="328" w:lineRule="auto"/>
        <w:ind w:left="113" w:right="102"/>
        <w:rPr>
          <w:sz w:val="32"/>
          <w:szCs w:val="32"/>
        </w:rPr>
      </w:pPr>
      <w:r>
        <w:rPr>
          <w:spacing w:val="23"/>
          <w:w w:val="99"/>
          <w:sz w:val="32"/>
          <w:szCs w:val="32"/>
        </w:rPr>
        <w:t>海分院、银川中医院等重大医疗项目，远程门诊平台实现全</w:t>
      </w:r>
      <w:r>
        <w:rPr>
          <w:spacing w:val="11"/>
          <w:w w:val="99"/>
          <w:sz w:val="32"/>
          <w:szCs w:val="32"/>
        </w:rPr>
        <w:t>覆盖。医疗卫生体制改革有序推进，提标扩面提高村医待遇，</w:t>
      </w:r>
      <w:r>
        <w:rPr>
          <w:spacing w:val="23"/>
          <w:w w:val="99"/>
          <w:sz w:val="32"/>
          <w:szCs w:val="32"/>
        </w:rPr>
        <w:t>完善保障措施，推进乡村医生队伍职业化发展，夯实基层医</w:t>
      </w:r>
      <w:r>
        <w:rPr>
          <w:spacing w:val="24"/>
          <w:w w:val="99"/>
          <w:sz w:val="32"/>
          <w:szCs w:val="32"/>
        </w:rPr>
        <w:t>疗卫生服务体系建设。</w:t>
      </w:r>
      <w:r>
        <w:rPr>
          <w:b/>
          <w:i/>
          <w:spacing w:val="26"/>
          <w:w w:val="99"/>
          <w:sz w:val="32"/>
          <w:szCs w:val="32"/>
        </w:rPr>
        <w:t>就业形势总体向好。</w:t>
      </w:r>
      <w:r>
        <w:rPr>
          <w:spacing w:val="20"/>
          <w:w w:val="99"/>
          <w:sz w:val="32"/>
          <w:szCs w:val="32"/>
        </w:rPr>
        <w:t>城镇登记失业率</w:t>
      </w:r>
      <w:r>
        <w:rPr>
          <w:spacing w:val="14"/>
          <w:w w:val="99"/>
          <w:sz w:val="32"/>
          <w:szCs w:val="32"/>
        </w:rPr>
        <w:t>控制在</w:t>
      </w:r>
      <w:r>
        <w:rPr>
          <w:spacing w:val="-52"/>
          <w:sz w:val="32"/>
          <w:szCs w:val="32"/>
        </w:rPr>
        <w:t xml:space="preserve"> </w:t>
      </w:r>
      <w:r>
        <w:rPr>
          <w:rFonts w:ascii="Times New Roman" w:hAnsi="Times New Roman" w:eastAsia="Times New Roman"/>
          <w:spacing w:val="8"/>
          <w:w w:val="99"/>
          <w:sz w:val="32"/>
          <w:szCs w:val="32"/>
        </w:rPr>
        <w:t>4</w:t>
      </w:r>
      <w:r>
        <w:rPr>
          <w:rFonts w:ascii="Times New Roman" w:hAnsi="Times New Roman" w:eastAsia="Times New Roman"/>
          <w:spacing w:val="11"/>
          <w:w w:val="99"/>
          <w:sz w:val="32"/>
          <w:szCs w:val="32"/>
        </w:rPr>
        <w:t>.</w:t>
      </w:r>
      <w:r>
        <w:rPr>
          <w:rFonts w:ascii="Times New Roman" w:hAnsi="Times New Roman" w:eastAsia="Times New Roman"/>
          <w:spacing w:val="15"/>
          <w:w w:val="99"/>
          <w:sz w:val="32"/>
          <w:szCs w:val="32"/>
        </w:rPr>
        <w:t>5</w:t>
      </w:r>
      <w:r>
        <w:rPr>
          <w:rFonts w:ascii="Times New Roman" w:hAnsi="Times New Roman" w:eastAsia="Times New Roman"/>
          <w:spacing w:val="10"/>
          <w:w w:val="99"/>
          <w:sz w:val="32"/>
          <w:szCs w:val="32"/>
        </w:rPr>
        <w:t>%</w:t>
      </w:r>
      <w:r>
        <w:rPr>
          <w:spacing w:val="17"/>
          <w:w w:val="99"/>
          <w:sz w:val="32"/>
          <w:szCs w:val="32"/>
        </w:rPr>
        <w:t>以内，累计新增城镇就业</w:t>
      </w:r>
      <w:r>
        <w:rPr>
          <w:spacing w:val="-52"/>
          <w:sz w:val="32"/>
          <w:szCs w:val="32"/>
        </w:rPr>
        <w:t xml:space="preserve"> </w:t>
      </w:r>
      <w:r>
        <w:rPr>
          <w:rFonts w:ascii="Times New Roman" w:hAnsi="Times New Roman" w:eastAsia="Times New Roman"/>
          <w:spacing w:val="8"/>
          <w:w w:val="99"/>
          <w:sz w:val="32"/>
          <w:szCs w:val="32"/>
        </w:rPr>
        <w:t>3</w:t>
      </w:r>
      <w:r>
        <w:rPr>
          <w:rFonts w:ascii="Times New Roman" w:hAnsi="Times New Roman" w:eastAsia="Times New Roman"/>
          <w:spacing w:val="10"/>
          <w:w w:val="99"/>
          <w:sz w:val="32"/>
          <w:szCs w:val="32"/>
        </w:rPr>
        <w:t>291</w:t>
      </w:r>
      <w:r>
        <w:rPr>
          <w:rFonts w:ascii="Times New Roman" w:hAnsi="Times New Roman" w:eastAsia="Times New Roman"/>
          <w:w w:val="99"/>
          <w:sz w:val="32"/>
          <w:szCs w:val="32"/>
        </w:rPr>
        <w:t>2</w:t>
      </w:r>
      <w:r>
        <w:rPr>
          <w:rFonts w:ascii="Times New Roman" w:hAnsi="Times New Roman" w:eastAsia="Times New Roman"/>
          <w:spacing w:val="22"/>
          <w:sz w:val="32"/>
          <w:szCs w:val="32"/>
        </w:rPr>
        <w:t xml:space="preserve"> </w:t>
      </w:r>
      <w:r>
        <w:rPr>
          <w:spacing w:val="13"/>
          <w:w w:val="99"/>
          <w:sz w:val="32"/>
          <w:szCs w:val="32"/>
        </w:rPr>
        <w:t>人、农村劳动力</w:t>
      </w:r>
      <w:r>
        <w:rPr>
          <w:spacing w:val="18"/>
          <w:w w:val="99"/>
          <w:sz w:val="32"/>
          <w:szCs w:val="32"/>
        </w:rPr>
        <w:t>转移就业</w:t>
      </w:r>
      <w:r>
        <w:rPr>
          <w:spacing w:val="-50"/>
          <w:sz w:val="32"/>
          <w:szCs w:val="32"/>
        </w:rPr>
        <w:t xml:space="preserve"> </w:t>
      </w:r>
      <w:r>
        <w:rPr>
          <w:rFonts w:ascii="Times New Roman" w:hAnsi="Times New Roman" w:eastAsia="Times New Roman"/>
          <w:spacing w:val="6"/>
          <w:w w:val="99"/>
          <w:sz w:val="32"/>
          <w:szCs w:val="32"/>
        </w:rPr>
        <w:t>4</w:t>
      </w:r>
      <w:r>
        <w:rPr>
          <w:rFonts w:ascii="Times New Roman" w:hAnsi="Times New Roman" w:eastAsia="Times New Roman"/>
          <w:spacing w:val="13"/>
          <w:w w:val="99"/>
          <w:sz w:val="32"/>
          <w:szCs w:val="32"/>
        </w:rPr>
        <w:t>6</w:t>
      </w:r>
      <w:r>
        <w:rPr>
          <w:rFonts w:ascii="Times New Roman" w:hAnsi="Times New Roman" w:eastAsia="Times New Roman"/>
          <w:spacing w:val="10"/>
          <w:w w:val="99"/>
          <w:sz w:val="32"/>
          <w:szCs w:val="32"/>
        </w:rPr>
        <w:t>95</w:t>
      </w:r>
      <w:r>
        <w:rPr>
          <w:rFonts w:ascii="Times New Roman" w:hAnsi="Times New Roman" w:eastAsia="Times New Roman"/>
          <w:w w:val="99"/>
          <w:sz w:val="32"/>
          <w:szCs w:val="32"/>
        </w:rPr>
        <w:t>2</w:t>
      </w:r>
      <w:r>
        <w:rPr>
          <w:rFonts w:ascii="Times New Roman" w:hAnsi="Times New Roman" w:eastAsia="Times New Roman"/>
          <w:spacing w:val="24"/>
          <w:sz w:val="32"/>
          <w:szCs w:val="32"/>
        </w:rPr>
        <w:t xml:space="preserve"> </w:t>
      </w:r>
      <w:r>
        <w:rPr>
          <w:spacing w:val="25"/>
          <w:w w:val="99"/>
          <w:sz w:val="32"/>
          <w:szCs w:val="32"/>
        </w:rPr>
        <w:t>人。</w:t>
      </w:r>
      <w:r>
        <w:rPr>
          <w:b/>
          <w:i/>
          <w:spacing w:val="25"/>
          <w:w w:val="99"/>
          <w:sz w:val="32"/>
          <w:szCs w:val="32"/>
        </w:rPr>
        <w:t>文体事业蓬勃发展。</w:t>
      </w:r>
      <w:r>
        <w:rPr>
          <w:spacing w:val="21"/>
          <w:w w:val="99"/>
          <w:sz w:val="32"/>
          <w:szCs w:val="32"/>
        </w:rPr>
        <w:t>金凤区文化馆、图</w:t>
      </w:r>
      <w:r>
        <w:rPr>
          <w:spacing w:val="17"/>
          <w:w w:val="99"/>
          <w:sz w:val="32"/>
          <w:szCs w:val="32"/>
        </w:rPr>
        <w:t>书馆被评为国家二级馆室，</w:t>
      </w:r>
      <w:r>
        <w:rPr>
          <w:rFonts w:ascii="Times New Roman" w:hAnsi="Times New Roman" w:eastAsia="Times New Roman"/>
          <w:w w:val="99"/>
          <w:sz w:val="32"/>
          <w:szCs w:val="32"/>
        </w:rPr>
        <w:t>8</w:t>
      </w:r>
      <w:r>
        <w:rPr>
          <w:rFonts w:ascii="Times New Roman" w:hAnsi="Times New Roman" w:eastAsia="Times New Roman"/>
          <w:spacing w:val="14"/>
          <w:sz w:val="32"/>
          <w:szCs w:val="32"/>
        </w:rPr>
        <w:t xml:space="preserve"> </w:t>
      </w:r>
      <w:r>
        <w:rPr>
          <w:spacing w:val="-3"/>
          <w:w w:val="99"/>
          <w:sz w:val="32"/>
          <w:szCs w:val="32"/>
        </w:rPr>
        <w:t>座“悦书房”浸润“书香金凤”，</w:t>
      </w:r>
      <w:r>
        <w:rPr>
          <w:spacing w:val="12"/>
          <w:w w:val="99"/>
          <w:sz w:val="32"/>
          <w:szCs w:val="32"/>
        </w:rPr>
        <w:t>积极开展“魅力金凤黄河诗歌朗诵会</w:t>
      </w:r>
      <w:r>
        <w:rPr>
          <w:spacing w:val="-23"/>
          <w:w w:val="99"/>
          <w:sz w:val="32"/>
          <w:szCs w:val="32"/>
        </w:rPr>
        <w:t>”“文化金凤</w:t>
      </w:r>
      <w:r>
        <w:rPr>
          <w:spacing w:val="-70"/>
          <w:w w:val="99"/>
          <w:sz w:val="32"/>
          <w:szCs w:val="32"/>
        </w:rPr>
        <w:t>·</w:t>
      </w:r>
      <w:r>
        <w:rPr>
          <w:spacing w:val="16"/>
          <w:w w:val="99"/>
          <w:sz w:val="32"/>
          <w:szCs w:val="32"/>
        </w:rPr>
        <w:t>四季欢歌”</w:t>
      </w:r>
      <w:r>
        <w:rPr>
          <w:spacing w:val="23"/>
          <w:w w:val="99"/>
          <w:sz w:val="32"/>
          <w:szCs w:val="32"/>
        </w:rPr>
        <w:t>系列群众性文化活动，环阅海健身旅游休闲圈成功入选“中</w:t>
      </w:r>
      <w:r>
        <w:rPr>
          <w:spacing w:val="4"/>
          <w:w w:val="99"/>
          <w:sz w:val="32"/>
          <w:szCs w:val="32"/>
        </w:rPr>
        <w:t>国旅游精品线路”，荣获自治区群众体育先进单位称号。</w:t>
      </w:r>
      <w:r>
        <w:rPr>
          <w:b/>
          <w:i/>
          <w:spacing w:val="12"/>
          <w:w w:val="99"/>
          <w:sz w:val="32"/>
          <w:szCs w:val="32"/>
        </w:rPr>
        <w:t>社会</w:t>
      </w:r>
      <w:r>
        <w:rPr>
          <w:b/>
          <w:i/>
          <w:spacing w:val="26"/>
          <w:w w:val="99"/>
          <w:sz w:val="32"/>
          <w:szCs w:val="32"/>
        </w:rPr>
        <w:t>保障日益完善。</w:t>
      </w:r>
      <w:r>
        <w:rPr>
          <w:spacing w:val="22"/>
          <w:w w:val="99"/>
          <w:sz w:val="32"/>
          <w:szCs w:val="32"/>
        </w:rPr>
        <w:t>社保参保持续扩面，城乡居民养老保险、医</w:t>
      </w:r>
      <w:r>
        <w:rPr>
          <w:spacing w:val="20"/>
          <w:w w:val="99"/>
          <w:sz w:val="32"/>
          <w:szCs w:val="32"/>
        </w:rPr>
        <w:t>疗保险参保率分别达</w:t>
      </w:r>
      <w:r>
        <w:rPr>
          <w:spacing w:val="-52"/>
          <w:sz w:val="32"/>
          <w:szCs w:val="32"/>
        </w:rPr>
        <w:t xml:space="preserve"> </w:t>
      </w:r>
      <w:r>
        <w:rPr>
          <w:rFonts w:ascii="Times New Roman" w:hAnsi="Times New Roman" w:eastAsia="Times New Roman"/>
          <w:spacing w:val="8"/>
          <w:w w:val="99"/>
          <w:sz w:val="32"/>
          <w:szCs w:val="32"/>
        </w:rPr>
        <w:t>9</w:t>
      </w:r>
      <w:r>
        <w:rPr>
          <w:rFonts w:ascii="Times New Roman" w:hAnsi="Times New Roman" w:eastAsia="Times New Roman"/>
          <w:spacing w:val="10"/>
          <w:w w:val="99"/>
          <w:sz w:val="32"/>
          <w:szCs w:val="32"/>
        </w:rPr>
        <w:t>8</w:t>
      </w:r>
      <w:r>
        <w:rPr>
          <w:rFonts w:ascii="Times New Roman" w:hAnsi="Times New Roman" w:eastAsia="Times New Roman"/>
          <w:spacing w:val="11"/>
          <w:w w:val="99"/>
          <w:sz w:val="32"/>
          <w:szCs w:val="32"/>
        </w:rPr>
        <w:t>.</w:t>
      </w:r>
      <w:r>
        <w:rPr>
          <w:rFonts w:ascii="Times New Roman" w:hAnsi="Times New Roman" w:eastAsia="Times New Roman"/>
          <w:spacing w:val="15"/>
          <w:w w:val="99"/>
          <w:sz w:val="32"/>
          <w:szCs w:val="32"/>
        </w:rPr>
        <w:t>3</w:t>
      </w:r>
      <w:r>
        <w:rPr>
          <w:rFonts w:ascii="Times New Roman" w:hAnsi="Times New Roman" w:eastAsia="Times New Roman"/>
          <w:spacing w:val="12"/>
          <w:w w:val="99"/>
          <w:sz w:val="32"/>
          <w:szCs w:val="32"/>
        </w:rPr>
        <w:t>%</w:t>
      </w:r>
      <w:r>
        <w:rPr>
          <w:spacing w:val="24"/>
          <w:w w:val="99"/>
          <w:sz w:val="32"/>
          <w:szCs w:val="32"/>
        </w:rPr>
        <w:t>、</w:t>
      </w:r>
      <w:r>
        <w:rPr>
          <w:rFonts w:ascii="Times New Roman" w:hAnsi="Times New Roman" w:eastAsia="Times New Roman"/>
          <w:spacing w:val="8"/>
          <w:w w:val="99"/>
          <w:sz w:val="32"/>
          <w:szCs w:val="32"/>
        </w:rPr>
        <w:t>1</w:t>
      </w:r>
      <w:r>
        <w:rPr>
          <w:rFonts w:ascii="Times New Roman" w:hAnsi="Times New Roman" w:eastAsia="Times New Roman"/>
          <w:spacing w:val="15"/>
          <w:w w:val="99"/>
          <w:sz w:val="32"/>
          <w:szCs w:val="32"/>
        </w:rPr>
        <w:t>0</w:t>
      </w:r>
      <w:r>
        <w:rPr>
          <w:rFonts w:ascii="Times New Roman" w:hAnsi="Times New Roman" w:eastAsia="Times New Roman"/>
          <w:spacing w:val="10"/>
          <w:w w:val="99"/>
          <w:sz w:val="32"/>
          <w:szCs w:val="32"/>
        </w:rPr>
        <w:t>7</w:t>
      </w:r>
      <w:r>
        <w:rPr>
          <w:rFonts w:ascii="Times New Roman" w:hAnsi="Times New Roman" w:eastAsia="Times New Roman"/>
          <w:spacing w:val="12"/>
          <w:w w:val="99"/>
          <w:sz w:val="32"/>
          <w:szCs w:val="32"/>
        </w:rPr>
        <w:t>%</w:t>
      </w:r>
      <w:r>
        <w:rPr>
          <w:spacing w:val="20"/>
          <w:w w:val="99"/>
          <w:sz w:val="32"/>
          <w:szCs w:val="32"/>
        </w:rPr>
        <w:t>，居全市前列。建立和完</w:t>
      </w:r>
      <w:r>
        <w:rPr>
          <w:spacing w:val="23"/>
          <w:w w:val="99"/>
          <w:sz w:val="32"/>
          <w:szCs w:val="32"/>
        </w:rPr>
        <w:t>善以居家养老为基础、社区养老为依托、机构养老为补充、医养相结合的社会养老服务体系，满足老年人多元化的养老</w:t>
      </w:r>
      <w:r>
        <w:rPr>
          <w:spacing w:val="24"/>
          <w:w w:val="99"/>
          <w:sz w:val="32"/>
          <w:szCs w:val="32"/>
        </w:rPr>
        <w:t>服务需求。</w:t>
      </w:r>
      <w:r>
        <w:rPr>
          <w:b/>
          <w:i/>
          <w:spacing w:val="26"/>
          <w:w w:val="99"/>
          <w:sz w:val="32"/>
          <w:szCs w:val="32"/>
        </w:rPr>
        <w:t>社会治理成效明显。</w:t>
      </w:r>
      <w:r>
        <w:rPr>
          <w:spacing w:val="22"/>
          <w:w w:val="99"/>
          <w:sz w:val="32"/>
          <w:szCs w:val="32"/>
        </w:rPr>
        <w:t>加快推进数字社区建设，打</w:t>
      </w:r>
      <w:r>
        <w:rPr>
          <w:spacing w:val="23"/>
          <w:w w:val="99"/>
          <w:sz w:val="32"/>
          <w:szCs w:val="32"/>
        </w:rPr>
        <w:t>造建发枫林湾、新海家园、未来城、阅海万家等数字社区试</w:t>
      </w:r>
      <w:r>
        <w:rPr>
          <w:spacing w:val="4"/>
          <w:w w:val="99"/>
          <w:sz w:val="32"/>
          <w:szCs w:val="32"/>
        </w:rPr>
        <w:t>点；深入推进“雪亮工程”，学习推广“枫桥经验”，健全完</w:t>
      </w:r>
      <w:r>
        <w:rPr>
          <w:spacing w:val="23"/>
          <w:w w:val="99"/>
          <w:sz w:val="32"/>
          <w:szCs w:val="32"/>
        </w:rPr>
        <w:t>善多元化矛盾纠纷排查化解机制。纵深推进“扫黑除恶”专项斗争，打掉自治区首个“套路贷”恶势力犯罪团伙。试点推行“一级指挥，三级联动”扁平化高效指挥新模式，结案</w:t>
      </w:r>
      <w:r>
        <w:rPr>
          <w:spacing w:val="14"/>
          <w:w w:val="99"/>
          <w:sz w:val="32"/>
          <w:szCs w:val="32"/>
        </w:rPr>
        <w:t>率达</w:t>
      </w:r>
      <w:r>
        <w:rPr>
          <w:spacing w:val="-47"/>
          <w:sz w:val="32"/>
          <w:szCs w:val="32"/>
        </w:rPr>
        <w:t xml:space="preserve"> </w:t>
      </w:r>
      <w:r>
        <w:rPr>
          <w:rFonts w:ascii="Times New Roman" w:hAnsi="Times New Roman" w:eastAsia="Times New Roman"/>
          <w:spacing w:val="8"/>
          <w:w w:val="99"/>
          <w:sz w:val="32"/>
          <w:szCs w:val="32"/>
        </w:rPr>
        <w:t>9</w:t>
      </w:r>
      <w:r>
        <w:rPr>
          <w:rFonts w:ascii="Times New Roman" w:hAnsi="Times New Roman" w:eastAsia="Times New Roman"/>
          <w:spacing w:val="10"/>
          <w:w w:val="99"/>
          <w:sz w:val="32"/>
          <w:szCs w:val="32"/>
        </w:rPr>
        <w:t>9</w:t>
      </w:r>
      <w:r>
        <w:rPr>
          <w:rFonts w:ascii="Times New Roman" w:hAnsi="Times New Roman" w:eastAsia="Times New Roman"/>
          <w:spacing w:val="11"/>
          <w:w w:val="99"/>
          <w:sz w:val="32"/>
          <w:szCs w:val="32"/>
        </w:rPr>
        <w:t>.</w:t>
      </w:r>
      <w:r>
        <w:rPr>
          <w:rFonts w:ascii="Times New Roman" w:hAnsi="Times New Roman" w:eastAsia="Times New Roman"/>
          <w:spacing w:val="10"/>
          <w:w w:val="99"/>
          <w:sz w:val="32"/>
          <w:szCs w:val="32"/>
        </w:rPr>
        <w:t>8</w:t>
      </w:r>
      <w:r>
        <w:rPr>
          <w:rFonts w:ascii="Times New Roman" w:hAnsi="Times New Roman" w:eastAsia="Times New Roman"/>
          <w:spacing w:val="22"/>
          <w:w w:val="99"/>
          <w:sz w:val="32"/>
          <w:szCs w:val="32"/>
        </w:rPr>
        <w:t>%</w:t>
      </w:r>
      <w:r>
        <w:rPr>
          <w:spacing w:val="22"/>
          <w:w w:val="99"/>
          <w:sz w:val="32"/>
          <w:szCs w:val="32"/>
        </w:rPr>
        <w:t>。深入开展“</w:t>
      </w:r>
      <w:r>
        <w:rPr>
          <w:spacing w:val="-131"/>
          <w:sz w:val="32"/>
          <w:szCs w:val="32"/>
        </w:rPr>
        <w:t xml:space="preserve"> </w:t>
      </w:r>
      <w:r>
        <w:rPr>
          <w:spacing w:val="19"/>
          <w:w w:val="99"/>
          <w:sz w:val="32"/>
          <w:szCs w:val="32"/>
        </w:rPr>
        <w:t>五进”</w:t>
      </w:r>
      <w:r>
        <w:rPr>
          <w:spacing w:val="-131"/>
          <w:sz w:val="32"/>
          <w:szCs w:val="32"/>
        </w:rPr>
        <w:t xml:space="preserve"> </w:t>
      </w:r>
      <w:r>
        <w:rPr>
          <w:spacing w:val="24"/>
          <w:w w:val="99"/>
          <w:sz w:val="32"/>
          <w:szCs w:val="32"/>
        </w:rPr>
        <w:t>宗教场所活动，国防动员、</w:t>
      </w:r>
      <w:r>
        <w:rPr>
          <w:spacing w:val="23"/>
          <w:w w:val="99"/>
          <w:sz w:val="32"/>
          <w:szCs w:val="32"/>
        </w:rPr>
        <w:t>统计、审计、史志档案、妇女儿童等各项工作不断加强。双拥工作开展成效显著，退役军人服务保障体系建立完善，退</w:t>
      </w:r>
      <w:r>
        <w:rPr>
          <w:spacing w:val="19"/>
          <w:w w:val="99"/>
          <w:sz w:val="32"/>
          <w:szCs w:val="32"/>
        </w:rPr>
        <w:t>役军人服务管理工作不断加强。</w:t>
      </w:r>
    </w:p>
    <w:p w14:paraId="00E61252">
      <w:pPr>
        <w:spacing w:line="328" w:lineRule="auto"/>
        <w:sectPr>
          <w:pgSz w:w="11910" w:h="16840"/>
          <w:pgMar w:top="1780" w:right="1220" w:bottom="1380" w:left="1360" w:header="0" w:footer="1196" w:gutter="0"/>
          <w:cols w:space="720" w:num="1"/>
        </w:sectPr>
      </w:pPr>
    </w:p>
    <w:p w14:paraId="5C1E2BF2">
      <w:pPr>
        <w:spacing w:before="31"/>
        <w:ind w:left="797"/>
        <w:rPr>
          <w:rFonts w:ascii="黑体" w:eastAsia="黑体"/>
          <w:sz w:val="32"/>
          <w:szCs w:val="32"/>
        </w:rPr>
      </w:pPr>
      <w:r>
        <w:rPr>
          <w:rFonts w:ascii="黑体" w:eastAsia="黑体"/>
          <w:spacing w:val="19"/>
          <w:w w:val="95"/>
          <w:sz w:val="32"/>
          <w:szCs w:val="32"/>
        </w:rPr>
        <w:t>八、决胜全面小康社会，发展取得历史成就</w:t>
      </w:r>
    </w:p>
    <w:p w14:paraId="0C88CFA3">
      <w:pPr>
        <w:spacing w:before="151" w:line="328" w:lineRule="auto"/>
        <w:ind w:left="113" w:right="273" w:firstLine="684"/>
        <w:jc w:val="both"/>
        <w:rPr>
          <w:sz w:val="32"/>
          <w:szCs w:val="32"/>
        </w:rPr>
      </w:pPr>
      <w:r>
        <w:rPr>
          <w:spacing w:val="23"/>
          <w:w w:val="99"/>
          <w:sz w:val="32"/>
          <w:szCs w:val="32"/>
        </w:rPr>
        <w:t>“十三五”以来，始终把坚决打赢脱贫攻坚战作为首要政治任务和头号民生工程，坚持精准扶贫、精准脱贫基本方略，下足“绣花”功夫，做好“精准”文章，以产业精准扶</w:t>
      </w:r>
      <w:r>
        <w:rPr>
          <w:spacing w:val="14"/>
          <w:w w:val="99"/>
          <w:sz w:val="32"/>
          <w:szCs w:val="32"/>
        </w:rPr>
        <w:t>贫为主抓手，统筹推进“五个一批</w:t>
      </w:r>
      <w:r>
        <w:rPr>
          <w:w w:val="99"/>
          <w:sz w:val="32"/>
          <w:szCs w:val="32"/>
        </w:rPr>
        <w:t>”“六个精准”等措施有效</w:t>
      </w:r>
      <w:r>
        <w:rPr>
          <w:spacing w:val="23"/>
          <w:w w:val="99"/>
          <w:sz w:val="32"/>
          <w:szCs w:val="32"/>
        </w:rPr>
        <w:t>落实，脱贫攻坚步伐迈出有力、行至稳健、效果明显。五年</w:t>
      </w:r>
      <w:r>
        <w:rPr>
          <w:spacing w:val="18"/>
          <w:w w:val="99"/>
          <w:sz w:val="32"/>
          <w:szCs w:val="32"/>
        </w:rPr>
        <w:t>来累计完成脱贫退出</w:t>
      </w:r>
      <w:r>
        <w:rPr>
          <w:spacing w:val="-52"/>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36</w:t>
      </w:r>
      <w:r>
        <w:rPr>
          <w:rFonts w:ascii="Times New Roman" w:hAnsi="Times New Roman" w:eastAsia="Times New Roman"/>
          <w:w w:val="99"/>
          <w:sz w:val="32"/>
          <w:szCs w:val="32"/>
        </w:rPr>
        <w:t>9</w:t>
      </w:r>
      <w:r>
        <w:rPr>
          <w:rFonts w:ascii="Times New Roman" w:hAnsi="Times New Roman" w:eastAsia="Times New Roman"/>
          <w:spacing w:val="22"/>
          <w:sz w:val="32"/>
          <w:szCs w:val="32"/>
        </w:rPr>
        <w:t xml:space="preserve"> </w:t>
      </w:r>
      <w:r>
        <w:rPr>
          <w:w w:val="99"/>
          <w:sz w:val="32"/>
          <w:szCs w:val="32"/>
        </w:rPr>
        <w:t>户</w:t>
      </w:r>
      <w:r>
        <w:rPr>
          <w:spacing w:val="-52"/>
          <w:sz w:val="32"/>
          <w:szCs w:val="32"/>
        </w:rPr>
        <w:t xml:space="preserve"> </w:t>
      </w:r>
      <w:r>
        <w:rPr>
          <w:rFonts w:ascii="Times New Roman" w:hAnsi="Times New Roman" w:eastAsia="Times New Roman"/>
          <w:spacing w:val="8"/>
          <w:w w:val="99"/>
          <w:sz w:val="32"/>
          <w:szCs w:val="32"/>
        </w:rPr>
        <w:t>5</w:t>
      </w:r>
      <w:r>
        <w:rPr>
          <w:rFonts w:ascii="Times New Roman" w:hAnsi="Times New Roman" w:eastAsia="Times New Roman"/>
          <w:spacing w:val="10"/>
          <w:w w:val="99"/>
          <w:sz w:val="32"/>
          <w:szCs w:val="32"/>
        </w:rPr>
        <w:t>68</w:t>
      </w:r>
      <w:r>
        <w:rPr>
          <w:rFonts w:ascii="Times New Roman" w:hAnsi="Times New Roman" w:eastAsia="Times New Roman"/>
          <w:w w:val="99"/>
          <w:sz w:val="32"/>
          <w:szCs w:val="32"/>
        </w:rPr>
        <w:t>5</w:t>
      </w:r>
      <w:r>
        <w:rPr>
          <w:rFonts w:ascii="Times New Roman" w:hAnsi="Times New Roman" w:eastAsia="Times New Roman"/>
          <w:spacing w:val="22"/>
          <w:sz w:val="32"/>
          <w:szCs w:val="32"/>
        </w:rPr>
        <w:t xml:space="preserve"> </w:t>
      </w:r>
      <w:r>
        <w:rPr>
          <w:spacing w:val="13"/>
          <w:w w:val="99"/>
          <w:sz w:val="32"/>
          <w:szCs w:val="32"/>
        </w:rPr>
        <w:t>人，</w:t>
      </w:r>
      <w:r>
        <w:rPr>
          <w:rFonts w:ascii="Times New Roman" w:hAnsi="Times New Roman" w:eastAsia="Times New Roman"/>
          <w:spacing w:val="8"/>
          <w:w w:val="99"/>
          <w:sz w:val="32"/>
          <w:szCs w:val="32"/>
        </w:rPr>
        <w:t>1</w:t>
      </w:r>
      <w:r>
        <w:rPr>
          <w:rFonts w:ascii="Times New Roman" w:hAnsi="Times New Roman" w:eastAsia="Times New Roman"/>
          <w:w w:val="99"/>
          <w:sz w:val="32"/>
          <w:szCs w:val="32"/>
        </w:rPr>
        <w:t>0</w:t>
      </w:r>
      <w:r>
        <w:rPr>
          <w:rFonts w:ascii="Times New Roman" w:hAnsi="Times New Roman" w:eastAsia="Times New Roman"/>
          <w:spacing w:val="19"/>
          <w:sz w:val="32"/>
          <w:szCs w:val="32"/>
        </w:rPr>
        <w:t xml:space="preserve"> </w:t>
      </w:r>
      <w:r>
        <w:rPr>
          <w:spacing w:val="18"/>
          <w:w w:val="99"/>
          <w:sz w:val="32"/>
          <w:szCs w:val="32"/>
        </w:rPr>
        <w:t>个贫困村全部脱贫</w:t>
      </w:r>
      <w:r>
        <w:rPr>
          <w:spacing w:val="23"/>
          <w:w w:val="99"/>
          <w:sz w:val="32"/>
          <w:szCs w:val="32"/>
        </w:rPr>
        <w:t>出列。全面完成“十三五”移民搬迁任务，安置润丰村生态</w:t>
      </w:r>
      <w:r>
        <w:rPr>
          <w:spacing w:val="12"/>
          <w:w w:val="99"/>
          <w:sz w:val="32"/>
          <w:szCs w:val="32"/>
        </w:rPr>
        <w:t>移民</w:t>
      </w:r>
      <w:r>
        <w:rPr>
          <w:spacing w:val="-52"/>
          <w:sz w:val="32"/>
          <w:szCs w:val="32"/>
        </w:rPr>
        <w:t xml:space="preserve"> </w:t>
      </w:r>
      <w:r>
        <w:rPr>
          <w:rFonts w:ascii="Times New Roman" w:hAnsi="Times New Roman" w:eastAsia="Times New Roman"/>
          <w:spacing w:val="6"/>
          <w:w w:val="99"/>
          <w:sz w:val="32"/>
          <w:szCs w:val="32"/>
        </w:rPr>
        <w:t>3</w:t>
      </w:r>
      <w:r>
        <w:rPr>
          <w:rFonts w:ascii="Times New Roman" w:hAnsi="Times New Roman" w:eastAsia="Times New Roman"/>
          <w:spacing w:val="13"/>
          <w:w w:val="99"/>
          <w:sz w:val="32"/>
          <w:szCs w:val="32"/>
        </w:rPr>
        <w:t>2</w:t>
      </w:r>
      <w:r>
        <w:rPr>
          <w:rFonts w:ascii="Times New Roman" w:hAnsi="Times New Roman" w:eastAsia="Times New Roman"/>
          <w:w w:val="99"/>
          <w:sz w:val="32"/>
          <w:szCs w:val="32"/>
        </w:rPr>
        <w:t>7</w:t>
      </w:r>
      <w:r>
        <w:rPr>
          <w:rFonts w:ascii="Times New Roman" w:hAnsi="Times New Roman" w:eastAsia="Times New Roman"/>
          <w:spacing w:val="19"/>
          <w:sz w:val="32"/>
          <w:szCs w:val="32"/>
        </w:rPr>
        <w:t xml:space="preserve"> </w:t>
      </w:r>
      <w:r>
        <w:rPr>
          <w:w w:val="99"/>
          <w:sz w:val="32"/>
          <w:szCs w:val="32"/>
        </w:rPr>
        <w:t>户</w:t>
      </w:r>
      <w:r>
        <w:rPr>
          <w:spacing w:val="-52"/>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33</w:t>
      </w:r>
      <w:r>
        <w:rPr>
          <w:rFonts w:ascii="Times New Roman" w:hAnsi="Times New Roman" w:eastAsia="Times New Roman"/>
          <w:w w:val="99"/>
          <w:sz w:val="32"/>
          <w:szCs w:val="32"/>
        </w:rPr>
        <w:t>8</w:t>
      </w:r>
      <w:r>
        <w:rPr>
          <w:rFonts w:ascii="Times New Roman" w:hAnsi="Times New Roman" w:eastAsia="Times New Roman"/>
          <w:spacing w:val="22"/>
          <w:sz w:val="32"/>
          <w:szCs w:val="32"/>
        </w:rPr>
        <w:t xml:space="preserve"> </w:t>
      </w:r>
      <w:r>
        <w:rPr>
          <w:spacing w:val="10"/>
          <w:w w:val="99"/>
          <w:sz w:val="32"/>
          <w:szCs w:val="32"/>
        </w:rPr>
        <w:t>人。全国易地扶贫搬迁后续扶持工作现场会</w:t>
      </w:r>
    </w:p>
    <w:p w14:paraId="77926931">
      <w:pPr>
        <w:spacing w:line="395" w:lineRule="exact"/>
        <w:ind w:left="113"/>
        <w:jc w:val="both"/>
        <w:rPr>
          <w:sz w:val="32"/>
          <w:szCs w:val="32"/>
        </w:rPr>
      </w:pPr>
      <w:r>
        <w:rPr>
          <w:spacing w:val="32"/>
          <w:w w:val="95"/>
          <w:sz w:val="32"/>
          <w:szCs w:val="32"/>
        </w:rPr>
        <w:t>在润</w:t>
      </w:r>
      <w:r>
        <w:rPr>
          <w:spacing w:val="33"/>
          <w:w w:val="95"/>
          <w:sz w:val="32"/>
          <w:szCs w:val="32"/>
        </w:rPr>
        <w:t>丰村</w:t>
      </w:r>
      <w:r>
        <w:rPr>
          <w:spacing w:val="-6"/>
          <w:w w:val="95"/>
          <w:sz w:val="32"/>
          <w:szCs w:val="32"/>
        </w:rPr>
        <w:t xml:space="preserve">召开， </w:t>
      </w:r>
      <w:r>
        <w:rPr>
          <w:spacing w:val="33"/>
          <w:w w:val="95"/>
          <w:sz w:val="32"/>
          <w:szCs w:val="32"/>
        </w:rPr>
        <w:t>金凤</w:t>
      </w:r>
      <w:r>
        <w:rPr>
          <w:spacing w:val="31"/>
          <w:w w:val="95"/>
          <w:sz w:val="32"/>
          <w:szCs w:val="32"/>
        </w:rPr>
        <w:t>区</w:t>
      </w:r>
      <w:r>
        <w:rPr>
          <w:spacing w:val="33"/>
          <w:w w:val="95"/>
          <w:sz w:val="32"/>
          <w:szCs w:val="32"/>
        </w:rPr>
        <w:t>消费</w:t>
      </w:r>
      <w:r>
        <w:rPr>
          <w:spacing w:val="31"/>
          <w:w w:val="95"/>
          <w:sz w:val="32"/>
          <w:szCs w:val="32"/>
        </w:rPr>
        <w:t>扶贫经</w:t>
      </w:r>
      <w:r>
        <w:rPr>
          <w:spacing w:val="33"/>
          <w:w w:val="95"/>
          <w:sz w:val="32"/>
          <w:szCs w:val="32"/>
        </w:rPr>
        <w:t>验获</w:t>
      </w:r>
      <w:r>
        <w:rPr>
          <w:spacing w:val="21"/>
          <w:w w:val="95"/>
          <w:sz w:val="32"/>
          <w:szCs w:val="32"/>
        </w:rPr>
        <w:t>选全国</w:t>
      </w:r>
      <w:r>
        <w:rPr>
          <w:spacing w:val="20"/>
          <w:w w:val="150"/>
          <w:sz w:val="32"/>
          <w:szCs w:val="32"/>
        </w:rPr>
        <w:t xml:space="preserve"> </w:t>
      </w:r>
      <w:r>
        <w:rPr>
          <w:rFonts w:ascii="Times New Roman" w:eastAsia="Times New Roman"/>
          <w:w w:val="95"/>
          <w:sz w:val="32"/>
          <w:szCs w:val="32"/>
        </w:rPr>
        <w:t>50</w:t>
      </w:r>
      <w:r>
        <w:rPr>
          <w:rFonts w:ascii="Times New Roman" w:eastAsia="Times New Roman"/>
          <w:spacing w:val="43"/>
          <w:sz w:val="32"/>
          <w:szCs w:val="32"/>
        </w:rPr>
        <w:t xml:space="preserve">  </w:t>
      </w:r>
      <w:r>
        <w:rPr>
          <w:spacing w:val="21"/>
          <w:w w:val="95"/>
          <w:sz w:val="32"/>
          <w:szCs w:val="32"/>
        </w:rPr>
        <w:t>大优秀案</w:t>
      </w:r>
    </w:p>
    <w:p w14:paraId="46DA79DB">
      <w:pPr>
        <w:spacing w:before="152" w:line="326" w:lineRule="auto"/>
        <w:ind w:left="113" w:right="273"/>
        <w:jc w:val="both"/>
        <w:rPr>
          <w:sz w:val="32"/>
          <w:szCs w:val="32"/>
        </w:rPr>
      </w:pPr>
      <w:r>
        <w:rPr>
          <w:spacing w:val="-5"/>
          <w:sz w:val="32"/>
          <w:szCs w:val="32"/>
        </w:rPr>
        <w:t xml:space="preserve">例。从 </w:t>
      </w:r>
      <w:r>
        <w:rPr>
          <w:rFonts w:ascii="Times New Roman" w:eastAsia="Times New Roman"/>
          <w:sz w:val="32"/>
          <w:szCs w:val="32"/>
        </w:rPr>
        <w:t>2019</w:t>
      </w:r>
      <w:r>
        <w:rPr>
          <w:rFonts w:ascii="Times New Roman" w:eastAsia="Times New Roman"/>
          <w:spacing w:val="-20"/>
          <w:sz w:val="32"/>
          <w:szCs w:val="32"/>
        </w:rPr>
        <w:t xml:space="preserve"> </w:t>
      </w:r>
      <w:r>
        <w:rPr>
          <w:spacing w:val="18"/>
          <w:sz w:val="32"/>
          <w:szCs w:val="32"/>
        </w:rPr>
        <w:t>年自治区统计局监测结果看，辖区全面小康指数</w:t>
      </w:r>
      <w:r>
        <w:rPr>
          <w:spacing w:val="24"/>
          <w:sz w:val="32"/>
          <w:szCs w:val="32"/>
        </w:rPr>
        <w:t>已经</w:t>
      </w:r>
      <w:r>
        <w:rPr>
          <w:spacing w:val="-5"/>
          <w:sz w:val="32"/>
          <w:szCs w:val="32"/>
        </w:rPr>
        <w:t xml:space="preserve">达到 </w:t>
      </w:r>
      <w:r>
        <w:rPr>
          <w:rFonts w:ascii="Times New Roman" w:eastAsia="Times New Roman"/>
          <w:spacing w:val="11"/>
          <w:sz w:val="32"/>
          <w:szCs w:val="32"/>
        </w:rPr>
        <w:t>98.6%</w:t>
      </w:r>
      <w:r>
        <w:rPr>
          <w:spacing w:val="11"/>
          <w:sz w:val="32"/>
          <w:szCs w:val="32"/>
        </w:rPr>
        <w:t>，</w:t>
      </w:r>
      <w:r>
        <w:rPr>
          <w:rFonts w:ascii="Times New Roman" w:eastAsia="Times New Roman"/>
          <w:spacing w:val="11"/>
          <w:sz w:val="32"/>
          <w:szCs w:val="32"/>
        </w:rPr>
        <w:t>35</w:t>
      </w:r>
      <w:r>
        <w:rPr>
          <w:rFonts w:ascii="Times New Roman" w:eastAsia="Times New Roman"/>
          <w:spacing w:val="-20"/>
          <w:sz w:val="32"/>
          <w:szCs w:val="32"/>
        </w:rPr>
        <w:t xml:space="preserve"> </w:t>
      </w:r>
      <w:r>
        <w:rPr>
          <w:spacing w:val="24"/>
          <w:sz w:val="32"/>
          <w:szCs w:val="32"/>
        </w:rPr>
        <w:t>项目</w:t>
      </w:r>
      <w:r>
        <w:rPr>
          <w:spacing w:val="26"/>
          <w:sz w:val="32"/>
          <w:szCs w:val="32"/>
        </w:rPr>
        <w:t>指</w:t>
      </w:r>
      <w:r>
        <w:rPr>
          <w:spacing w:val="24"/>
          <w:sz w:val="32"/>
          <w:szCs w:val="32"/>
        </w:rPr>
        <w:t>标达到</w:t>
      </w:r>
      <w:r>
        <w:rPr>
          <w:spacing w:val="26"/>
          <w:sz w:val="32"/>
          <w:szCs w:val="32"/>
        </w:rPr>
        <w:t>或</w:t>
      </w:r>
      <w:r>
        <w:rPr>
          <w:spacing w:val="24"/>
          <w:sz w:val="32"/>
          <w:szCs w:val="32"/>
        </w:rPr>
        <w:t>超过目</w:t>
      </w:r>
      <w:r>
        <w:rPr>
          <w:spacing w:val="26"/>
          <w:sz w:val="32"/>
          <w:szCs w:val="32"/>
        </w:rPr>
        <w:t>标</w:t>
      </w:r>
      <w:r>
        <w:rPr>
          <w:spacing w:val="24"/>
          <w:sz w:val="32"/>
          <w:szCs w:val="32"/>
        </w:rPr>
        <w:t>要求，位列</w:t>
      </w:r>
      <w:r>
        <w:rPr>
          <w:sz w:val="32"/>
          <w:szCs w:val="32"/>
        </w:rPr>
        <w:t>全</w:t>
      </w:r>
      <w:r>
        <w:rPr>
          <w:w w:val="95"/>
          <w:sz w:val="32"/>
          <w:szCs w:val="32"/>
        </w:rPr>
        <w:t>区</w:t>
      </w:r>
      <w:r>
        <w:rPr>
          <w:spacing w:val="29"/>
          <w:w w:val="150"/>
          <w:sz w:val="32"/>
          <w:szCs w:val="32"/>
        </w:rPr>
        <w:t xml:space="preserve"> </w:t>
      </w:r>
      <w:r>
        <w:rPr>
          <w:rFonts w:ascii="Times New Roman" w:eastAsia="Times New Roman"/>
          <w:w w:val="95"/>
          <w:sz w:val="32"/>
          <w:szCs w:val="32"/>
        </w:rPr>
        <w:t>22</w:t>
      </w:r>
      <w:r>
        <w:rPr>
          <w:rFonts w:ascii="Times New Roman" w:eastAsia="Times New Roman"/>
          <w:spacing w:val="44"/>
          <w:sz w:val="32"/>
          <w:szCs w:val="32"/>
        </w:rPr>
        <w:t xml:space="preserve">  </w:t>
      </w:r>
      <w:r>
        <w:rPr>
          <w:spacing w:val="12"/>
          <w:w w:val="95"/>
          <w:sz w:val="32"/>
          <w:szCs w:val="32"/>
        </w:rPr>
        <w:t>个县</w:t>
      </w:r>
      <w:r>
        <w:rPr>
          <w:spacing w:val="21"/>
          <w:w w:val="95"/>
          <w:sz w:val="32"/>
          <w:szCs w:val="32"/>
        </w:rPr>
        <w:t>（</w:t>
      </w:r>
      <w:r>
        <w:rPr>
          <w:spacing w:val="15"/>
          <w:w w:val="95"/>
          <w:sz w:val="32"/>
          <w:szCs w:val="32"/>
        </w:rPr>
        <w:t>市、区</w:t>
      </w:r>
      <w:r>
        <w:rPr>
          <w:w w:val="95"/>
          <w:sz w:val="32"/>
          <w:szCs w:val="32"/>
        </w:rPr>
        <w:t>）</w:t>
      </w:r>
      <w:r>
        <w:rPr>
          <w:spacing w:val="24"/>
          <w:w w:val="95"/>
          <w:sz w:val="32"/>
          <w:szCs w:val="32"/>
        </w:rPr>
        <w:t>第二</w:t>
      </w:r>
      <w:r>
        <w:rPr>
          <w:spacing w:val="18"/>
          <w:w w:val="95"/>
          <w:sz w:val="32"/>
          <w:szCs w:val="32"/>
        </w:rPr>
        <w:t>，地区生产总值</w:t>
      </w:r>
      <w:r>
        <w:rPr>
          <w:spacing w:val="24"/>
          <w:w w:val="95"/>
          <w:sz w:val="32"/>
          <w:szCs w:val="32"/>
        </w:rPr>
        <w:t>和城</w:t>
      </w:r>
      <w:r>
        <w:rPr>
          <w:spacing w:val="15"/>
          <w:w w:val="95"/>
          <w:sz w:val="32"/>
          <w:szCs w:val="32"/>
        </w:rPr>
        <w:t>乡居民人均收</w:t>
      </w:r>
    </w:p>
    <w:p w14:paraId="4681A68B">
      <w:pPr>
        <w:spacing w:before="7" w:line="326" w:lineRule="auto"/>
        <w:ind w:left="113" w:right="102"/>
        <w:rPr>
          <w:sz w:val="32"/>
          <w:szCs w:val="32"/>
        </w:rPr>
      </w:pPr>
      <w:r>
        <w:rPr>
          <w:sz w:val="32"/>
          <w:szCs w:val="32"/>
        </w:rPr>
        <w:drawing>
          <wp:anchor distT="0" distB="0" distL="0" distR="0" simplePos="0" relativeHeight="251699200" behindDoc="1" locked="0" layoutInCell="1" allowOverlap="1">
            <wp:simplePos x="0" y="0"/>
            <wp:positionH relativeFrom="page">
              <wp:posOffset>1296670</wp:posOffset>
            </wp:positionH>
            <wp:positionV relativeFrom="paragraph">
              <wp:posOffset>1024890</wp:posOffset>
            </wp:positionV>
            <wp:extent cx="4949825" cy="2599690"/>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pic:cNvPicPr>
                  </pic:nvPicPr>
                  <pic:blipFill>
                    <a:blip r:embed="rId49" cstate="print"/>
                    <a:stretch>
                      <a:fillRect/>
                    </a:stretch>
                  </pic:blipFill>
                  <pic:spPr>
                    <a:xfrm>
                      <a:off x="0" y="0"/>
                      <a:ext cx="4949952" cy="2599944"/>
                    </a:xfrm>
                    <a:prstGeom prst="rect">
                      <a:avLst/>
                    </a:prstGeom>
                  </pic:spPr>
                </pic:pic>
              </a:graphicData>
            </a:graphic>
          </wp:anchor>
        </w:drawing>
      </w:r>
      <w:r>
        <w:rPr>
          <w:spacing w:val="-23"/>
          <w:sz w:val="32"/>
          <w:szCs w:val="32"/>
        </w:rPr>
        <w:t>入“</w:t>
      </w:r>
      <w:r>
        <w:rPr>
          <w:spacing w:val="24"/>
          <w:sz w:val="32"/>
          <w:szCs w:val="32"/>
        </w:rPr>
        <w:t>两</w:t>
      </w:r>
      <w:r>
        <w:rPr>
          <w:spacing w:val="-3"/>
          <w:sz w:val="32"/>
          <w:szCs w:val="32"/>
        </w:rPr>
        <w:t xml:space="preserve">个关键指标”比 </w:t>
      </w:r>
      <w:r>
        <w:rPr>
          <w:rFonts w:ascii="Times New Roman" w:hAnsi="Times New Roman" w:eastAsia="Times New Roman"/>
          <w:sz w:val="32"/>
          <w:szCs w:val="32"/>
        </w:rPr>
        <w:t>2010</w:t>
      </w:r>
      <w:r>
        <w:rPr>
          <w:rFonts w:ascii="Times New Roman" w:hAnsi="Times New Roman" w:eastAsia="Times New Roman"/>
          <w:spacing w:val="3"/>
          <w:sz w:val="32"/>
          <w:szCs w:val="32"/>
        </w:rPr>
        <w:t xml:space="preserve"> </w:t>
      </w:r>
      <w:r>
        <w:rPr>
          <w:spacing w:val="11"/>
          <w:sz w:val="32"/>
          <w:szCs w:val="32"/>
        </w:rPr>
        <w:t>年翻一番。根据自治区考核标准，</w:t>
      </w:r>
      <w:r>
        <w:rPr>
          <w:spacing w:val="14"/>
          <w:sz w:val="32"/>
          <w:szCs w:val="32"/>
        </w:rPr>
        <w:t xml:space="preserve">实现度达 </w:t>
      </w:r>
      <w:r>
        <w:rPr>
          <w:rFonts w:ascii="Times New Roman" w:hAnsi="Times New Roman" w:eastAsia="Times New Roman"/>
          <w:spacing w:val="11"/>
          <w:sz w:val="32"/>
          <w:szCs w:val="32"/>
        </w:rPr>
        <w:t>97%</w:t>
      </w:r>
      <w:r>
        <w:rPr>
          <w:spacing w:val="25"/>
          <w:sz w:val="32"/>
          <w:szCs w:val="32"/>
        </w:rPr>
        <w:t>以上</w:t>
      </w:r>
      <w:r>
        <w:rPr>
          <w:spacing w:val="24"/>
          <w:sz w:val="32"/>
          <w:szCs w:val="32"/>
        </w:rPr>
        <w:t>可评为</w:t>
      </w:r>
      <w:r>
        <w:rPr>
          <w:spacing w:val="26"/>
          <w:sz w:val="32"/>
          <w:szCs w:val="32"/>
        </w:rPr>
        <w:t>达</w:t>
      </w:r>
      <w:r>
        <w:rPr>
          <w:spacing w:val="24"/>
          <w:sz w:val="32"/>
          <w:szCs w:val="32"/>
        </w:rPr>
        <w:t>到小</w:t>
      </w:r>
      <w:r>
        <w:rPr>
          <w:spacing w:val="26"/>
          <w:sz w:val="32"/>
          <w:szCs w:val="32"/>
        </w:rPr>
        <w:t>康</w:t>
      </w:r>
      <w:r>
        <w:rPr>
          <w:spacing w:val="24"/>
          <w:sz w:val="32"/>
          <w:szCs w:val="32"/>
        </w:rPr>
        <w:t>标准</w:t>
      </w:r>
      <w:r>
        <w:rPr>
          <w:spacing w:val="26"/>
          <w:sz w:val="32"/>
          <w:szCs w:val="32"/>
        </w:rPr>
        <w:t>，</w:t>
      </w:r>
      <w:r>
        <w:rPr>
          <w:spacing w:val="24"/>
          <w:sz w:val="32"/>
          <w:szCs w:val="32"/>
        </w:rPr>
        <w:t>决胜全</w:t>
      </w:r>
      <w:r>
        <w:rPr>
          <w:spacing w:val="26"/>
          <w:sz w:val="32"/>
          <w:szCs w:val="32"/>
        </w:rPr>
        <w:t>面</w:t>
      </w:r>
      <w:r>
        <w:rPr>
          <w:spacing w:val="24"/>
          <w:sz w:val="32"/>
          <w:szCs w:val="32"/>
        </w:rPr>
        <w:t>建成</w:t>
      </w:r>
      <w:r>
        <w:rPr>
          <w:spacing w:val="13"/>
          <w:sz w:val="32"/>
          <w:szCs w:val="32"/>
        </w:rPr>
        <w:t>小康</w:t>
      </w:r>
      <w:r>
        <w:rPr>
          <w:spacing w:val="18"/>
          <w:sz w:val="32"/>
          <w:szCs w:val="32"/>
        </w:rPr>
        <w:t>社会取得决定性成就。</w:t>
      </w:r>
    </w:p>
    <w:p w14:paraId="76DEF01E">
      <w:pPr>
        <w:rPr>
          <w:sz w:val="32"/>
          <w:szCs w:val="32"/>
        </w:rPr>
      </w:pPr>
    </w:p>
    <w:p w14:paraId="61AEB5FE">
      <w:pPr>
        <w:rPr>
          <w:sz w:val="32"/>
          <w:szCs w:val="32"/>
        </w:rPr>
      </w:pPr>
    </w:p>
    <w:p w14:paraId="0688BE4C">
      <w:pPr>
        <w:rPr>
          <w:sz w:val="32"/>
          <w:szCs w:val="32"/>
        </w:rPr>
      </w:pPr>
    </w:p>
    <w:p w14:paraId="46F92819">
      <w:pPr>
        <w:rPr>
          <w:sz w:val="32"/>
          <w:szCs w:val="32"/>
        </w:rPr>
      </w:pPr>
    </w:p>
    <w:p w14:paraId="5F8433A7">
      <w:pPr>
        <w:rPr>
          <w:sz w:val="32"/>
          <w:szCs w:val="32"/>
        </w:rPr>
      </w:pPr>
    </w:p>
    <w:p w14:paraId="6DBE6F13">
      <w:pPr>
        <w:rPr>
          <w:sz w:val="32"/>
          <w:szCs w:val="32"/>
        </w:rPr>
      </w:pPr>
    </w:p>
    <w:p w14:paraId="3DB80AD6">
      <w:pPr>
        <w:rPr>
          <w:sz w:val="32"/>
          <w:szCs w:val="32"/>
        </w:rPr>
      </w:pPr>
    </w:p>
    <w:p w14:paraId="588492FA">
      <w:pPr>
        <w:rPr>
          <w:sz w:val="32"/>
          <w:szCs w:val="32"/>
        </w:rPr>
      </w:pPr>
    </w:p>
    <w:p w14:paraId="7107557D">
      <w:pPr>
        <w:rPr>
          <w:sz w:val="32"/>
          <w:szCs w:val="32"/>
        </w:rPr>
      </w:pPr>
    </w:p>
    <w:p w14:paraId="41677FFD">
      <w:pPr>
        <w:spacing w:before="8"/>
        <w:rPr>
          <w:sz w:val="43"/>
          <w:szCs w:val="32"/>
        </w:rPr>
      </w:pPr>
    </w:p>
    <w:p w14:paraId="3AA5F62F">
      <w:pPr>
        <w:tabs>
          <w:tab w:val="left" w:pos="2873"/>
        </w:tabs>
        <w:ind w:left="2213"/>
        <w:rPr>
          <w:rFonts w:ascii="黑体" w:eastAsia="黑体"/>
          <w:sz w:val="24"/>
        </w:rPr>
      </w:pPr>
      <w:r>
        <w:rPr>
          <w:rFonts w:ascii="黑体" w:eastAsia="黑体"/>
          <w:sz w:val="24"/>
        </w:rPr>
        <w:t>图</w:t>
      </w:r>
      <w:r>
        <w:rPr>
          <w:rFonts w:ascii="黑体" w:eastAsia="黑体"/>
          <w:spacing w:val="-60"/>
          <w:sz w:val="24"/>
        </w:rPr>
        <w:t xml:space="preserve"> </w:t>
      </w:r>
      <w:r>
        <w:rPr>
          <w:rFonts w:ascii="Times New Roman" w:eastAsia="Times New Roman"/>
          <w:spacing w:val="-10"/>
          <w:sz w:val="24"/>
        </w:rPr>
        <w:t>2</w:t>
      </w:r>
      <w:r>
        <w:rPr>
          <w:rFonts w:ascii="Times New Roman" w:eastAsia="Times New Roman"/>
          <w:sz w:val="24"/>
        </w:rPr>
        <w:tab/>
      </w:r>
      <w:r>
        <w:rPr>
          <w:rFonts w:ascii="Times New Roman" w:eastAsia="Times New Roman"/>
          <w:sz w:val="24"/>
        </w:rPr>
        <w:t>2015-2020</w:t>
      </w:r>
      <w:r>
        <w:rPr>
          <w:rFonts w:ascii="Times New Roman" w:eastAsia="Times New Roman"/>
          <w:spacing w:val="-1"/>
          <w:sz w:val="24"/>
        </w:rPr>
        <w:t xml:space="preserve"> </w:t>
      </w:r>
      <w:r>
        <w:rPr>
          <w:rFonts w:ascii="黑体" w:eastAsia="黑体"/>
          <w:sz w:val="24"/>
        </w:rPr>
        <w:t>年金凤区城乡居民可支配收入及增</w:t>
      </w:r>
      <w:r>
        <w:rPr>
          <w:rFonts w:ascii="黑体" w:eastAsia="黑体"/>
          <w:spacing w:val="-10"/>
          <w:sz w:val="24"/>
        </w:rPr>
        <w:t>速</w:t>
      </w:r>
    </w:p>
    <w:p w14:paraId="483AD651">
      <w:pPr>
        <w:rPr>
          <w:rFonts w:ascii="黑体" w:eastAsia="黑体"/>
          <w:sz w:val="24"/>
        </w:rPr>
        <w:sectPr>
          <w:footerReference r:id="rId10" w:type="even"/>
          <w:pgSz w:w="11910" w:h="16840"/>
          <w:pgMar w:top="1780" w:right="1220" w:bottom="1380" w:left="1360" w:header="0" w:footer="1196" w:gutter="0"/>
          <w:pgNumType w:start="10"/>
          <w:cols w:space="720" w:num="1"/>
        </w:sectPr>
      </w:pPr>
    </w:p>
    <w:p w14:paraId="035BAF1B">
      <w:pPr>
        <w:tabs>
          <w:tab w:val="left" w:pos="674"/>
        </w:tabs>
        <w:spacing w:before="131"/>
        <w:ind w:left="14"/>
        <w:jc w:val="center"/>
        <w:rPr>
          <w:rFonts w:ascii="黑体" w:hAnsi="黑体" w:eastAsia="黑体"/>
          <w:sz w:val="24"/>
        </w:rPr>
      </w:pPr>
      <w:r>
        <w:rPr>
          <w:rFonts w:ascii="黑体" w:hAnsi="黑体" w:eastAsia="黑体"/>
          <w:sz w:val="24"/>
        </w:rPr>
        <w:t>表</w:t>
      </w:r>
      <w:r>
        <w:rPr>
          <w:rFonts w:ascii="黑体" w:hAnsi="黑体" w:eastAsia="黑体"/>
          <w:spacing w:val="-60"/>
          <w:sz w:val="24"/>
        </w:rPr>
        <w:t xml:space="preserve"> </w:t>
      </w:r>
      <w:r>
        <w:rPr>
          <w:rFonts w:ascii="黑体" w:hAnsi="黑体" w:eastAsia="黑体"/>
          <w:spacing w:val="-10"/>
          <w:sz w:val="24"/>
        </w:rPr>
        <w:t>1</w:t>
      </w:r>
      <w:r>
        <w:rPr>
          <w:rFonts w:ascii="黑体" w:hAnsi="黑体" w:eastAsia="黑体"/>
          <w:sz w:val="24"/>
        </w:rPr>
        <w:tab/>
      </w:r>
      <w:r>
        <w:rPr>
          <w:rFonts w:ascii="黑体" w:hAnsi="黑体" w:eastAsia="黑体"/>
          <w:sz w:val="24"/>
        </w:rPr>
        <w:t>金凤区“十三五”规划主要指标完成情况</w:t>
      </w:r>
      <w:r>
        <w:rPr>
          <w:rFonts w:ascii="黑体" w:hAnsi="黑体" w:eastAsia="黑体"/>
          <w:spacing w:val="-10"/>
          <w:sz w:val="24"/>
        </w:rPr>
        <w:t>表</w:t>
      </w:r>
    </w:p>
    <w:p w14:paraId="6F59471E">
      <w:pPr>
        <w:rPr>
          <w:rFonts w:ascii="黑体"/>
          <w:sz w:val="20"/>
          <w:szCs w:val="32"/>
        </w:rPr>
      </w:pPr>
    </w:p>
    <w:p w14:paraId="4F0A3F76">
      <w:pPr>
        <w:spacing w:before="10"/>
        <w:rPr>
          <w:rFonts w:ascii="黑体"/>
          <w:sz w:val="13"/>
          <w:szCs w:val="32"/>
        </w:rPr>
      </w:pPr>
    </w:p>
    <w:tbl>
      <w:tblPr>
        <w:tblStyle w:val="11"/>
        <w:tblW w:w="0" w:type="auto"/>
        <w:tblInd w:w="13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863"/>
        <w:gridCol w:w="800"/>
        <w:gridCol w:w="1351"/>
        <w:gridCol w:w="1183"/>
        <w:gridCol w:w="1333"/>
        <w:gridCol w:w="1342"/>
        <w:gridCol w:w="1643"/>
        <w:gridCol w:w="1321"/>
        <w:gridCol w:w="883"/>
        <w:gridCol w:w="878"/>
        <w:gridCol w:w="1198"/>
        <w:gridCol w:w="1106"/>
      </w:tblGrid>
      <w:tr w14:paraId="794E9D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2863" w:type="dxa"/>
            <w:vMerge w:val="restart"/>
          </w:tcPr>
          <w:p w14:paraId="57316B8E">
            <w:pPr>
              <w:rPr>
                <w:rFonts w:ascii="黑体" w:hAnsi="Times New Roman" w:eastAsia="Times New Roman" w:cs="Times New Roman"/>
                <w:sz w:val="20"/>
              </w:rPr>
            </w:pPr>
          </w:p>
          <w:p w14:paraId="1DF810B0">
            <w:pPr>
              <w:spacing w:before="4"/>
              <w:rPr>
                <w:rFonts w:ascii="黑体" w:hAnsi="Times New Roman" w:eastAsia="Times New Roman" w:cs="Times New Roman"/>
                <w:sz w:val="14"/>
              </w:rPr>
            </w:pPr>
          </w:p>
          <w:p w14:paraId="50A4EB35">
            <w:pPr>
              <w:spacing w:before="1"/>
              <w:ind w:left="178" w:right="158"/>
              <w:jc w:val="center"/>
              <w:rPr>
                <w:rFonts w:ascii="宋体" w:hAnsi="Times New Roman" w:eastAsia="宋体" w:cs="Times New Roman"/>
                <w:b/>
                <w:sz w:val="21"/>
              </w:rPr>
            </w:pPr>
            <w:r>
              <w:rPr>
                <w:rFonts w:hint="eastAsia" w:ascii="宋体" w:hAnsi="Times New Roman" w:eastAsia="宋体" w:cs="Times New Roman"/>
                <w:b/>
                <w:w w:val="95"/>
                <w:sz w:val="21"/>
              </w:rPr>
              <w:t>指标名</w:t>
            </w:r>
            <w:r>
              <w:rPr>
                <w:rFonts w:hint="eastAsia" w:ascii="宋体" w:hAnsi="Times New Roman" w:eastAsia="宋体" w:cs="Times New Roman"/>
                <w:b/>
                <w:spacing w:val="-10"/>
                <w:w w:val="95"/>
                <w:sz w:val="21"/>
              </w:rPr>
              <w:t>称</w:t>
            </w:r>
          </w:p>
        </w:tc>
        <w:tc>
          <w:tcPr>
            <w:tcW w:w="800" w:type="dxa"/>
            <w:vMerge w:val="restart"/>
          </w:tcPr>
          <w:p w14:paraId="61E01DBA">
            <w:pPr>
              <w:rPr>
                <w:rFonts w:ascii="黑体" w:hAnsi="Times New Roman" w:eastAsia="Times New Roman" w:cs="Times New Roman"/>
                <w:sz w:val="20"/>
              </w:rPr>
            </w:pPr>
          </w:p>
          <w:p w14:paraId="6DE161BA">
            <w:pPr>
              <w:spacing w:before="4"/>
              <w:rPr>
                <w:rFonts w:ascii="黑体" w:hAnsi="Times New Roman" w:eastAsia="Times New Roman" w:cs="Times New Roman"/>
                <w:sz w:val="14"/>
              </w:rPr>
            </w:pPr>
          </w:p>
          <w:p w14:paraId="7A6F11C1">
            <w:pPr>
              <w:spacing w:before="1"/>
              <w:ind w:left="189"/>
              <w:rPr>
                <w:rFonts w:ascii="宋体" w:hAnsi="Times New Roman" w:eastAsia="宋体" w:cs="Times New Roman"/>
                <w:b/>
                <w:sz w:val="21"/>
              </w:rPr>
            </w:pPr>
            <w:r>
              <w:rPr>
                <w:rFonts w:hint="eastAsia" w:ascii="宋体" w:hAnsi="Times New Roman" w:eastAsia="宋体" w:cs="Times New Roman"/>
                <w:b/>
                <w:w w:val="95"/>
                <w:sz w:val="21"/>
              </w:rPr>
              <w:t>单</w:t>
            </w:r>
            <w:r>
              <w:rPr>
                <w:rFonts w:hint="eastAsia" w:ascii="宋体" w:hAnsi="Times New Roman" w:eastAsia="宋体" w:cs="Times New Roman"/>
                <w:b/>
                <w:spacing w:val="-10"/>
                <w:sz w:val="21"/>
              </w:rPr>
              <w:t>位</w:t>
            </w:r>
          </w:p>
        </w:tc>
        <w:tc>
          <w:tcPr>
            <w:tcW w:w="1351" w:type="dxa"/>
            <w:vMerge w:val="restart"/>
          </w:tcPr>
          <w:p w14:paraId="12091C9E">
            <w:pPr>
              <w:rPr>
                <w:rFonts w:ascii="黑体" w:hAnsi="Times New Roman" w:eastAsia="Times New Roman" w:cs="Times New Roman"/>
              </w:rPr>
            </w:pPr>
          </w:p>
          <w:p w14:paraId="029B847C">
            <w:pPr>
              <w:spacing w:before="158"/>
              <w:ind w:left="333"/>
              <w:rPr>
                <w:rFonts w:ascii="宋体" w:hAnsi="Times New Roman" w:eastAsia="宋体" w:cs="Times New Roman"/>
                <w:b/>
                <w:sz w:val="21"/>
              </w:rPr>
            </w:pPr>
            <w:r>
              <w:rPr>
                <w:rFonts w:ascii="Times New Roman" w:hAnsi="Times New Roman" w:eastAsia="Times New Roman" w:cs="Times New Roman"/>
                <w:b/>
                <w:sz w:val="21"/>
              </w:rPr>
              <w:t>2015</w:t>
            </w:r>
            <w:r>
              <w:rPr>
                <w:rFonts w:ascii="Times New Roman" w:hAnsi="Times New Roman" w:eastAsia="Times New Roman" w:cs="Times New Roman"/>
                <w:b/>
                <w:spacing w:val="-3"/>
                <w:sz w:val="21"/>
              </w:rPr>
              <w:t xml:space="preserve"> </w:t>
            </w:r>
            <w:r>
              <w:rPr>
                <w:rFonts w:hint="eastAsia" w:ascii="宋体" w:hAnsi="Times New Roman" w:eastAsia="宋体" w:cs="Times New Roman"/>
                <w:b/>
                <w:spacing w:val="-10"/>
                <w:sz w:val="21"/>
              </w:rPr>
              <w:t>年</w:t>
            </w:r>
          </w:p>
        </w:tc>
        <w:tc>
          <w:tcPr>
            <w:tcW w:w="1183" w:type="dxa"/>
            <w:vMerge w:val="restart"/>
          </w:tcPr>
          <w:p w14:paraId="23364D89">
            <w:pPr>
              <w:rPr>
                <w:rFonts w:ascii="黑体" w:hAnsi="Times New Roman" w:eastAsia="Times New Roman" w:cs="Times New Roman"/>
              </w:rPr>
            </w:pPr>
          </w:p>
          <w:p w14:paraId="754934FE">
            <w:pPr>
              <w:spacing w:before="158"/>
              <w:ind w:left="249"/>
              <w:rPr>
                <w:rFonts w:ascii="宋体" w:hAnsi="Times New Roman" w:eastAsia="宋体" w:cs="Times New Roman"/>
                <w:b/>
                <w:sz w:val="21"/>
              </w:rPr>
            </w:pPr>
            <w:r>
              <w:rPr>
                <w:rFonts w:ascii="Times New Roman" w:hAnsi="Times New Roman" w:eastAsia="Times New Roman" w:cs="Times New Roman"/>
                <w:b/>
                <w:sz w:val="21"/>
              </w:rPr>
              <w:t>2016</w:t>
            </w:r>
            <w:r>
              <w:rPr>
                <w:rFonts w:ascii="Times New Roman" w:hAnsi="Times New Roman" w:eastAsia="Times New Roman" w:cs="Times New Roman"/>
                <w:b/>
                <w:spacing w:val="-3"/>
                <w:sz w:val="21"/>
              </w:rPr>
              <w:t xml:space="preserve"> </w:t>
            </w:r>
            <w:r>
              <w:rPr>
                <w:rFonts w:hint="eastAsia" w:ascii="宋体" w:hAnsi="Times New Roman" w:eastAsia="宋体" w:cs="Times New Roman"/>
                <w:b/>
                <w:spacing w:val="-10"/>
                <w:sz w:val="21"/>
              </w:rPr>
              <w:t>年</w:t>
            </w:r>
          </w:p>
        </w:tc>
        <w:tc>
          <w:tcPr>
            <w:tcW w:w="1333" w:type="dxa"/>
            <w:vMerge w:val="restart"/>
          </w:tcPr>
          <w:p w14:paraId="1482FC45">
            <w:pPr>
              <w:rPr>
                <w:rFonts w:ascii="黑体" w:hAnsi="Times New Roman" w:eastAsia="Times New Roman" w:cs="Times New Roman"/>
              </w:rPr>
            </w:pPr>
          </w:p>
          <w:p w14:paraId="0014B09F">
            <w:pPr>
              <w:spacing w:before="158"/>
              <w:ind w:left="323"/>
              <w:rPr>
                <w:rFonts w:ascii="宋体" w:hAnsi="Times New Roman" w:eastAsia="宋体" w:cs="Times New Roman"/>
                <w:b/>
                <w:sz w:val="21"/>
              </w:rPr>
            </w:pPr>
            <w:r>
              <w:rPr>
                <w:rFonts w:ascii="Times New Roman" w:hAnsi="Times New Roman" w:eastAsia="Times New Roman" w:cs="Times New Roman"/>
                <w:b/>
                <w:sz w:val="21"/>
              </w:rPr>
              <w:t>2017</w:t>
            </w:r>
            <w:r>
              <w:rPr>
                <w:rFonts w:ascii="Times New Roman" w:hAnsi="Times New Roman" w:eastAsia="Times New Roman" w:cs="Times New Roman"/>
                <w:b/>
                <w:spacing w:val="-3"/>
                <w:sz w:val="21"/>
              </w:rPr>
              <w:t xml:space="preserve"> </w:t>
            </w:r>
            <w:r>
              <w:rPr>
                <w:rFonts w:hint="eastAsia" w:ascii="宋体" w:hAnsi="Times New Roman" w:eastAsia="宋体" w:cs="Times New Roman"/>
                <w:b/>
                <w:spacing w:val="-10"/>
                <w:sz w:val="21"/>
              </w:rPr>
              <w:t>年</w:t>
            </w:r>
          </w:p>
        </w:tc>
        <w:tc>
          <w:tcPr>
            <w:tcW w:w="1342" w:type="dxa"/>
            <w:vMerge w:val="restart"/>
          </w:tcPr>
          <w:p w14:paraId="34C8772A">
            <w:pPr>
              <w:rPr>
                <w:rFonts w:ascii="黑体" w:hAnsi="Times New Roman" w:eastAsia="Times New Roman" w:cs="Times New Roman"/>
              </w:rPr>
            </w:pPr>
          </w:p>
          <w:p w14:paraId="099050F7">
            <w:pPr>
              <w:spacing w:before="158"/>
              <w:ind w:left="330"/>
              <w:rPr>
                <w:rFonts w:ascii="宋体" w:hAnsi="Times New Roman" w:eastAsia="宋体" w:cs="Times New Roman"/>
                <w:b/>
                <w:sz w:val="21"/>
              </w:rPr>
            </w:pPr>
            <w:r>
              <w:rPr>
                <w:rFonts w:ascii="Times New Roman" w:hAnsi="Times New Roman" w:eastAsia="Times New Roman" w:cs="Times New Roman"/>
                <w:b/>
                <w:sz w:val="21"/>
              </w:rPr>
              <w:t>2018</w:t>
            </w:r>
            <w:r>
              <w:rPr>
                <w:rFonts w:ascii="Times New Roman" w:hAnsi="Times New Roman" w:eastAsia="Times New Roman" w:cs="Times New Roman"/>
                <w:b/>
                <w:spacing w:val="-6"/>
                <w:sz w:val="21"/>
              </w:rPr>
              <w:t xml:space="preserve"> </w:t>
            </w:r>
            <w:r>
              <w:rPr>
                <w:rFonts w:hint="eastAsia" w:ascii="宋体" w:hAnsi="Times New Roman" w:eastAsia="宋体" w:cs="Times New Roman"/>
                <w:b/>
                <w:spacing w:val="-10"/>
                <w:sz w:val="21"/>
              </w:rPr>
              <w:t>年</w:t>
            </w:r>
          </w:p>
        </w:tc>
        <w:tc>
          <w:tcPr>
            <w:tcW w:w="1643" w:type="dxa"/>
            <w:vMerge w:val="restart"/>
          </w:tcPr>
          <w:p w14:paraId="007ED885">
            <w:pPr>
              <w:rPr>
                <w:rFonts w:ascii="黑体" w:hAnsi="Times New Roman" w:eastAsia="Times New Roman" w:cs="Times New Roman"/>
              </w:rPr>
            </w:pPr>
          </w:p>
          <w:p w14:paraId="1D45100E">
            <w:pPr>
              <w:spacing w:before="158"/>
              <w:ind w:left="456"/>
              <w:rPr>
                <w:rFonts w:ascii="宋体" w:hAnsi="Times New Roman" w:eastAsia="宋体" w:cs="Times New Roman"/>
                <w:b/>
                <w:sz w:val="21"/>
              </w:rPr>
            </w:pPr>
            <w:r>
              <w:rPr>
                <w:rFonts w:ascii="Times New Roman" w:hAnsi="Times New Roman" w:eastAsia="Times New Roman" w:cs="Times New Roman"/>
                <w:b/>
                <w:sz w:val="21"/>
              </w:rPr>
              <w:t>2019</w:t>
            </w:r>
            <w:r>
              <w:rPr>
                <w:rFonts w:ascii="Times New Roman" w:hAnsi="Times New Roman" w:eastAsia="Times New Roman" w:cs="Times New Roman"/>
                <w:b/>
                <w:spacing w:val="-3"/>
                <w:sz w:val="21"/>
              </w:rPr>
              <w:t xml:space="preserve"> </w:t>
            </w:r>
            <w:r>
              <w:rPr>
                <w:rFonts w:hint="eastAsia" w:ascii="宋体" w:hAnsi="Times New Roman" w:eastAsia="宋体" w:cs="Times New Roman"/>
                <w:b/>
                <w:spacing w:val="-10"/>
                <w:sz w:val="21"/>
              </w:rPr>
              <w:t>年</w:t>
            </w:r>
          </w:p>
        </w:tc>
        <w:tc>
          <w:tcPr>
            <w:tcW w:w="1321" w:type="dxa"/>
            <w:vMerge w:val="restart"/>
          </w:tcPr>
          <w:p w14:paraId="7D85A33A">
            <w:pPr>
              <w:rPr>
                <w:rFonts w:ascii="黑体" w:hAnsi="Times New Roman" w:eastAsia="Times New Roman" w:cs="Times New Roman"/>
              </w:rPr>
            </w:pPr>
          </w:p>
          <w:p w14:paraId="0AD3F1FB">
            <w:pPr>
              <w:spacing w:before="158"/>
              <w:ind w:left="296"/>
              <w:rPr>
                <w:rFonts w:ascii="宋体" w:hAnsi="Times New Roman" w:eastAsia="宋体" w:cs="Times New Roman"/>
                <w:b/>
                <w:sz w:val="21"/>
              </w:rPr>
            </w:pPr>
            <w:r>
              <w:rPr>
                <w:rFonts w:ascii="Times New Roman" w:hAnsi="Times New Roman" w:eastAsia="Times New Roman" w:cs="Times New Roman"/>
                <w:b/>
                <w:sz w:val="21"/>
              </w:rPr>
              <w:t>2020</w:t>
            </w:r>
            <w:r>
              <w:rPr>
                <w:rFonts w:ascii="Times New Roman" w:hAnsi="Times New Roman" w:eastAsia="Times New Roman" w:cs="Times New Roman"/>
                <w:b/>
                <w:spacing w:val="-6"/>
                <w:sz w:val="21"/>
              </w:rPr>
              <w:t xml:space="preserve"> </w:t>
            </w:r>
            <w:r>
              <w:rPr>
                <w:rFonts w:hint="eastAsia" w:ascii="宋体" w:hAnsi="Times New Roman" w:eastAsia="宋体" w:cs="Times New Roman"/>
                <w:b/>
                <w:spacing w:val="-10"/>
                <w:sz w:val="21"/>
              </w:rPr>
              <w:t>年</w:t>
            </w:r>
          </w:p>
        </w:tc>
        <w:tc>
          <w:tcPr>
            <w:tcW w:w="1761" w:type="dxa"/>
            <w:gridSpan w:val="2"/>
          </w:tcPr>
          <w:p w14:paraId="7FF6D676">
            <w:pPr>
              <w:spacing w:before="48" w:line="213" w:lineRule="auto"/>
              <w:ind w:left="459" w:right="331" w:hanging="106"/>
              <w:rPr>
                <w:rFonts w:ascii="宋体" w:hAnsi="宋体" w:eastAsia="宋体" w:cs="Times New Roman"/>
                <w:b/>
                <w:sz w:val="21"/>
              </w:rPr>
            </w:pPr>
            <w:r>
              <w:rPr>
                <w:rFonts w:hint="eastAsia" w:ascii="宋体" w:hAnsi="宋体" w:eastAsia="宋体" w:cs="Times New Roman"/>
                <w:b/>
                <w:spacing w:val="-2"/>
                <w:sz w:val="21"/>
              </w:rPr>
              <w:t>“十三五”</w:t>
            </w:r>
            <w:r>
              <w:rPr>
                <w:rFonts w:hint="eastAsia" w:ascii="宋体" w:hAnsi="宋体" w:eastAsia="宋体" w:cs="Times New Roman"/>
                <w:b/>
                <w:spacing w:val="-4"/>
                <w:sz w:val="21"/>
              </w:rPr>
              <w:t>规划目标</w:t>
            </w:r>
          </w:p>
        </w:tc>
        <w:tc>
          <w:tcPr>
            <w:tcW w:w="1198" w:type="dxa"/>
            <w:vMerge w:val="restart"/>
          </w:tcPr>
          <w:p w14:paraId="3B8E7A7B">
            <w:pPr>
              <w:spacing w:before="10"/>
              <w:rPr>
                <w:rFonts w:ascii="黑体" w:hAnsi="Times New Roman" w:eastAsia="Times New Roman" w:cs="Times New Roman"/>
                <w:sz w:val="26"/>
              </w:rPr>
            </w:pPr>
          </w:p>
          <w:p w14:paraId="63FDA636">
            <w:pPr>
              <w:spacing w:line="213" w:lineRule="auto"/>
              <w:ind w:left="179" w:right="154"/>
              <w:rPr>
                <w:rFonts w:ascii="宋体" w:hAnsi="Times New Roman" w:eastAsia="宋体" w:cs="Times New Roman"/>
                <w:b/>
                <w:sz w:val="21"/>
              </w:rPr>
            </w:pPr>
            <w:r>
              <w:rPr>
                <w:rFonts w:hint="eastAsia" w:ascii="宋体" w:hAnsi="Times New Roman" w:eastAsia="宋体" w:cs="Times New Roman"/>
                <w:b/>
                <w:spacing w:val="-4"/>
                <w:sz w:val="21"/>
              </w:rPr>
              <w:t>目标完成</w:t>
            </w:r>
            <w:r>
              <w:rPr>
                <w:rFonts w:hint="eastAsia" w:ascii="宋体" w:hAnsi="Times New Roman" w:eastAsia="宋体" w:cs="Times New Roman"/>
                <w:b/>
                <w:w w:val="95"/>
                <w:sz w:val="21"/>
              </w:rPr>
              <w:t>率</w:t>
            </w:r>
            <w:r>
              <w:rPr>
                <w:rFonts w:hint="eastAsia" w:ascii="宋体" w:hAnsi="Times New Roman" w:eastAsia="宋体" w:cs="Times New Roman"/>
                <w:b/>
                <w:spacing w:val="-5"/>
                <w:w w:val="95"/>
                <w:sz w:val="21"/>
              </w:rPr>
              <w:t>（</w:t>
            </w:r>
            <w:r>
              <w:rPr>
                <w:rFonts w:ascii="Times New Roman" w:hAnsi="Times New Roman" w:eastAsia="Times New Roman" w:cs="Times New Roman"/>
                <w:b/>
                <w:spacing w:val="-5"/>
                <w:w w:val="95"/>
                <w:sz w:val="21"/>
              </w:rPr>
              <w:t>%</w:t>
            </w:r>
            <w:r>
              <w:rPr>
                <w:rFonts w:hint="eastAsia" w:ascii="宋体" w:hAnsi="Times New Roman" w:eastAsia="宋体" w:cs="Times New Roman"/>
                <w:b/>
                <w:spacing w:val="-5"/>
                <w:w w:val="95"/>
                <w:sz w:val="21"/>
              </w:rPr>
              <w:t>）</w:t>
            </w:r>
          </w:p>
        </w:tc>
        <w:tc>
          <w:tcPr>
            <w:tcW w:w="1106" w:type="dxa"/>
            <w:vMerge w:val="restart"/>
          </w:tcPr>
          <w:p w14:paraId="14DE442E">
            <w:pPr>
              <w:rPr>
                <w:rFonts w:ascii="黑体" w:hAnsi="Times New Roman" w:eastAsia="Times New Roman" w:cs="Times New Roman"/>
                <w:sz w:val="20"/>
              </w:rPr>
            </w:pPr>
          </w:p>
          <w:p w14:paraId="2DEA5508">
            <w:pPr>
              <w:spacing w:before="4"/>
              <w:rPr>
                <w:rFonts w:ascii="黑体" w:hAnsi="Times New Roman" w:eastAsia="Times New Roman" w:cs="Times New Roman"/>
                <w:sz w:val="14"/>
              </w:rPr>
            </w:pPr>
          </w:p>
          <w:p w14:paraId="11CCCFDA">
            <w:pPr>
              <w:spacing w:before="1"/>
              <w:ind w:left="132"/>
              <w:rPr>
                <w:rFonts w:ascii="宋体" w:hAnsi="Times New Roman" w:eastAsia="宋体" w:cs="Times New Roman"/>
                <w:b/>
                <w:sz w:val="21"/>
              </w:rPr>
            </w:pPr>
            <w:r>
              <w:rPr>
                <w:rFonts w:hint="eastAsia" w:ascii="宋体" w:hAnsi="Times New Roman" w:eastAsia="宋体" w:cs="Times New Roman"/>
                <w:b/>
                <w:w w:val="95"/>
                <w:sz w:val="21"/>
              </w:rPr>
              <w:t>基本评</w:t>
            </w:r>
            <w:r>
              <w:rPr>
                <w:rFonts w:hint="eastAsia" w:ascii="宋体" w:hAnsi="Times New Roman" w:eastAsia="宋体" w:cs="Times New Roman"/>
                <w:b/>
                <w:spacing w:val="-10"/>
                <w:w w:val="95"/>
                <w:sz w:val="21"/>
              </w:rPr>
              <w:t>价</w:t>
            </w:r>
          </w:p>
        </w:tc>
      </w:tr>
      <w:tr w14:paraId="24B6C3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8" w:hRule="atLeast"/>
        </w:trPr>
        <w:tc>
          <w:tcPr>
            <w:tcW w:w="2863" w:type="dxa"/>
            <w:vMerge w:val="continue"/>
            <w:tcBorders>
              <w:top w:val="nil"/>
            </w:tcBorders>
          </w:tcPr>
          <w:p w14:paraId="58033077">
            <w:pPr>
              <w:rPr>
                <w:sz w:val="2"/>
                <w:szCs w:val="2"/>
              </w:rPr>
            </w:pPr>
          </w:p>
        </w:tc>
        <w:tc>
          <w:tcPr>
            <w:tcW w:w="800" w:type="dxa"/>
            <w:vMerge w:val="continue"/>
            <w:tcBorders>
              <w:top w:val="nil"/>
            </w:tcBorders>
          </w:tcPr>
          <w:p w14:paraId="0D671794">
            <w:pPr>
              <w:rPr>
                <w:sz w:val="2"/>
                <w:szCs w:val="2"/>
              </w:rPr>
            </w:pPr>
          </w:p>
        </w:tc>
        <w:tc>
          <w:tcPr>
            <w:tcW w:w="1351" w:type="dxa"/>
            <w:vMerge w:val="continue"/>
            <w:tcBorders>
              <w:top w:val="nil"/>
            </w:tcBorders>
          </w:tcPr>
          <w:p w14:paraId="47005425">
            <w:pPr>
              <w:rPr>
                <w:sz w:val="2"/>
                <w:szCs w:val="2"/>
              </w:rPr>
            </w:pPr>
          </w:p>
        </w:tc>
        <w:tc>
          <w:tcPr>
            <w:tcW w:w="1183" w:type="dxa"/>
            <w:vMerge w:val="continue"/>
            <w:tcBorders>
              <w:top w:val="nil"/>
            </w:tcBorders>
          </w:tcPr>
          <w:p w14:paraId="72A8DEF0">
            <w:pPr>
              <w:rPr>
                <w:sz w:val="2"/>
                <w:szCs w:val="2"/>
              </w:rPr>
            </w:pPr>
          </w:p>
        </w:tc>
        <w:tc>
          <w:tcPr>
            <w:tcW w:w="1333" w:type="dxa"/>
            <w:vMerge w:val="continue"/>
            <w:tcBorders>
              <w:top w:val="nil"/>
            </w:tcBorders>
          </w:tcPr>
          <w:p w14:paraId="537D92AD">
            <w:pPr>
              <w:rPr>
                <w:sz w:val="2"/>
                <w:szCs w:val="2"/>
              </w:rPr>
            </w:pPr>
          </w:p>
        </w:tc>
        <w:tc>
          <w:tcPr>
            <w:tcW w:w="1342" w:type="dxa"/>
            <w:vMerge w:val="continue"/>
            <w:tcBorders>
              <w:top w:val="nil"/>
            </w:tcBorders>
          </w:tcPr>
          <w:p w14:paraId="1370C97F">
            <w:pPr>
              <w:rPr>
                <w:sz w:val="2"/>
                <w:szCs w:val="2"/>
              </w:rPr>
            </w:pPr>
          </w:p>
        </w:tc>
        <w:tc>
          <w:tcPr>
            <w:tcW w:w="1643" w:type="dxa"/>
            <w:vMerge w:val="continue"/>
            <w:tcBorders>
              <w:top w:val="nil"/>
            </w:tcBorders>
          </w:tcPr>
          <w:p w14:paraId="68EECE06">
            <w:pPr>
              <w:rPr>
                <w:sz w:val="2"/>
                <w:szCs w:val="2"/>
              </w:rPr>
            </w:pPr>
          </w:p>
        </w:tc>
        <w:tc>
          <w:tcPr>
            <w:tcW w:w="1321" w:type="dxa"/>
            <w:vMerge w:val="continue"/>
            <w:tcBorders>
              <w:top w:val="nil"/>
            </w:tcBorders>
          </w:tcPr>
          <w:p w14:paraId="2C62A18F">
            <w:pPr>
              <w:rPr>
                <w:sz w:val="2"/>
                <w:szCs w:val="2"/>
              </w:rPr>
            </w:pPr>
          </w:p>
        </w:tc>
        <w:tc>
          <w:tcPr>
            <w:tcW w:w="883" w:type="dxa"/>
          </w:tcPr>
          <w:p w14:paraId="5EDCBB92">
            <w:pPr>
              <w:spacing w:before="157"/>
              <w:ind w:right="145"/>
              <w:jc w:val="right"/>
              <w:rPr>
                <w:rFonts w:ascii="宋体" w:hAnsi="Times New Roman" w:eastAsia="宋体" w:cs="Times New Roman"/>
                <w:b/>
                <w:sz w:val="20"/>
              </w:rPr>
            </w:pPr>
            <w:r>
              <w:rPr>
                <w:rFonts w:hint="eastAsia" w:ascii="宋体" w:hAnsi="Times New Roman" w:eastAsia="宋体" w:cs="Times New Roman"/>
                <w:b/>
                <w:w w:val="95"/>
                <w:sz w:val="20"/>
              </w:rPr>
              <w:t>目标</w:t>
            </w:r>
            <w:r>
              <w:rPr>
                <w:rFonts w:hint="eastAsia" w:ascii="宋体" w:hAnsi="Times New Roman" w:eastAsia="宋体" w:cs="Times New Roman"/>
                <w:b/>
                <w:spacing w:val="-10"/>
                <w:w w:val="95"/>
                <w:sz w:val="20"/>
              </w:rPr>
              <w:t>值</w:t>
            </w:r>
          </w:p>
        </w:tc>
        <w:tc>
          <w:tcPr>
            <w:tcW w:w="878" w:type="dxa"/>
          </w:tcPr>
          <w:p w14:paraId="5514BAF6">
            <w:pPr>
              <w:spacing w:before="49" w:line="225" w:lineRule="auto"/>
              <w:ind w:left="58" w:firstLine="52"/>
              <w:rPr>
                <w:rFonts w:ascii="宋体" w:hAnsi="Times New Roman" w:eastAsia="宋体" w:cs="Times New Roman"/>
                <w:b/>
                <w:sz w:val="20"/>
              </w:rPr>
            </w:pPr>
            <w:r>
              <w:rPr>
                <w:rFonts w:hint="eastAsia" w:ascii="宋体" w:hAnsi="Times New Roman" w:eastAsia="宋体" w:cs="Times New Roman"/>
                <w:b/>
                <w:spacing w:val="-4"/>
                <w:sz w:val="20"/>
              </w:rPr>
              <w:t>年均增速（</w:t>
            </w:r>
            <w:r>
              <w:rPr>
                <w:rFonts w:ascii="Times New Roman" w:hAnsi="Times New Roman" w:eastAsia="Times New Roman" w:cs="Times New Roman"/>
                <w:b/>
                <w:spacing w:val="-4"/>
                <w:sz w:val="20"/>
              </w:rPr>
              <w:t>%</w:t>
            </w:r>
            <w:r>
              <w:rPr>
                <w:rFonts w:hint="eastAsia" w:ascii="宋体" w:hAnsi="Times New Roman" w:eastAsia="宋体" w:cs="Times New Roman"/>
                <w:b/>
                <w:spacing w:val="-4"/>
                <w:sz w:val="20"/>
              </w:rPr>
              <w:t>）</w:t>
            </w:r>
          </w:p>
        </w:tc>
        <w:tc>
          <w:tcPr>
            <w:tcW w:w="1198" w:type="dxa"/>
            <w:vMerge w:val="continue"/>
            <w:tcBorders>
              <w:top w:val="nil"/>
            </w:tcBorders>
          </w:tcPr>
          <w:p w14:paraId="175550ED">
            <w:pPr>
              <w:rPr>
                <w:sz w:val="2"/>
                <w:szCs w:val="2"/>
              </w:rPr>
            </w:pPr>
          </w:p>
        </w:tc>
        <w:tc>
          <w:tcPr>
            <w:tcW w:w="1106" w:type="dxa"/>
            <w:vMerge w:val="continue"/>
            <w:tcBorders>
              <w:top w:val="nil"/>
            </w:tcBorders>
          </w:tcPr>
          <w:p w14:paraId="3F0E5A9B">
            <w:pPr>
              <w:rPr>
                <w:sz w:val="2"/>
                <w:szCs w:val="2"/>
              </w:rPr>
            </w:pPr>
          </w:p>
        </w:tc>
      </w:tr>
      <w:tr w14:paraId="61400C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8" w:hRule="atLeast"/>
        </w:trPr>
        <w:tc>
          <w:tcPr>
            <w:tcW w:w="15901" w:type="dxa"/>
            <w:gridSpan w:val="12"/>
          </w:tcPr>
          <w:p w14:paraId="126C5686">
            <w:pPr>
              <w:spacing w:before="71"/>
              <w:ind w:left="108"/>
              <w:rPr>
                <w:rFonts w:ascii="宋体" w:hAnsi="Times New Roman" w:eastAsia="宋体" w:cs="Times New Roman"/>
                <w:b/>
                <w:sz w:val="21"/>
              </w:rPr>
            </w:pPr>
            <w:r>
              <w:rPr>
                <w:rFonts w:hint="eastAsia" w:ascii="宋体" w:hAnsi="Times New Roman" w:eastAsia="宋体" w:cs="Times New Roman"/>
                <w:b/>
                <w:w w:val="95"/>
                <w:sz w:val="21"/>
              </w:rPr>
              <w:t>一、经</w:t>
            </w:r>
            <w:r>
              <w:rPr>
                <w:rFonts w:hint="eastAsia" w:ascii="宋体" w:hAnsi="Times New Roman" w:eastAsia="宋体" w:cs="Times New Roman"/>
                <w:b/>
                <w:spacing w:val="-4"/>
                <w:w w:val="95"/>
                <w:sz w:val="21"/>
              </w:rPr>
              <w:t>济发展</w:t>
            </w:r>
          </w:p>
        </w:tc>
      </w:tr>
      <w:tr w14:paraId="4AA1DB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863" w:type="dxa"/>
          </w:tcPr>
          <w:p w14:paraId="713E926F">
            <w:pPr>
              <w:spacing w:before="28"/>
              <w:ind w:left="176" w:right="159"/>
              <w:jc w:val="center"/>
              <w:rPr>
                <w:rFonts w:ascii="宋体" w:hAnsi="Times New Roman" w:eastAsia="宋体" w:cs="Times New Roman"/>
                <w:sz w:val="20"/>
              </w:rPr>
            </w:pPr>
            <w:r>
              <w:rPr>
                <w:rFonts w:ascii="宋体" w:hAnsi="Times New Roman" w:eastAsia="宋体" w:cs="Times New Roman"/>
                <w:w w:val="95"/>
                <w:sz w:val="20"/>
              </w:rPr>
              <w:t>地区生产总</w:t>
            </w:r>
            <w:r>
              <w:rPr>
                <w:rFonts w:ascii="宋体" w:hAnsi="Times New Roman" w:eastAsia="宋体" w:cs="Times New Roman"/>
                <w:spacing w:val="-10"/>
                <w:w w:val="95"/>
                <w:sz w:val="20"/>
              </w:rPr>
              <w:t>值</w:t>
            </w:r>
          </w:p>
        </w:tc>
        <w:tc>
          <w:tcPr>
            <w:tcW w:w="800" w:type="dxa"/>
          </w:tcPr>
          <w:p w14:paraId="08848E56">
            <w:pPr>
              <w:spacing w:before="28"/>
              <w:ind w:left="188" w:right="172"/>
              <w:jc w:val="center"/>
              <w:rPr>
                <w:rFonts w:ascii="宋体" w:hAnsi="Times New Roman" w:eastAsia="宋体" w:cs="Times New Roman"/>
                <w:sz w:val="20"/>
              </w:rPr>
            </w:pPr>
            <w:r>
              <w:rPr>
                <w:rFonts w:ascii="宋体" w:hAnsi="Times New Roman" w:eastAsia="宋体" w:cs="Times New Roman"/>
                <w:w w:val="95"/>
                <w:sz w:val="20"/>
              </w:rPr>
              <w:t>亿</w:t>
            </w:r>
            <w:r>
              <w:rPr>
                <w:rFonts w:ascii="宋体" w:hAnsi="Times New Roman" w:eastAsia="宋体" w:cs="Times New Roman"/>
                <w:spacing w:val="-10"/>
                <w:sz w:val="20"/>
              </w:rPr>
              <w:t>元</w:t>
            </w:r>
          </w:p>
        </w:tc>
        <w:tc>
          <w:tcPr>
            <w:tcW w:w="1351" w:type="dxa"/>
          </w:tcPr>
          <w:p w14:paraId="60551CD5">
            <w:pPr>
              <w:spacing w:before="41"/>
              <w:ind w:left="210" w:right="190"/>
              <w:jc w:val="center"/>
              <w:rPr>
                <w:rFonts w:ascii="Times New Roman" w:hAnsi="Times New Roman" w:eastAsia="Times New Roman" w:cs="Times New Roman"/>
                <w:sz w:val="20"/>
              </w:rPr>
            </w:pPr>
            <w:r>
              <w:rPr>
                <w:rFonts w:ascii="Times New Roman" w:hAnsi="Times New Roman" w:eastAsia="Times New Roman" w:cs="Times New Roman"/>
                <w:spacing w:val="-2"/>
                <w:sz w:val="20"/>
              </w:rPr>
              <w:t>172.62</w:t>
            </w:r>
          </w:p>
        </w:tc>
        <w:tc>
          <w:tcPr>
            <w:tcW w:w="1183" w:type="dxa"/>
          </w:tcPr>
          <w:p w14:paraId="3C3FFBEF">
            <w:pPr>
              <w:spacing w:before="41"/>
              <w:ind w:right="293"/>
              <w:jc w:val="right"/>
              <w:rPr>
                <w:rFonts w:ascii="Times New Roman" w:hAnsi="Times New Roman" w:eastAsia="Times New Roman" w:cs="Times New Roman"/>
                <w:sz w:val="20"/>
              </w:rPr>
            </w:pPr>
            <w:r>
              <w:rPr>
                <w:rFonts w:ascii="Times New Roman" w:hAnsi="Times New Roman" w:eastAsia="Times New Roman" w:cs="Times New Roman"/>
                <w:spacing w:val="-2"/>
                <w:sz w:val="20"/>
              </w:rPr>
              <w:t>195.34</w:t>
            </w:r>
          </w:p>
        </w:tc>
        <w:tc>
          <w:tcPr>
            <w:tcW w:w="1333" w:type="dxa"/>
          </w:tcPr>
          <w:p w14:paraId="7DB0D085">
            <w:pPr>
              <w:spacing w:before="41"/>
              <w:ind w:left="201" w:right="182"/>
              <w:jc w:val="center"/>
              <w:rPr>
                <w:rFonts w:ascii="Times New Roman" w:hAnsi="Times New Roman" w:eastAsia="Times New Roman" w:cs="Times New Roman"/>
                <w:sz w:val="20"/>
              </w:rPr>
            </w:pPr>
            <w:r>
              <w:rPr>
                <w:rFonts w:ascii="Times New Roman" w:hAnsi="Times New Roman" w:eastAsia="Times New Roman" w:cs="Times New Roman"/>
                <w:spacing w:val="-2"/>
                <w:sz w:val="20"/>
              </w:rPr>
              <w:t>217.8</w:t>
            </w:r>
          </w:p>
        </w:tc>
        <w:tc>
          <w:tcPr>
            <w:tcW w:w="1342" w:type="dxa"/>
          </w:tcPr>
          <w:p w14:paraId="033C7036">
            <w:pPr>
              <w:spacing w:before="41"/>
              <w:ind w:left="61" w:right="43"/>
              <w:jc w:val="center"/>
              <w:rPr>
                <w:rFonts w:ascii="Times New Roman" w:hAnsi="Times New Roman" w:eastAsia="Times New Roman" w:cs="Times New Roman"/>
                <w:sz w:val="20"/>
              </w:rPr>
            </w:pPr>
            <w:r>
              <w:rPr>
                <w:rFonts w:ascii="Times New Roman" w:hAnsi="Times New Roman" w:eastAsia="Times New Roman" w:cs="Times New Roman"/>
                <w:spacing w:val="-5"/>
                <w:sz w:val="20"/>
              </w:rPr>
              <w:t>243</w:t>
            </w:r>
          </w:p>
        </w:tc>
        <w:tc>
          <w:tcPr>
            <w:tcW w:w="1643" w:type="dxa"/>
          </w:tcPr>
          <w:p w14:paraId="40A97EB1">
            <w:pPr>
              <w:spacing w:before="41"/>
              <w:ind w:left="71" w:right="38"/>
              <w:jc w:val="center"/>
              <w:rPr>
                <w:rFonts w:ascii="Times New Roman" w:hAnsi="Times New Roman" w:eastAsia="Times New Roman" w:cs="Times New Roman"/>
                <w:sz w:val="20"/>
              </w:rPr>
            </w:pPr>
            <w:r>
              <w:rPr>
                <w:rFonts w:ascii="Times New Roman" w:hAnsi="Times New Roman" w:eastAsia="Times New Roman" w:cs="Times New Roman"/>
                <w:spacing w:val="-2"/>
                <w:sz w:val="20"/>
              </w:rPr>
              <w:t>290.38</w:t>
            </w:r>
          </w:p>
        </w:tc>
        <w:tc>
          <w:tcPr>
            <w:tcW w:w="1321" w:type="dxa"/>
          </w:tcPr>
          <w:p w14:paraId="416E132F">
            <w:pPr>
              <w:spacing w:before="41"/>
              <w:ind w:left="114" w:right="79"/>
              <w:jc w:val="center"/>
              <w:rPr>
                <w:rFonts w:ascii="Times New Roman" w:hAnsi="Times New Roman" w:eastAsia="Times New Roman" w:cs="Times New Roman"/>
                <w:sz w:val="20"/>
              </w:rPr>
            </w:pPr>
            <w:r>
              <w:rPr>
                <w:rFonts w:ascii="Times New Roman" w:hAnsi="Times New Roman" w:eastAsia="Times New Roman" w:cs="Times New Roman"/>
                <w:spacing w:val="-2"/>
                <w:sz w:val="20"/>
              </w:rPr>
              <w:t>301.66</w:t>
            </w:r>
          </w:p>
        </w:tc>
        <w:tc>
          <w:tcPr>
            <w:tcW w:w="883" w:type="dxa"/>
          </w:tcPr>
          <w:p w14:paraId="36E2DC79">
            <w:pPr>
              <w:spacing w:before="41"/>
              <w:ind w:left="298"/>
              <w:rPr>
                <w:rFonts w:ascii="Times New Roman" w:hAnsi="Times New Roman" w:eastAsia="Times New Roman" w:cs="Times New Roman"/>
                <w:sz w:val="20"/>
              </w:rPr>
            </w:pPr>
            <w:r>
              <w:rPr>
                <w:rFonts w:ascii="Times New Roman" w:hAnsi="Times New Roman" w:eastAsia="Times New Roman" w:cs="Times New Roman"/>
                <w:spacing w:val="-5"/>
                <w:sz w:val="20"/>
              </w:rPr>
              <w:t>290</w:t>
            </w:r>
          </w:p>
        </w:tc>
        <w:tc>
          <w:tcPr>
            <w:tcW w:w="878" w:type="dxa"/>
          </w:tcPr>
          <w:p w14:paraId="3830E519">
            <w:pPr>
              <w:spacing w:before="41"/>
              <w:ind w:left="225" w:right="191"/>
              <w:jc w:val="center"/>
              <w:rPr>
                <w:rFonts w:ascii="Times New Roman" w:hAnsi="Times New Roman" w:eastAsia="Times New Roman" w:cs="Times New Roman"/>
                <w:sz w:val="20"/>
              </w:rPr>
            </w:pPr>
            <w:r>
              <w:rPr>
                <w:rFonts w:ascii="Times New Roman" w:hAnsi="Times New Roman" w:eastAsia="Times New Roman" w:cs="Times New Roman"/>
                <w:spacing w:val="-5"/>
                <w:sz w:val="20"/>
              </w:rPr>
              <w:t>9%</w:t>
            </w:r>
          </w:p>
        </w:tc>
        <w:tc>
          <w:tcPr>
            <w:tcW w:w="1198" w:type="dxa"/>
          </w:tcPr>
          <w:p w14:paraId="46D1D370">
            <w:pPr>
              <w:spacing w:before="41"/>
              <w:ind w:left="358" w:right="340"/>
              <w:jc w:val="center"/>
              <w:rPr>
                <w:rFonts w:ascii="Times New Roman" w:hAnsi="Times New Roman" w:eastAsia="Times New Roman" w:cs="Times New Roman"/>
                <w:sz w:val="20"/>
              </w:rPr>
            </w:pPr>
            <w:r>
              <w:rPr>
                <w:rFonts w:ascii="Times New Roman" w:hAnsi="Times New Roman" w:eastAsia="Times New Roman" w:cs="Times New Roman"/>
                <w:spacing w:val="-2"/>
                <w:sz w:val="20"/>
              </w:rPr>
              <w:t>104.0</w:t>
            </w:r>
          </w:p>
        </w:tc>
        <w:tc>
          <w:tcPr>
            <w:tcW w:w="1106" w:type="dxa"/>
          </w:tcPr>
          <w:p w14:paraId="7AA943FB">
            <w:pPr>
              <w:spacing w:before="28"/>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1823B8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2863" w:type="dxa"/>
          </w:tcPr>
          <w:p w14:paraId="3E6656F6">
            <w:pPr>
              <w:spacing w:before="54"/>
              <w:ind w:left="174" w:right="159"/>
              <w:jc w:val="center"/>
              <w:rPr>
                <w:rFonts w:ascii="宋体" w:hAnsi="Times New Roman" w:eastAsia="宋体" w:cs="Times New Roman"/>
                <w:sz w:val="20"/>
              </w:rPr>
            </w:pPr>
            <w:r>
              <w:rPr>
                <w:rFonts w:ascii="宋体" w:hAnsi="Times New Roman" w:eastAsia="宋体" w:cs="Times New Roman"/>
                <w:w w:val="95"/>
                <w:sz w:val="20"/>
              </w:rPr>
              <w:t>第三产业增加</w:t>
            </w:r>
            <w:r>
              <w:rPr>
                <w:rFonts w:ascii="宋体" w:hAnsi="Times New Roman" w:eastAsia="宋体" w:cs="Times New Roman"/>
                <w:spacing w:val="-10"/>
                <w:w w:val="95"/>
                <w:sz w:val="20"/>
              </w:rPr>
              <w:t>值</w:t>
            </w:r>
          </w:p>
        </w:tc>
        <w:tc>
          <w:tcPr>
            <w:tcW w:w="800" w:type="dxa"/>
          </w:tcPr>
          <w:p w14:paraId="7722F43B">
            <w:pPr>
              <w:spacing w:before="54"/>
              <w:ind w:left="188" w:right="172"/>
              <w:jc w:val="center"/>
              <w:rPr>
                <w:rFonts w:ascii="宋体" w:hAnsi="Times New Roman" w:eastAsia="宋体" w:cs="Times New Roman"/>
                <w:sz w:val="20"/>
              </w:rPr>
            </w:pPr>
            <w:r>
              <w:rPr>
                <w:rFonts w:ascii="宋体" w:hAnsi="Times New Roman" w:eastAsia="宋体" w:cs="Times New Roman"/>
                <w:w w:val="95"/>
                <w:sz w:val="20"/>
              </w:rPr>
              <w:t>亿</w:t>
            </w:r>
            <w:r>
              <w:rPr>
                <w:rFonts w:ascii="宋体" w:hAnsi="Times New Roman" w:eastAsia="宋体" w:cs="Times New Roman"/>
                <w:spacing w:val="-10"/>
                <w:sz w:val="20"/>
              </w:rPr>
              <w:t>元</w:t>
            </w:r>
          </w:p>
        </w:tc>
        <w:tc>
          <w:tcPr>
            <w:tcW w:w="1351" w:type="dxa"/>
          </w:tcPr>
          <w:p w14:paraId="1300659C">
            <w:pPr>
              <w:spacing w:before="67"/>
              <w:ind w:left="210" w:right="190"/>
              <w:jc w:val="center"/>
              <w:rPr>
                <w:rFonts w:ascii="Times New Roman" w:hAnsi="Times New Roman" w:eastAsia="Times New Roman" w:cs="Times New Roman"/>
                <w:sz w:val="20"/>
              </w:rPr>
            </w:pPr>
            <w:r>
              <w:rPr>
                <w:rFonts w:ascii="Times New Roman" w:hAnsi="Times New Roman" w:eastAsia="Times New Roman" w:cs="Times New Roman"/>
                <w:spacing w:val="-2"/>
                <w:sz w:val="20"/>
              </w:rPr>
              <w:t>83.07</w:t>
            </w:r>
          </w:p>
        </w:tc>
        <w:tc>
          <w:tcPr>
            <w:tcW w:w="1183" w:type="dxa"/>
          </w:tcPr>
          <w:p w14:paraId="1146D3FD">
            <w:pPr>
              <w:spacing w:before="67"/>
              <w:ind w:left="403" w:right="385"/>
              <w:jc w:val="center"/>
              <w:rPr>
                <w:rFonts w:ascii="Times New Roman" w:hAnsi="Times New Roman" w:eastAsia="Times New Roman" w:cs="Times New Roman"/>
                <w:sz w:val="20"/>
              </w:rPr>
            </w:pPr>
            <w:r>
              <w:rPr>
                <w:rFonts w:ascii="Times New Roman" w:hAnsi="Times New Roman" w:eastAsia="Times New Roman" w:cs="Times New Roman"/>
                <w:spacing w:val="-4"/>
                <w:sz w:val="20"/>
              </w:rPr>
              <w:t>96.3</w:t>
            </w:r>
          </w:p>
        </w:tc>
        <w:tc>
          <w:tcPr>
            <w:tcW w:w="1333" w:type="dxa"/>
          </w:tcPr>
          <w:p w14:paraId="653F3ADE">
            <w:pPr>
              <w:spacing w:before="67"/>
              <w:ind w:left="201" w:right="182"/>
              <w:jc w:val="center"/>
              <w:rPr>
                <w:rFonts w:ascii="Times New Roman" w:hAnsi="Times New Roman" w:eastAsia="Times New Roman" w:cs="Times New Roman"/>
                <w:sz w:val="20"/>
              </w:rPr>
            </w:pPr>
            <w:r>
              <w:rPr>
                <w:rFonts w:ascii="Times New Roman" w:hAnsi="Times New Roman" w:eastAsia="Times New Roman" w:cs="Times New Roman"/>
                <w:spacing w:val="-2"/>
                <w:sz w:val="20"/>
              </w:rPr>
              <w:t>108.8</w:t>
            </w:r>
          </w:p>
        </w:tc>
        <w:tc>
          <w:tcPr>
            <w:tcW w:w="1342" w:type="dxa"/>
          </w:tcPr>
          <w:p w14:paraId="45C24C10">
            <w:pPr>
              <w:spacing w:before="67"/>
              <w:ind w:left="61" w:right="43"/>
              <w:jc w:val="center"/>
              <w:rPr>
                <w:rFonts w:ascii="Times New Roman" w:hAnsi="Times New Roman" w:eastAsia="Times New Roman" w:cs="Times New Roman"/>
                <w:sz w:val="20"/>
              </w:rPr>
            </w:pPr>
            <w:r>
              <w:rPr>
                <w:rFonts w:ascii="Times New Roman" w:hAnsi="Times New Roman" w:eastAsia="Times New Roman" w:cs="Times New Roman"/>
                <w:spacing w:val="-2"/>
                <w:sz w:val="20"/>
              </w:rPr>
              <w:t>131.82</w:t>
            </w:r>
          </w:p>
        </w:tc>
        <w:tc>
          <w:tcPr>
            <w:tcW w:w="1643" w:type="dxa"/>
          </w:tcPr>
          <w:p w14:paraId="49ECCD7D">
            <w:pPr>
              <w:spacing w:before="67"/>
              <w:ind w:left="71" w:right="38"/>
              <w:jc w:val="center"/>
              <w:rPr>
                <w:rFonts w:ascii="Times New Roman" w:hAnsi="Times New Roman" w:eastAsia="Times New Roman" w:cs="Times New Roman"/>
                <w:sz w:val="20"/>
              </w:rPr>
            </w:pPr>
            <w:r>
              <w:rPr>
                <w:rFonts w:ascii="Times New Roman" w:hAnsi="Times New Roman" w:eastAsia="Times New Roman" w:cs="Times New Roman"/>
                <w:spacing w:val="-2"/>
                <w:sz w:val="20"/>
              </w:rPr>
              <w:t>231.57</w:t>
            </w:r>
          </w:p>
        </w:tc>
        <w:tc>
          <w:tcPr>
            <w:tcW w:w="1321" w:type="dxa"/>
          </w:tcPr>
          <w:p w14:paraId="1C941FC9">
            <w:pPr>
              <w:spacing w:before="67"/>
              <w:ind w:left="114" w:right="79"/>
              <w:jc w:val="center"/>
              <w:rPr>
                <w:rFonts w:ascii="Times New Roman" w:hAnsi="Times New Roman" w:eastAsia="Times New Roman" w:cs="Times New Roman"/>
                <w:sz w:val="20"/>
              </w:rPr>
            </w:pPr>
            <w:r>
              <w:rPr>
                <w:rFonts w:ascii="Times New Roman" w:hAnsi="Times New Roman" w:eastAsia="Times New Roman" w:cs="Times New Roman"/>
                <w:spacing w:val="-2"/>
                <w:sz w:val="20"/>
              </w:rPr>
              <w:t>236.97</w:t>
            </w:r>
          </w:p>
        </w:tc>
        <w:tc>
          <w:tcPr>
            <w:tcW w:w="883" w:type="dxa"/>
          </w:tcPr>
          <w:p w14:paraId="799420A8">
            <w:pPr>
              <w:spacing w:before="67"/>
              <w:ind w:left="298"/>
              <w:rPr>
                <w:rFonts w:ascii="Times New Roman" w:hAnsi="Times New Roman" w:eastAsia="Times New Roman" w:cs="Times New Roman"/>
                <w:sz w:val="20"/>
              </w:rPr>
            </w:pPr>
            <w:r>
              <w:rPr>
                <w:rFonts w:ascii="Times New Roman" w:hAnsi="Times New Roman" w:eastAsia="Times New Roman" w:cs="Times New Roman"/>
                <w:spacing w:val="-5"/>
                <w:sz w:val="20"/>
              </w:rPr>
              <w:t>160</w:t>
            </w:r>
          </w:p>
        </w:tc>
        <w:tc>
          <w:tcPr>
            <w:tcW w:w="878" w:type="dxa"/>
          </w:tcPr>
          <w:p w14:paraId="42B5C78A">
            <w:pPr>
              <w:spacing w:before="67"/>
              <w:ind w:left="225" w:right="191"/>
              <w:jc w:val="center"/>
              <w:rPr>
                <w:rFonts w:ascii="Times New Roman" w:hAnsi="Times New Roman" w:eastAsia="Times New Roman" w:cs="Times New Roman"/>
                <w:sz w:val="20"/>
              </w:rPr>
            </w:pPr>
            <w:r>
              <w:rPr>
                <w:rFonts w:ascii="Times New Roman" w:hAnsi="Times New Roman" w:eastAsia="Times New Roman" w:cs="Times New Roman"/>
                <w:spacing w:val="-5"/>
                <w:sz w:val="20"/>
              </w:rPr>
              <w:t>11%</w:t>
            </w:r>
          </w:p>
        </w:tc>
        <w:tc>
          <w:tcPr>
            <w:tcW w:w="1198" w:type="dxa"/>
          </w:tcPr>
          <w:p w14:paraId="52B4D25F">
            <w:pPr>
              <w:spacing w:before="67"/>
              <w:ind w:left="358" w:right="340"/>
              <w:jc w:val="center"/>
              <w:rPr>
                <w:rFonts w:ascii="Times New Roman" w:hAnsi="Times New Roman" w:eastAsia="Times New Roman" w:cs="Times New Roman"/>
                <w:sz w:val="20"/>
              </w:rPr>
            </w:pPr>
            <w:r>
              <w:rPr>
                <w:rFonts w:ascii="Times New Roman" w:hAnsi="Times New Roman" w:eastAsia="Times New Roman" w:cs="Times New Roman"/>
                <w:spacing w:val="-2"/>
                <w:sz w:val="20"/>
              </w:rPr>
              <w:t>148.1</w:t>
            </w:r>
          </w:p>
        </w:tc>
        <w:tc>
          <w:tcPr>
            <w:tcW w:w="1106" w:type="dxa"/>
          </w:tcPr>
          <w:p w14:paraId="7DF76D29">
            <w:pPr>
              <w:spacing w:before="54"/>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73B6A1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63" w:type="dxa"/>
          </w:tcPr>
          <w:p w14:paraId="2D6060EB">
            <w:pPr>
              <w:spacing w:before="27"/>
              <w:ind w:left="176" w:right="159"/>
              <w:jc w:val="center"/>
              <w:rPr>
                <w:rFonts w:ascii="宋体" w:hAnsi="Times New Roman" w:eastAsia="宋体" w:cs="Times New Roman"/>
                <w:sz w:val="20"/>
              </w:rPr>
            </w:pPr>
            <w:r>
              <w:rPr>
                <w:rFonts w:ascii="宋体" w:hAnsi="Times New Roman" w:eastAsia="宋体" w:cs="Times New Roman"/>
                <w:w w:val="95"/>
                <w:sz w:val="20"/>
              </w:rPr>
              <w:t>三次产业</w:t>
            </w:r>
            <w:r>
              <w:rPr>
                <w:rFonts w:ascii="宋体" w:hAnsi="Times New Roman" w:eastAsia="宋体" w:cs="Times New Roman"/>
                <w:spacing w:val="-5"/>
                <w:w w:val="95"/>
                <w:sz w:val="20"/>
              </w:rPr>
              <w:t>结构</w:t>
            </w:r>
          </w:p>
        </w:tc>
        <w:tc>
          <w:tcPr>
            <w:tcW w:w="800" w:type="dxa"/>
          </w:tcPr>
          <w:p w14:paraId="6572DFE6">
            <w:pPr>
              <w:spacing w:before="41"/>
              <w:ind w:left="19"/>
              <w:jc w:val="center"/>
              <w:rPr>
                <w:rFonts w:ascii="Times New Roman" w:hAnsi="Times New Roman" w:eastAsia="Times New Roman" w:cs="Times New Roman"/>
                <w:sz w:val="20"/>
              </w:rPr>
            </w:pPr>
            <w:r>
              <w:rPr>
                <w:rFonts w:ascii="Times New Roman" w:hAnsi="Times New Roman" w:eastAsia="Times New Roman" w:cs="Times New Roman"/>
                <w:w w:val="99"/>
                <w:sz w:val="20"/>
              </w:rPr>
              <w:t>%</w:t>
            </w:r>
          </w:p>
        </w:tc>
        <w:tc>
          <w:tcPr>
            <w:tcW w:w="1351" w:type="dxa"/>
          </w:tcPr>
          <w:p w14:paraId="0304742B">
            <w:pPr>
              <w:spacing w:before="41"/>
              <w:ind w:left="210" w:right="190"/>
              <w:jc w:val="center"/>
              <w:rPr>
                <w:rFonts w:ascii="Times New Roman" w:hAnsi="Times New Roman" w:eastAsia="Times New Roman" w:cs="Times New Roman"/>
                <w:sz w:val="20"/>
              </w:rPr>
            </w:pPr>
            <w:r>
              <w:rPr>
                <w:rFonts w:ascii="Times New Roman" w:hAnsi="Times New Roman" w:eastAsia="Times New Roman" w:cs="Times New Roman"/>
                <w:spacing w:val="-2"/>
                <w:sz w:val="20"/>
              </w:rPr>
              <w:t>2:50.5:47.5</w:t>
            </w:r>
          </w:p>
        </w:tc>
        <w:tc>
          <w:tcPr>
            <w:tcW w:w="1183" w:type="dxa"/>
          </w:tcPr>
          <w:p w14:paraId="5CE94187">
            <w:pPr>
              <w:spacing w:before="41"/>
              <w:ind w:right="265"/>
              <w:jc w:val="right"/>
              <w:rPr>
                <w:rFonts w:ascii="Times New Roman" w:hAnsi="Times New Roman" w:eastAsia="Times New Roman" w:cs="Times New Roman"/>
                <w:sz w:val="20"/>
              </w:rPr>
            </w:pPr>
            <w:r>
              <w:rPr>
                <w:rFonts w:ascii="Times New Roman" w:hAnsi="Times New Roman" w:eastAsia="Times New Roman" w:cs="Times New Roman"/>
                <w:spacing w:val="-2"/>
                <w:sz w:val="20"/>
              </w:rPr>
              <w:t>2:49:49</w:t>
            </w:r>
          </w:p>
        </w:tc>
        <w:tc>
          <w:tcPr>
            <w:tcW w:w="1333" w:type="dxa"/>
          </w:tcPr>
          <w:p w14:paraId="7B83C2D1">
            <w:pPr>
              <w:spacing w:before="41"/>
              <w:ind w:left="201" w:right="182"/>
              <w:jc w:val="center"/>
              <w:rPr>
                <w:rFonts w:ascii="Times New Roman" w:hAnsi="Times New Roman" w:eastAsia="Times New Roman" w:cs="Times New Roman"/>
                <w:sz w:val="20"/>
              </w:rPr>
            </w:pPr>
            <w:r>
              <w:rPr>
                <w:rFonts w:ascii="Times New Roman" w:hAnsi="Times New Roman" w:eastAsia="Times New Roman" w:cs="Times New Roman"/>
                <w:spacing w:val="-2"/>
                <w:sz w:val="20"/>
              </w:rPr>
              <w:t>1.5:48.5:50</w:t>
            </w:r>
          </w:p>
        </w:tc>
        <w:tc>
          <w:tcPr>
            <w:tcW w:w="1342" w:type="dxa"/>
          </w:tcPr>
          <w:p w14:paraId="08D5B68D">
            <w:pPr>
              <w:spacing w:before="27"/>
              <w:ind w:left="61" w:right="43"/>
              <w:jc w:val="center"/>
              <w:rPr>
                <w:rFonts w:ascii="Times New Roman" w:hAnsi="Times New Roman" w:eastAsia="Times New Roman" w:cs="Times New Roman"/>
                <w:sz w:val="20"/>
              </w:rPr>
            </w:pPr>
            <w:r>
              <w:rPr>
                <w:rFonts w:ascii="Times New Roman" w:hAnsi="Times New Roman" w:eastAsia="Times New Roman" w:cs="Times New Roman"/>
                <w:spacing w:val="-2"/>
                <w:sz w:val="20"/>
              </w:rPr>
              <w:t>2</w:t>
            </w:r>
            <w:r>
              <w:rPr>
                <w:rFonts w:ascii="宋体" w:hAnsi="Times New Roman" w:eastAsia="宋体" w:cs="Times New Roman"/>
                <w:spacing w:val="-2"/>
                <w:sz w:val="20"/>
              </w:rPr>
              <w:t>：</w:t>
            </w:r>
            <w:r>
              <w:rPr>
                <w:rFonts w:ascii="Times New Roman" w:hAnsi="Times New Roman" w:eastAsia="Times New Roman" w:cs="Times New Roman"/>
                <w:spacing w:val="-2"/>
                <w:sz w:val="20"/>
              </w:rPr>
              <w:t>43.8</w:t>
            </w:r>
            <w:r>
              <w:rPr>
                <w:rFonts w:ascii="宋体" w:hAnsi="Times New Roman" w:eastAsia="宋体" w:cs="Times New Roman"/>
                <w:spacing w:val="-2"/>
                <w:sz w:val="20"/>
              </w:rPr>
              <w:t>：</w:t>
            </w:r>
            <w:r>
              <w:rPr>
                <w:rFonts w:ascii="Times New Roman" w:hAnsi="Times New Roman" w:eastAsia="Times New Roman" w:cs="Times New Roman"/>
                <w:spacing w:val="-2"/>
                <w:sz w:val="20"/>
              </w:rPr>
              <w:t>54.2</w:t>
            </w:r>
          </w:p>
        </w:tc>
        <w:tc>
          <w:tcPr>
            <w:tcW w:w="1643" w:type="dxa"/>
          </w:tcPr>
          <w:p w14:paraId="09C904FC">
            <w:pPr>
              <w:spacing w:before="27"/>
              <w:ind w:left="71" w:right="38"/>
              <w:jc w:val="center"/>
              <w:rPr>
                <w:rFonts w:ascii="Times New Roman" w:hAnsi="Times New Roman" w:eastAsia="Times New Roman" w:cs="Times New Roman"/>
                <w:sz w:val="20"/>
              </w:rPr>
            </w:pPr>
            <w:r>
              <w:rPr>
                <w:rFonts w:ascii="Times New Roman" w:hAnsi="Times New Roman" w:eastAsia="Times New Roman" w:cs="Times New Roman"/>
                <w:spacing w:val="-2"/>
                <w:sz w:val="20"/>
              </w:rPr>
              <w:t>1.28</w:t>
            </w:r>
            <w:r>
              <w:rPr>
                <w:rFonts w:ascii="宋体" w:hAnsi="Times New Roman" w:eastAsia="宋体" w:cs="Times New Roman"/>
                <w:spacing w:val="-2"/>
                <w:sz w:val="20"/>
              </w:rPr>
              <w:t>：</w:t>
            </w:r>
            <w:r>
              <w:rPr>
                <w:rFonts w:ascii="Times New Roman" w:hAnsi="Times New Roman" w:eastAsia="Times New Roman" w:cs="Times New Roman"/>
                <w:spacing w:val="-2"/>
                <w:sz w:val="20"/>
              </w:rPr>
              <w:t>18.97:79.75</w:t>
            </w:r>
          </w:p>
        </w:tc>
        <w:tc>
          <w:tcPr>
            <w:tcW w:w="1321" w:type="dxa"/>
          </w:tcPr>
          <w:p w14:paraId="7FD0EF24">
            <w:pPr>
              <w:spacing w:before="41"/>
              <w:ind w:left="114" w:right="110"/>
              <w:jc w:val="center"/>
              <w:rPr>
                <w:rFonts w:ascii="Times New Roman" w:hAnsi="Times New Roman" w:eastAsia="Times New Roman" w:cs="Times New Roman"/>
                <w:sz w:val="20"/>
              </w:rPr>
            </w:pPr>
            <w:r>
              <w:rPr>
                <w:rFonts w:ascii="Times New Roman" w:hAnsi="Times New Roman" w:eastAsia="Times New Roman" w:cs="Times New Roman"/>
                <w:spacing w:val="-2"/>
                <w:sz w:val="20"/>
              </w:rPr>
              <w:t>1.8:19.7:78.5</w:t>
            </w:r>
          </w:p>
        </w:tc>
        <w:tc>
          <w:tcPr>
            <w:tcW w:w="883" w:type="dxa"/>
          </w:tcPr>
          <w:p w14:paraId="0D732FBE">
            <w:pPr>
              <w:spacing w:before="41"/>
              <w:ind w:right="105"/>
              <w:jc w:val="right"/>
              <w:rPr>
                <w:rFonts w:ascii="Times New Roman" w:hAnsi="Times New Roman" w:eastAsia="Times New Roman" w:cs="Times New Roman"/>
                <w:sz w:val="20"/>
              </w:rPr>
            </w:pPr>
            <w:r>
              <w:rPr>
                <w:rFonts w:ascii="Times New Roman" w:hAnsi="Times New Roman" w:eastAsia="Times New Roman" w:cs="Times New Roman"/>
                <w:spacing w:val="-2"/>
                <w:sz w:val="20"/>
              </w:rPr>
              <w:t>2:43:55</w:t>
            </w:r>
          </w:p>
        </w:tc>
        <w:tc>
          <w:tcPr>
            <w:tcW w:w="878" w:type="dxa"/>
          </w:tcPr>
          <w:p w14:paraId="16FB42A6">
            <w:pPr>
              <w:spacing w:before="41"/>
              <w:ind w:left="224" w:right="191"/>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98" w:type="dxa"/>
          </w:tcPr>
          <w:p w14:paraId="40389DBE">
            <w:pPr>
              <w:spacing w:before="41"/>
              <w:ind w:left="358" w:right="337"/>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06" w:type="dxa"/>
          </w:tcPr>
          <w:p w14:paraId="570847C8">
            <w:pPr>
              <w:spacing w:before="27"/>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6A6F09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863" w:type="dxa"/>
          </w:tcPr>
          <w:p w14:paraId="4062FBB2">
            <w:pPr>
              <w:spacing w:before="29"/>
              <w:ind w:left="174" w:right="159"/>
              <w:jc w:val="center"/>
              <w:rPr>
                <w:rFonts w:ascii="宋体" w:hAnsi="Times New Roman" w:eastAsia="宋体" w:cs="Times New Roman"/>
                <w:sz w:val="20"/>
              </w:rPr>
            </w:pPr>
            <w:r>
              <w:rPr>
                <w:rFonts w:ascii="宋体" w:hAnsi="Times New Roman" w:eastAsia="宋体" w:cs="Times New Roman"/>
                <w:w w:val="95"/>
                <w:sz w:val="20"/>
              </w:rPr>
              <w:t>地方财政一般预算收</w:t>
            </w:r>
            <w:r>
              <w:rPr>
                <w:rFonts w:ascii="宋体" w:hAnsi="Times New Roman" w:eastAsia="宋体" w:cs="Times New Roman"/>
                <w:spacing w:val="-10"/>
                <w:w w:val="95"/>
                <w:sz w:val="20"/>
              </w:rPr>
              <w:t>入</w:t>
            </w:r>
          </w:p>
        </w:tc>
        <w:tc>
          <w:tcPr>
            <w:tcW w:w="800" w:type="dxa"/>
          </w:tcPr>
          <w:p w14:paraId="305EB8A7">
            <w:pPr>
              <w:spacing w:before="29"/>
              <w:ind w:left="188" w:right="172"/>
              <w:jc w:val="center"/>
              <w:rPr>
                <w:rFonts w:ascii="宋体" w:hAnsi="Times New Roman" w:eastAsia="宋体" w:cs="Times New Roman"/>
                <w:sz w:val="20"/>
              </w:rPr>
            </w:pPr>
            <w:r>
              <w:rPr>
                <w:rFonts w:ascii="宋体" w:hAnsi="Times New Roman" w:eastAsia="宋体" w:cs="Times New Roman"/>
                <w:w w:val="95"/>
                <w:sz w:val="20"/>
              </w:rPr>
              <w:t>亿</w:t>
            </w:r>
            <w:r>
              <w:rPr>
                <w:rFonts w:ascii="宋体" w:hAnsi="Times New Roman" w:eastAsia="宋体" w:cs="Times New Roman"/>
                <w:spacing w:val="-10"/>
                <w:sz w:val="20"/>
              </w:rPr>
              <w:t>元</w:t>
            </w:r>
          </w:p>
        </w:tc>
        <w:tc>
          <w:tcPr>
            <w:tcW w:w="1351" w:type="dxa"/>
          </w:tcPr>
          <w:p w14:paraId="3CDEA21B">
            <w:pPr>
              <w:spacing w:before="42"/>
              <w:ind w:left="207" w:right="190"/>
              <w:jc w:val="center"/>
              <w:rPr>
                <w:rFonts w:ascii="Times New Roman" w:hAnsi="Times New Roman" w:eastAsia="Times New Roman" w:cs="Times New Roman"/>
                <w:sz w:val="20"/>
              </w:rPr>
            </w:pPr>
            <w:r>
              <w:rPr>
                <w:rFonts w:ascii="Times New Roman" w:hAnsi="Times New Roman" w:eastAsia="Times New Roman" w:cs="Times New Roman"/>
                <w:spacing w:val="-5"/>
                <w:sz w:val="20"/>
              </w:rPr>
              <w:t>5.3</w:t>
            </w:r>
          </w:p>
        </w:tc>
        <w:tc>
          <w:tcPr>
            <w:tcW w:w="1183" w:type="dxa"/>
          </w:tcPr>
          <w:p w14:paraId="43FDAB91">
            <w:pPr>
              <w:spacing w:before="42"/>
              <w:ind w:left="403" w:right="385"/>
              <w:jc w:val="center"/>
              <w:rPr>
                <w:rFonts w:ascii="Times New Roman" w:hAnsi="Times New Roman" w:eastAsia="Times New Roman" w:cs="Times New Roman"/>
                <w:sz w:val="20"/>
              </w:rPr>
            </w:pPr>
            <w:r>
              <w:rPr>
                <w:rFonts w:ascii="Times New Roman" w:hAnsi="Times New Roman" w:eastAsia="Times New Roman" w:cs="Times New Roman"/>
                <w:spacing w:val="-4"/>
                <w:sz w:val="20"/>
              </w:rPr>
              <w:t>5.85</w:t>
            </w:r>
          </w:p>
        </w:tc>
        <w:tc>
          <w:tcPr>
            <w:tcW w:w="1333" w:type="dxa"/>
          </w:tcPr>
          <w:p w14:paraId="75ABB7A2">
            <w:pPr>
              <w:spacing w:before="42"/>
              <w:ind w:left="199" w:right="182"/>
              <w:jc w:val="center"/>
              <w:rPr>
                <w:rFonts w:ascii="Times New Roman" w:hAnsi="Times New Roman" w:eastAsia="Times New Roman" w:cs="Times New Roman"/>
                <w:sz w:val="20"/>
              </w:rPr>
            </w:pPr>
            <w:r>
              <w:rPr>
                <w:rFonts w:ascii="Times New Roman" w:hAnsi="Times New Roman" w:eastAsia="Times New Roman" w:cs="Times New Roman"/>
                <w:spacing w:val="-4"/>
                <w:sz w:val="20"/>
              </w:rPr>
              <w:t>6.42</w:t>
            </w:r>
          </w:p>
        </w:tc>
        <w:tc>
          <w:tcPr>
            <w:tcW w:w="1342" w:type="dxa"/>
          </w:tcPr>
          <w:p w14:paraId="57B0B983">
            <w:pPr>
              <w:spacing w:before="42"/>
              <w:ind w:left="61" w:right="41"/>
              <w:jc w:val="center"/>
              <w:rPr>
                <w:rFonts w:ascii="Times New Roman" w:hAnsi="Times New Roman" w:eastAsia="Times New Roman" w:cs="Times New Roman"/>
                <w:sz w:val="20"/>
              </w:rPr>
            </w:pPr>
            <w:r>
              <w:rPr>
                <w:rFonts w:ascii="Times New Roman" w:hAnsi="Times New Roman" w:eastAsia="Times New Roman" w:cs="Times New Roman"/>
                <w:spacing w:val="-4"/>
                <w:sz w:val="20"/>
              </w:rPr>
              <w:t>7.08</w:t>
            </w:r>
          </w:p>
        </w:tc>
        <w:tc>
          <w:tcPr>
            <w:tcW w:w="1643" w:type="dxa"/>
          </w:tcPr>
          <w:p w14:paraId="31C9B394">
            <w:pPr>
              <w:spacing w:before="42"/>
              <w:ind w:left="71" w:right="36"/>
              <w:jc w:val="center"/>
              <w:rPr>
                <w:rFonts w:ascii="Times New Roman" w:hAnsi="Times New Roman" w:eastAsia="Times New Roman" w:cs="Times New Roman"/>
                <w:sz w:val="20"/>
              </w:rPr>
            </w:pPr>
            <w:r>
              <w:rPr>
                <w:rFonts w:ascii="Times New Roman" w:hAnsi="Times New Roman" w:eastAsia="Times New Roman" w:cs="Times New Roman"/>
                <w:spacing w:val="-4"/>
                <w:sz w:val="20"/>
              </w:rPr>
              <w:t>7.45</w:t>
            </w:r>
          </w:p>
        </w:tc>
        <w:tc>
          <w:tcPr>
            <w:tcW w:w="1321" w:type="dxa"/>
          </w:tcPr>
          <w:p w14:paraId="21FAF834">
            <w:pPr>
              <w:spacing w:before="42"/>
              <w:ind w:left="114" w:right="81"/>
              <w:jc w:val="center"/>
              <w:rPr>
                <w:rFonts w:ascii="Times New Roman" w:hAnsi="Times New Roman" w:eastAsia="Times New Roman" w:cs="Times New Roman"/>
                <w:sz w:val="20"/>
              </w:rPr>
            </w:pPr>
            <w:r>
              <w:rPr>
                <w:rFonts w:ascii="Times New Roman" w:hAnsi="Times New Roman" w:eastAsia="Times New Roman" w:cs="Times New Roman"/>
                <w:spacing w:val="-5"/>
                <w:sz w:val="20"/>
              </w:rPr>
              <w:t>7.7</w:t>
            </w:r>
          </w:p>
        </w:tc>
        <w:tc>
          <w:tcPr>
            <w:tcW w:w="883" w:type="dxa"/>
          </w:tcPr>
          <w:p w14:paraId="3410A8A6">
            <w:pPr>
              <w:spacing w:before="42"/>
              <w:ind w:left="34"/>
              <w:jc w:val="center"/>
              <w:rPr>
                <w:rFonts w:ascii="Times New Roman" w:hAnsi="Times New Roman" w:eastAsia="Times New Roman" w:cs="Times New Roman"/>
                <w:sz w:val="20"/>
              </w:rPr>
            </w:pPr>
            <w:r>
              <w:rPr>
                <w:rFonts w:ascii="Times New Roman" w:hAnsi="Times New Roman" w:eastAsia="Times New Roman" w:cs="Times New Roman"/>
                <w:w w:val="99"/>
                <w:sz w:val="20"/>
              </w:rPr>
              <w:t>9</w:t>
            </w:r>
          </w:p>
        </w:tc>
        <w:tc>
          <w:tcPr>
            <w:tcW w:w="878" w:type="dxa"/>
          </w:tcPr>
          <w:p w14:paraId="7E22C643">
            <w:pPr>
              <w:spacing w:before="42"/>
              <w:ind w:left="225" w:right="191"/>
              <w:jc w:val="center"/>
              <w:rPr>
                <w:rFonts w:ascii="Times New Roman" w:hAnsi="Times New Roman" w:eastAsia="Times New Roman" w:cs="Times New Roman"/>
                <w:sz w:val="20"/>
              </w:rPr>
            </w:pPr>
            <w:r>
              <w:rPr>
                <w:rFonts w:ascii="Times New Roman" w:hAnsi="Times New Roman" w:eastAsia="Times New Roman" w:cs="Times New Roman"/>
                <w:spacing w:val="-5"/>
                <w:sz w:val="20"/>
              </w:rPr>
              <w:t>10%</w:t>
            </w:r>
          </w:p>
        </w:tc>
        <w:tc>
          <w:tcPr>
            <w:tcW w:w="1198" w:type="dxa"/>
          </w:tcPr>
          <w:p w14:paraId="171CF001">
            <w:pPr>
              <w:spacing w:before="42"/>
              <w:ind w:left="358" w:right="340"/>
              <w:jc w:val="center"/>
              <w:rPr>
                <w:rFonts w:ascii="Times New Roman" w:hAnsi="Times New Roman" w:eastAsia="Times New Roman" w:cs="Times New Roman"/>
                <w:sz w:val="20"/>
              </w:rPr>
            </w:pPr>
            <w:r>
              <w:rPr>
                <w:rFonts w:ascii="Times New Roman" w:hAnsi="Times New Roman" w:eastAsia="Times New Roman" w:cs="Times New Roman"/>
                <w:spacing w:val="-4"/>
                <w:sz w:val="20"/>
              </w:rPr>
              <w:t>85.6</w:t>
            </w:r>
          </w:p>
        </w:tc>
        <w:tc>
          <w:tcPr>
            <w:tcW w:w="1106" w:type="dxa"/>
          </w:tcPr>
          <w:p w14:paraId="4C300CFC">
            <w:pPr>
              <w:spacing w:before="29"/>
              <w:ind w:left="156" w:right="137"/>
              <w:jc w:val="center"/>
              <w:rPr>
                <w:rFonts w:ascii="宋体" w:hAnsi="Times New Roman" w:eastAsia="宋体" w:cs="Times New Roman"/>
                <w:sz w:val="20"/>
              </w:rPr>
            </w:pPr>
            <w:r>
              <w:rPr>
                <w:rFonts w:ascii="宋体" w:hAnsi="Times New Roman" w:eastAsia="宋体" w:cs="Times New Roman"/>
                <w:spacing w:val="-4"/>
                <w:w w:val="95"/>
                <w:sz w:val="20"/>
              </w:rPr>
              <w:t>有差距</w:t>
            </w:r>
          </w:p>
        </w:tc>
      </w:tr>
      <w:tr w14:paraId="7A57C6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863" w:type="dxa"/>
          </w:tcPr>
          <w:p w14:paraId="40C66117">
            <w:pPr>
              <w:spacing w:before="28"/>
              <w:ind w:left="176" w:right="159"/>
              <w:jc w:val="center"/>
              <w:rPr>
                <w:rFonts w:ascii="宋体" w:hAnsi="Times New Roman" w:eastAsia="宋体" w:cs="Times New Roman"/>
                <w:sz w:val="20"/>
              </w:rPr>
            </w:pPr>
            <w:r>
              <w:rPr>
                <w:rFonts w:ascii="宋体" w:hAnsi="Times New Roman" w:eastAsia="宋体" w:cs="Times New Roman"/>
                <w:w w:val="95"/>
                <w:sz w:val="20"/>
              </w:rPr>
              <w:t>全社会固定资产</w:t>
            </w:r>
            <w:r>
              <w:rPr>
                <w:rFonts w:ascii="宋体" w:hAnsi="Times New Roman" w:eastAsia="宋体" w:cs="Times New Roman"/>
                <w:spacing w:val="-5"/>
                <w:w w:val="95"/>
                <w:sz w:val="20"/>
              </w:rPr>
              <w:t>投资</w:t>
            </w:r>
          </w:p>
        </w:tc>
        <w:tc>
          <w:tcPr>
            <w:tcW w:w="800" w:type="dxa"/>
          </w:tcPr>
          <w:p w14:paraId="15878D52">
            <w:pPr>
              <w:spacing w:before="28"/>
              <w:ind w:left="188" w:right="172"/>
              <w:jc w:val="center"/>
              <w:rPr>
                <w:rFonts w:ascii="宋体" w:hAnsi="Times New Roman" w:eastAsia="宋体" w:cs="Times New Roman"/>
                <w:sz w:val="20"/>
              </w:rPr>
            </w:pPr>
            <w:r>
              <w:rPr>
                <w:rFonts w:ascii="宋体" w:hAnsi="Times New Roman" w:eastAsia="宋体" w:cs="Times New Roman"/>
                <w:w w:val="95"/>
                <w:sz w:val="20"/>
              </w:rPr>
              <w:t>亿</w:t>
            </w:r>
            <w:r>
              <w:rPr>
                <w:rFonts w:ascii="宋体" w:hAnsi="Times New Roman" w:eastAsia="宋体" w:cs="Times New Roman"/>
                <w:spacing w:val="-10"/>
                <w:sz w:val="20"/>
              </w:rPr>
              <w:t>元</w:t>
            </w:r>
          </w:p>
        </w:tc>
        <w:tc>
          <w:tcPr>
            <w:tcW w:w="1351" w:type="dxa"/>
          </w:tcPr>
          <w:p w14:paraId="0C452DBA">
            <w:pPr>
              <w:spacing w:before="41"/>
              <w:ind w:left="210" w:right="190"/>
              <w:jc w:val="center"/>
              <w:rPr>
                <w:rFonts w:ascii="Times New Roman" w:hAnsi="Times New Roman" w:eastAsia="Times New Roman" w:cs="Times New Roman"/>
                <w:sz w:val="20"/>
              </w:rPr>
            </w:pPr>
            <w:r>
              <w:rPr>
                <w:rFonts w:ascii="Times New Roman" w:hAnsi="Times New Roman" w:eastAsia="Times New Roman" w:cs="Times New Roman"/>
                <w:spacing w:val="-2"/>
                <w:sz w:val="20"/>
              </w:rPr>
              <w:t>301.9</w:t>
            </w:r>
          </w:p>
        </w:tc>
        <w:tc>
          <w:tcPr>
            <w:tcW w:w="1183" w:type="dxa"/>
          </w:tcPr>
          <w:p w14:paraId="54F7EF1E">
            <w:pPr>
              <w:spacing w:before="41"/>
              <w:ind w:right="293"/>
              <w:jc w:val="right"/>
              <w:rPr>
                <w:rFonts w:ascii="Times New Roman" w:hAnsi="Times New Roman" w:eastAsia="Times New Roman" w:cs="Times New Roman"/>
                <w:sz w:val="20"/>
              </w:rPr>
            </w:pPr>
            <w:r>
              <w:rPr>
                <w:rFonts w:ascii="Times New Roman" w:hAnsi="Times New Roman" w:eastAsia="Times New Roman" w:cs="Times New Roman"/>
                <w:spacing w:val="-2"/>
                <w:sz w:val="20"/>
              </w:rPr>
              <w:t>322.09</w:t>
            </w:r>
          </w:p>
        </w:tc>
        <w:tc>
          <w:tcPr>
            <w:tcW w:w="1333" w:type="dxa"/>
          </w:tcPr>
          <w:p w14:paraId="469D34BB">
            <w:pPr>
              <w:spacing w:before="41"/>
              <w:ind w:left="201" w:right="182"/>
              <w:jc w:val="center"/>
              <w:rPr>
                <w:rFonts w:ascii="Times New Roman" w:hAnsi="Times New Roman" w:eastAsia="Times New Roman" w:cs="Times New Roman"/>
                <w:sz w:val="20"/>
              </w:rPr>
            </w:pPr>
            <w:r>
              <w:rPr>
                <w:rFonts w:ascii="Times New Roman" w:hAnsi="Times New Roman" w:eastAsia="Times New Roman" w:cs="Times New Roman"/>
                <w:spacing w:val="-2"/>
                <w:sz w:val="20"/>
              </w:rPr>
              <w:t>252.6</w:t>
            </w:r>
          </w:p>
        </w:tc>
        <w:tc>
          <w:tcPr>
            <w:tcW w:w="1342" w:type="dxa"/>
          </w:tcPr>
          <w:p w14:paraId="17FCB3D1">
            <w:pPr>
              <w:spacing w:before="41"/>
              <w:ind w:left="61" w:right="43"/>
              <w:jc w:val="center"/>
              <w:rPr>
                <w:rFonts w:ascii="Times New Roman" w:hAnsi="Times New Roman" w:eastAsia="Times New Roman" w:cs="Times New Roman"/>
                <w:sz w:val="20"/>
              </w:rPr>
            </w:pPr>
            <w:r>
              <w:rPr>
                <w:rFonts w:ascii="Times New Roman" w:hAnsi="Times New Roman" w:eastAsia="Times New Roman" w:cs="Times New Roman"/>
                <w:spacing w:val="-5"/>
                <w:sz w:val="20"/>
              </w:rPr>
              <w:t>197</w:t>
            </w:r>
          </w:p>
        </w:tc>
        <w:tc>
          <w:tcPr>
            <w:tcW w:w="1643" w:type="dxa"/>
          </w:tcPr>
          <w:p w14:paraId="548B1026">
            <w:pPr>
              <w:spacing w:before="41"/>
              <w:ind w:left="71" w:right="38"/>
              <w:jc w:val="center"/>
              <w:rPr>
                <w:rFonts w:ascii="Times New Roman" w:hAnsi="Times New Roman" w:eastAsia="Times New Roman" w:cs="Times New Roman"/>
                <w:sz w:val="20"/>
              </w:rPr>
            </w:pPr>
            <w:r>
              <w:rPr>
                <w:rFonts w:ascii="Times New Roman" w:hAnsi="Times New Roman" w:eastAsia="Times New Roman" w:cs="Times New Roman"/>
                <w:spacing w:val="-2"/>
                <w:sz w:val="20"/>
              </w:rPr>
              <w:t>200.5</w:t>
            </w:r>
          </w:p>
        </w:tc>
        <w:tc>
          <w:tcPr>
            <w:tcW w:w="1321" w:type="dxa"/>
          </w:tcPr>
          <w:p w14:paraId="75F7569F">
            <w:pPr>
              <w:spacing w:before="41"/>
              <w:ind w:left="114" w:right="79"/>
              <w:jc w:val="center"/>
              <w:rPr>
                <w:rFonts w:ascii="Times New Roman" w:hAnsi="Times New Roman" w:eastAsia="Times New Roman" w:cs="Times New Roman"/>
                <w:sz w:val="20"/>
              </w:rPr>
            </w:pPr>
            <w:r>
              <w:rPr>
                <w:rFonts w:ascii="Times New Roman" w:hAnsi="Times New Roman" w:eastAsia="Times New Roman" w:cs="Times New Roman"/>
                <w:spacing w:val="-5"/>
                <w:sz w:val="20"/>
              </w:rPr>
              <w:t>209</w:t>
            </w:r>
          </w:p>
        </w:tc>
        <w:tc>
          <w:tcPr>
            <w:tcW w:w="883" w:type="dxa"/>
          </w:tcPr>
          <w:p w14:paraId="2CC30348">
            <w:pPr>
              <w:spacing w:before="41"/>
              <w:ind w:left="333" w:right="296"/>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878" w:type="dxa"/>
          </w:tcPr>
          <w:p w14:paraId="50619BD3">
            <w:pPr>
              <w:spacing w:before="41"/>
              <w:ind w:left="225" w:right="191"/>
              <w:jc w:val="center"/>
              <w:rPr>
                <w:rFonts w:ascii="Times New Roman" w:hAnsi="Times New Roman" w:eastAsia="Times New Roman" w:cs="Times New Roman"/>
                <w:sz w:val="20"/>
              </w:rPr>
            </w:pPr>
            <w:r>
              <w:rPr>
                <w:rFonts w:ascii="Times New Roman" w:hAnsi="Times New Roman" w:eastAsia="Times New Roman" w:cs="Times New Roman"/>
                <w:spacing w:val="-5"/>
                <w:sz w:val="20"/>
              </w:rPr>
              <w:t>3%</w:t>
            </w:r>
          </w:p>
        </w:tc>
        <w:tc>
          <w:tcPr>
            <w:tcW w:w="1198" w:type="dxa"/>
          </w:tcPr>
          <w:p w14:paraId="4BA3D01C">
            <w:pPr>
              <w:spacing w:before="41"/>
              <w:ind w:left="358" w:right="337"/>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06" w:type="dxa"/>
          </w:tcPr>
          <w:p w14:paraId="66738F92">
            <w:pPr>
              <w:spacing w:before="28"/>
              <w:ind w:left="156" w:right="137"/>
              <w:jc w:val="center"/>
              <w:rPr>
                <w:rFonts w:ascii="宋体" w:hAnsi="Times New Roman" w:eastAsia="宋体" w:cs="Times New Roman"/>
                <w:sz w:val="20"/>
              </w:rPr>
            </w:pPr>
            <w:r>
              <w:rPr>
                <w:rFonts w:ascii="宋体" w:hAnsi="Times New Roman" w:eastAsia="宋体" w:cs="Times New Roman"/>
                <w:spacing w:val="-4"/>
                <w:w w:val="95"/>
                <w:sz w:val="20"/>
              </w:rPr>
              <w:t>已完成</w:t>
            </w:r>
          </w:p>
        </w:tc>
      </w:tr>
      <w:tr w14:paraId="6A1C55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63" w:type="dxa"/>
          </w:tcPr>
          <w:p w14:paraId="145C9862">
            <w:pPr>
              <w:spacing w:before="27"/>
              <w:ind w:left="176" w:right="159"/>
              <w:jc w:val="center"/>
              <w:rPr>
                <w:rFonts w:ascii="宋体" w:hAnsi="Times New Roman" w:eastAsia="宋体" w:cs="Times New Roman"/>
                <w:sz w:val="20"/>
              </w:rPr>
            </w:pPr>
            <w:r>
              <w:rPr>
                <w:rFonts w:ascii="宋体" w:hAnsi="Times New Roman" w:eastAsia="宋体" w:cs="Times New Roman"/>
                <w:w w:val="95"/>
                <w:sz w:val="20"/>
              </w:rPr>
              <w:t>社会消费品零售</w:t>
            </w:r>
            <w:r>
              <w:rPr>
                <w:rFonts w:ascii="宋体" w:hAnsi="Times New Roman" w:eastAsia="宋体" w:cs="Times New Roman"/>
                <w:spacing w:val="-5"/>
                <w:w w:val="95"/>
                <w:sz w:val="20"/>
              </w:rPr>
              <w:t>总额</w:t>
            </w:r>
          </w:p>
        </w:tc>
        <w:tc>
          <w:tcPr>
            <w:tcW w:w="800" w:type="dxa"/>
          </w:tcPr>
          <w:p w14:paraId="3F4E9E13">
            <w:pPr>
              <w:spacing w:before="27"/>
              <w:ind w:left="188" w:right="172"/>
              <w:jc w:val="center"/>
              <w:rPr>
                <w:rFonts w:ascii="宋体" w:hAnsi="Times New Roman" w:eastAsia="宋体" w:cs="Times New Roman"/>
                <w:sz w:val="20"/>
              </w:rPr>
            </w:pPr>
            <w:r>
              <w:rPr>
                <w:rFonts w:ascii="宋体" w:hAnsi="Times New Roman" w:eastAsia="宋体" w:cs="Times New Roman"/>
                <w:w w:val="95"/>
                <w:sz w:val="20"/>
              </w:rPr>
              <w:t>亿</w:t>
            </w:r>
            <w:r>
              <w:rPr>
                <w:rFonts w:ascii="宋体" w:hAnsi="Times New Roman" w:eastAsia="宋体" w:cs="Times New Roman"/>
                <w:spacing w:val="-10"/>
                <w:sz w:val="20"/>
              </w:rPr>
              <w:t>元</w:t>
            </w:r>
          </w:p>
        </w:tc>
        <w:tc>
          <w:tcPr>
            <w:tcW w:w="1351" w:type="dxa"/>
          </w:tcPr>
          <w:p w14:paraId="46131AC4">
            <w:pPr>
              <w:spacing w:before="41"/>
              <w:ind w:left="210" w:right="190"/>
              <w:jc w:val="center"/>
              <w:rPr>
                <w:rFonts w:ascii="Times New Roman" w:hAnsi="Times New Roman" w:eastAsia="Times New Roman" w:cs="Times New Roman"/>
                <w:sz w:val="20"/>
              </w:rPr>
            </w:pPr>
            <w:r>
              <w:rPr>
                <w:rFonts w:ascii="Times New Roman" w:hAnsi="Times New Roman" w:eastAsia="Times New Roman" w:cs="Times New Roman"/>
                <w:spacing w:val="-2"/>
                <w:sz w:val="20"/>
              </w:rPr>
              <w:t>117.0</w:t>
            </w:r>
          </w:p>
        </w:tc>
        <w:tc>
          <w:tcPr>
            <w:tcW w:w="1183" w:type="dxa"/>
          </w:tcPr>
          <w:p w14:paraId="65F69F34">
            <w:pPr>
              <w:spacing w:before="41"/>
              <w:ind w:right="293"/>
              <w:jc w:val="right"/>
              <w:rPr>
                <w:rFonts w:ascii="Times New Roman" w:hAnsi="Times New Roman" w:eastAsia="Times New Roman" w:cs="Times New Roman"/>
                <w:sz w:val="20"/>
              </w:rPr>
            </w:pPr>
            <w:r>
              <w:rPr>
                <w:rFonts w:ascii="Times New Roman" w:hAnsi="Times New Roman" w:eastAsia="Times New Roman" w:cs="Times New Roman"/>
                <w:spacing w:val="-2"/>
                <w:sz w:val="20"/>
              </w:rPr>
              <w:t>133.98</w:t>
            </w:r>
          </w:p>
        </w:tc>
        <w:tc>
          <w:tcPr>
            <w:tcW w:w="1333" w:type="dxa"/>
          </w:tcPr>
          <w:p w14:paraId="41466B1A">
            <w:pPr>
              <w:spacing w:before="41"/>
              <w:ind w:left="201" w:right="182"/>
              <w:jc w:val="center"/>
              <w:rPr>
                <w:rFonts w:ascii="Times New Roman" w:hAnsi="Times New Roman" w:eastAsia="Times New Roman" w:cs="Times New Roman"/>
                <w:sz w:val="20"/>
              </w:rPr>
            </w:pPr>
            <w:r>
              <w:rPr>
                <w:rFonts w:ascii="Times New Roman" w:hAnsi="Times New Roman" w:eastAsia="Times New Roman" w:cs="Times New Roman"/>
                <w:spacing w:val="-2"/>
                <w:sz w:val="20"/>
              </w:rPr>
              <w:t>147.38</w:t>
            </w:r>
          </w:p>
        </w:tc>
        <w:tc>
          <w:tcPr>
            <w:tcW w:w="1342" w:type="dxa"/>
          </w:tcPr>
          <w:p w14:paraId="45879CC9">
            <w:pPr>
              <w:spacing w:before="41"/>
              <w:ind w:left="61" w:right="43"/>
              <w:jc w:val="center"/>
              <w:rPr>
                <w:rFonts w:ascii="Times New Roman" w:hAnsi="Times New Roman" w:eastAsia="Times New Roman" w:cs="Times New Roman"/>
                <w:sz w:val="20"/>
              </w:rPr>
            </w:pPr>
            <w:r>
              <w:rPr>
                <w:rFonts w:ascii="Times New Roman" w:hAnsi="Times New Roman" w:eastAsia="Times New Roman" w:cs="Times New Roman"/>
                <w:spacing w:val="-2"/>
                <w:sz w:val="20"/>
              </w:rPr>
              <w:t>158.4</w:t>
            </w:r>
          </w:p>
        </w:tc>
        <w:tc>
          <w:tcPr>
            <w:tcW w:w="1643" w:type="dxa"/>
          </w:tcPr>
          <w:p w14:paraId="7E96AAC6">
            <w:pPr>
              <w:spacing w:before="41"/>
              <w:ind w:left="71" w:right="38"/>
              <w:jc w:val="center"/>
              <w:rPr>
                <w:rFonts w:ascii="Times New Roman" w:hAnsi="Times New Roman" w:eastAsia="Times New Roman" w:cs="Times New Roman"/>
                <w:sz w:val="20"/>
              </w:rPr>
            </w:pPr>
            <w:r>
              <w:rPr>
                <w:rFonts w:ascii="Times New Roman" w:hAnsi="Times New Roman" w:eastAsia="Times New Roman" w:cs="Times New Roman"/>
                <w:spacing w:val="-2"/>
                <w:sz w:val="20"/>
              </w:rPr>
              <w:t>176.37</w:t>
            </w:r>
          </w:p>
        </w:tc>
        <w:tc>
          <w:tcPr>
            <w:tcW w:w="1321" w:type="dxa"/>
          </w:tcPr>
          <w:p w14:paraId="75227360">
            <w:pPr>
              <w:spacing w:before="41"/>
              <w:ind w:left="114" w:right="81"/>
              <w:jc w:val="center"/>
              <w:rPr>
                <w:rFonts w:ascii="Times New Roman" w:hAnsi="Times New Roman" w:eastAsia="Times New Roman" w:cs="Times New Roman"/>
                <w:sz w:val="20"/>
              </w:rPr>
            </w:pPr>
            <w:r>
              <w:rPr>
                <w:rFonts w:ascii="Times New Roman" w:hAnsi="Times New Roman" w:eastAsia="Times New Roman" w:cs="Times New Roman"/>
                <w:spacing w:val="-2"/>
                <w:sz w:val="20"/>
              </w:rPr>
              <w:t>161.97</w:t>
            </w:r>
          </w:p>
        </w:tc>
        <w:tc>
          <w:tcPr>
            <w:tcW w:w="883" w:type="dxa"/>
          </w:tcPr>
          <w:p w14:paraId="45B1170C">
            <w:pPr>
              <w:spacing w:before="41"/>
              <w:ind w:left="298"/>
              <w:rPr>
                <w:rFonts w:ascii="Times New Roman" w:hAnsi="Times New Roman" w:eastAsia="Times New Roman" w:cs="Times New Roman"/>
                <w:sz w:val="20"/>
              </w:rPr>
            </w:pPr>
            <w:r>
              <w:rPr>
                <w:rFonts w:ascii="Times New Roman" w:hAnsi="Times New Roman" w:eastAsia="Times New Roman" w:cs="Times New Roman"/>
                <w:spacing w:val="-5"/>
                <w:sz w:val="20"/>
              </w:rPr>
              <w:t>120</w:t>
            </w:r>
          </w:p>
        </w:tc>
        <w:tc>
          <w:tcPr>
            <w:tcW w:w="878" w:type="dxa"/>
          </w:tcPr>
          <w:p w14:paraId="35CDF3DD">
            <w:pPr>
              <w:spacing w:before="41"/>
              <w:ind w:left="225" w:right="191"/>
              <w:jc w:val="center"/>
              <w:rPr>
                <w:rFonts w:ascii="Times New Roman" w:hAnsi="Times New Roman" w:eastAsia="Times New Roman" w:cs="Times New Roman"/>
                <w:sz w:val="20"/>
              </w:rPr>
            </w:pPr>
            <w:r>
              <w:rPr>
                <w:rFonts w:ascii="Times New Roman" w:hAnsi="Times New Roman" w:eastAsia="Times New Roman" w:cs="Times New Roman"/>
                <w:spacing w:val="-4"/>
                <w:sz w:val="20"/>
              </w:rPr>
              <w:t>9.2%</w:t>
            </w:r>
          </w:p>
        </w:tc>
        <w:tc>
          <w:tcPr>
            <w:tcW w:w="1198" w:type="dxa"/>
          </w:tcPr>
          <w:p w14:paraId="39112A38">
            <w:pPr>
              <w:spacing w:before="41"/>
              <w:ind w:left="358" w:right="340"/>
              <w:jc w:val="center"/>
              <w:rPr>
                <w:rFonts w:ascii="Times New Roman" w:hAnsi="Times New Roman" w:eastAsia="Times New Roman" w:cs="Times New Roman"/>
                <w:sz w:val="20"/>
              </w:rPr>
            </w:pPr>
            <w:r>
              <w:rPr>
                <w:rFonts w:ascii="Times New Roman" w:hAnsi="Times New Roman" w:eastAsia="Times New Roman" w:cs="Times New Roman"/>
                <w:spacing w:val="-2"/>
                <w:sz w:val="20"/>
              </w:rPr>
              <w:t>135.0</w:t>
            </w:r>
          </w:p>
        </w:tc>
        <w:tc>
          <w:tcPr>
            <w:tcW w:w="1106" w:type="dxa"/>
          </w:tcPr>
          <w:p w14:paraId="628D8461">
            <w:pPr>
              <w:spacing w:before="27"/>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6283FF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8" w:hRule="atLeast"/>
        </w:trPr>
        <w:tc>
          <w:tcPr>
            <w:tcW w:w="15901" w:type="dxa"/>
            <w:gridSpan w:val="12"/>
          </w:tcPr>
          <w:p w14:paraId="5C090EA7">
            <w:pPr>
              <w:spacing w:before="82"/>
              <w:ind w:left="108"/>
              <w:rPr>
                <w:rFonts w:ascii="宋体" w:hAnsi="Times New Roman" w:eastAsia="宋体" w:cs="Times New Roman"/>
                <w:b/>
                <w:sz w:val="20"/>
              </w:rPr>
            </w:pPr>
            <w:r>
              <w:rPr>
                <w:rFonts w:hint="eastAsia" w:ascii="宋体" w:hAnsi="Times New Roman" w:eastAsia="宋体" w:cs="Times New Roman"/>
                <w:b/>
                <w:w w:val="95"/>
                <w:sz w:val="20"/>
              </w:rPr>
              <w:t>二、人民生</w:t>
            </w:r>
            <w:r>
              <w:rPr>
                <w:rFonts w:hint="eastAsia" w:ascii="宋体" w:hAnsi="Times New Roman" w:eastAsia="宋体" w:cs="Times New Roman"/>
                <w:b/>
                <w:spacing w:val="-10"/>
                <w:w w:val="95"/>
                <w:sz w:val="20"/>
              </w:rPr>
              <w:t>活</w:t>
            </w:r>
          </w:p>
        </w:tc>
      </w:tr>
      <w:tr w14:paraId="2E2A21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863" w:type="dxa"/>
          </w:tcPr>
          <w:p w14:paraId="7CFBFABB">
            <w:pPr>
              <w:spacing w:before="29"/>
              <w:ind w:left="176" w:right="159"/>
              <w:jc w:val="center"/>
              <w:rPr>
                <w:rFonts w:ascii="宋体" w:hAnsi="Times New Roman" w:eastAsia="宋体" w:cs="Times New Roman"/>
                <w:sz w:val="20"/>
              </w:rPr>
            </w:pPr>
            <w:r>
              <w:rPr>
                <w:rFonts w:ascii="宋体" w:hAnsi="Times New Roman" w:eastAsia="宋体" w:cs="Times New Roman"/>
                <w:w w:val="95"/>
                <w:sz w:val="20"/>
              </w:rPr>
              <w:t>城镇居民人均可支配收</w:t>
            </w:r>
            <w:r>
              <w:rPr>
                <w:rFonts w:ascii="宋体" w:hAnsi="Times New Roman" w:eastAsia="宋体" w:cs="Times New Roman"/>
                <w:spacing w:val="-10"/>
                <w:w w:val="95"/>
                <w:sz w:val="20"/>
              </w:rPr>
              <w:t>入</w:t>
            </w:r>
          </w:p>
        </w:tc>
        <w:tc>
          <w:tcPr>
            <w:tcW w:w="800" w:type="dxa"/>
          </w:tcPr>
          <w:p w14:paraId="69CEC746">
            <w:pPr>
              <w:spacing w:before="29"/>
              <w:ind w:left="19"/>
              <w:jc w:val="center"/>
              <w:rPr>
                <w:rFonts w:ascii="宋体" w:hAnsi="Times New Roman" w:eastAsia="宋体" w:cs="Times New Roman"/>
                <w:sz w:val="20"/>
              </w:rPr>
            </w:pPr>
            <w:r>
              <w:rPr>
                <w:rFonts w:ascii="宋体" w:hAnsi="Times New Roman" w:eastAsia="宋体" w:cs="Times New Roman"/>
                <w:w w:val="99"/>
                <w:sz w:val="20"/>
              </w:rPr>
              <w:t>元</w:t>
            </w:r>
          </w:p>
        </w:tc>
        <w:tc>
          <w:tcPr>
            <w:tcW w:w="1351" w:type="dxa"/>
          </w:tcPr>
          <w:p w14:paraId="3CBFC5A3">
            <w:pPr>
              <w:spacing w:before="42"/>
              <w:ind w:left="207" w:right="190"/>
              <w:jc w:val="center"/>
              <w:rPr>
                <w:rFonts w:ascii="Times New Roman" w:hAnsi="Times New Roman" w:eastAsia="Times New Roman" w:cs="Times New Roman"/>
                <w:sz w:val="20"/>
              </w:rPr>
            </w:pPr>
            <w:r>
              <w:rPr>
                <w:rFonts w:ascii="Times New Roman" w:hAnsi="Times New Roman" w:eastAsia="Times New Roman" w:cs="Times New Roman"/>
                <w:spacing w:val="-2"/>
                <w:sz w:val="20"/>
              </w:rPr>
              <w:t>30360</w:t>
            </w:r>
          </w:p>
        </w:tc>
        <w:tc>
          <w:tcPr>
            <w:tcW w:w="1183" w:type="dxa"/>
          </w:tcPr>
          <w:p w14:paraId="240DC5B3">
            <w:pPr>
              <w:spacing w:before="42"/>
              <w:ind w:right="320"/>
              <w:jc w:val="right"/>
              <w:rPr>
                <w:rFonts w:ascii="Times New Roman" w:hAnsi="Times New Roman" w:eastAsia="Times New Roman" w:cs="Times New Roman"/>
                <w:sz w:val="20"/>
              </w:rPr>
            </w:pPr>
            <w:r>
              <w:rPr>
                <w:rFonts w:ascii="Times New Roman" w:hAnsi="Times New Roman" w:eastAsia="Times New Roman" w:cs="Times New Roman"/>
                <w:spacing w:val="-2"/>
                <w:sz w:val="20"/>
              </w:rPr>
              <w:t>32734</w:t>
            </w:r>
          </w:p>
        </w:tc>
        <w:tc>
          <w:tcPr>
            <w:tcW w:w="1333" w:type="dxa"/>
          </w:tcPr>
          <w:p w14:paraId="3F662271">
            <w:pPr>
              <w:spacing w:before="42"/>
              <w:ind w:left="199" w:right="182"/>
              <w:jc w:val="center"/>
              <w:rPr>
                <w:rFonts w:ascii="Times New Roman" w:hAnsi="Times New Roman" w:eastAsia="Times New Roman" w:cs="Times New Roman"/>
                <w:sz w:val="20"/>
              </w:rPr>
            </w:pPr>
            <w:r>
              <w:rPr>
                <w:rFonts w:ascii="Times New Roman" w:hAnsi="Times New Roman" w:eastAsia="Times New Roman" w:cs="Times New Roman"/>
                <w:spacing w:val="-2"/>
                <w:sz w:val="20"/>
              </w:rPr>
              <w:t>35560</w:t>
            </w:r>
          </w:p>
        </w:tc>
        <w:tc>
          <w:tcPr>
            <w:tcW w:w="1342" w:type="dxa"/>
          </w:tcPr>
          <w:p w14:paraId="4C442EA7">
            <w:pPr>
              <w:spacing w:before="42"/>
              <w:ind w:left="61" w:right="41"/>
              <w:jc w:val="center"/>
              <w:rPr>
                <w:rFonts w:ascii="Times New Roman" w:hAnsi="Times New Roman" w:eastAsia="Times New Roman" w:cs="Times New Roman"/>
                <w:sz w:val="20"/>
              </w:rPr>
            </w:pPr>
            <w:r>
              <w:rPr>
                <w:rFonts w:ascii="Times New Roman" w:hAnsi="Times New Roman" w:eastAsia="Times New Roman" w:cs="Times New Roman"/>
                <w:spacing w:val="-2"/>
                <w:sz w:val="20"/>
              </w:rPr>
              <w:t>38348</w:t>
            </w:r>
          </w:p>
        </w:tc>
        <w:tc>
          <w:tcPr>
            <w:tcW w:w="1643" w:type="dxa"/>
          </w:tcPr>
          <w:p w14:paraId="6EBEA231">
            <w:pPr>
              <w:spacing w:before="42"/>
              <w:ind w:left="71" w:right="36"/>
              <w:jc w:val="center"/>
              <w:rPr>
                <w:rFonts w:ascii="Times New Roman" w:hAnsi="Times New Roman" w:eastAsia="Times New Roman" w:cs="Times New Roman"/>
                <w:sz w:val="20"/>
              </w:rPr>
            </w:pPr>
            <w:r>
              <w:rPr>
                <w:rFonts w:ascii="Times New Roman" w:hAnsi="Times New Roman" w:eastAsia="Times New Roman" w:cs="Times New Roman"/>
                <w:spacing w:val="-2"/>
                <w:sz w:val="20"/>
              </w:rPr>
              <w:t>41190</w:t>
            </w:r>
          </w:p>
        </w:tc>
        <w:tc>
          <w:tcPr>
            <w:tcW w:w="1321" w:type="dxa"/>
          </w:tcPr>
          <w:p w14:paraId="226136BA">
            <w:pPr>
              <w:spacing w:before="42"/>
              <w:ind w:left="114" w:right="81"/>
              <w:jc w:val="center"/>
              <w:rPr>
                <w:rFonts w:ascii="Times New Roman" w:hAnsi="Times New Roman" w:eastAsia="Times New Roman" w:cs="Times New Roman"/>
                <w:sz w:val="20"/>
              </w:rPr>
            </w:pPr>
            <w:r>
              <w:rPr>
                <w:rFonts w:ascii="Times New Roman" w:hAnsi="Times New Roman" w:eastAsia="Times New Roman" w:cs="Times New Roman"/>
                <w:spacing w:val="-2"/>
                <w:sz w:val="20"/>
              </w:rPr>
              <w:t>43578</w:t>
            </w:r>
          </w:p>
        </w:tc>
        <w:tc>
          <w:tcPr>
            <w:tcW w:w="883" w:type="dxa"/>
          </w:tcPr>
          <w:p w14:paraId="067D3A0B">
            <w:pPr>
              <w:spacing w:before="42"/>
              <w:ind w:right="160"/>
              <w:jc w:val="right"/>
              <w:rPr>
                <w:rFonts w:ascii="Times New Roman" w:hAnsi="Times New Roman" w:eastAsia="Times New Roman" w:cs="Times New Roman"/>
                <w:sz w:val="20"/>
              </w:rPr>
            </w:pPr>
            <w:r>
              <w:rPr>
                <w:rFonts w:ascii="Times New Roman" w:hAnsi="Times New Roman" w:eastAsia="Times New Roman" w:cs="Times New Roman"/>
                <w:spacing w:val="-2"/>
                <w:sz w:val="20"/>
              </w:rPr>
              <w:t>46700</w:t>
            </w:r>
          </w:p>
        </w:tc>
        <w:tc>
          <w:tcPr>
            <w:tcW w:w="878" w:type="dxa"/>
          </w:tcPr>
          <w:p w14:paraId="0D285B84">
            <w:pPr>
              <w:spacing w:before="42"/>
              <w:ind w:left="225" w:right="191"/>
              <w:jc w:val="center"/>
              <w:rPr>
                <w:rFonts w:ascii="Times New Roman" w:hAnsi="Times New Roman" w:eastAsia="Times New Roman" w:cs="Times New Roman"/>
                <w:sz w:val="20"/>
              </w:rPr>
            </w:pPr>
            <w:r>
              <w:rPr>
                <w:rFonts w:ascii="Times New Roman" w:hAnsi="Times New Roman" w:eastAsia="Times New Roman" w:cs="Times New Roman"/>
                <w:spacing w:val="-5"/>
                <w:sz w:val="20"/>
              </w:rPr>
              <w:t>9%</w:t>
            </w:r>
          </w:p>
        </w:tc>
        <w:tc>
          <w:tcPr>
            <w:tcW w:w="1198" w:type="dxa"/>
          </w:tcPr>
          <w:p w14:paraId="604B8E2C">
            <w:pPr>
              <w:spacing w:before="42"/>
              <w:ind w:left="358" w:right="337"/>
              <w:jc w:val="center"/>
              <w:rPr>
                <w:rFonts w:ascii="Times New Roman" w:hAnsi="Times New Roman" w:eastAsia="Times New Roman" w:cs="Times New Roman"/>
                <w:sz w:val="20"/>
              </w:rPr>
            </w:pPr>
            <w:r>
              <w:rPr>
                <w:rFonts w:ascii="Times New Roman" w:hAnsi="Times New Roman" w:eastAsia="Times New Roman" w:cs="Times New Roman"/>
                <w:spacing w:val="-4"/>
                <w:sz w:val="20"/>
              </w:rPr>
              <w:t>93.1</w:t>
            </w:r>
          </w:p>
        </w:tc>
        <w:tc>
          <w:tcPr>
            <w:tcW w:w="1106" w:type="dxa"/>
          </w:tcPr>
          <w:p w14:paraId="4D9A292A">
            <w:pPr>
              <w:spacing w:before="29"/>
              <w:ind w:left="156" w:right="139"/>
              <w:jc w:val="center"/>
              <w:rPr>
                <w:rFonts w:ascii="宋体" w:hAnsi="Times New Roman" w:eastAsia="宋体" w:cs="Times New Roman"/>
                <w:sz w:val="20"/>
              </w:rPr>
            </w:pPr>
            <w:r>
              <w:rPr>
                <w:rFonts w:ascii="宋体" w:hAnsi="Times New Roman" w:eastAsia="宋体" w:cs="Times New Roman"/>
                <w:w w:val="95"/>
                <w:sz w:val="20"/>
              </w:rPr>
              <w:t>基本完</w:t>
            </w:r>
            <w:r>
              <w:rPr>
                <w:rFonts w:ascii="宋体" w:hAnsi="Times New Roman" w:eastAsia="宋体" w:cs="Times New Roman"/>
                <w:spacing w:val="-10"/>
                <w:w w:val="95"/>
                <w:sz w:val="20"/>
              </w:rPr>
              <w:t>成</w:t>
            </w:r>
          </w:p>
        </w:tc>
      </w:tr>
      <w:tr w14:paraId="5A8ED4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863" w:type="dxa"/>
          </w:tcPr>
          <w:p w14:paraId="215E89E4">
            <w:pPr>
              <w:spacing w:before="28"/>
              <w:ind w:left="176" w:right="159"/>
              <w:jc w:val="center"/>
              <w:rPr>
                <w:rFonts w:ascii="宋体" w:hAnsi="Times New Roman" w:eastAsia="宋体" w:cs="Times New Roman"/>
                <w:sz w:val="20"/>
              </w:rPr>
            </w:pPr>
            <w:r>
              <w:rPr>
                <w:rFonts w:ascii="宋体" w:hAnsi="Times New Roman" w:eastAsia="宋体" w:cs="Times New Roman"/>
                <w:w w:val="95"/>
                <w:sz w:val="20"/>
              </w:rPr>
              <w:t>农村居民人均可支配收</w:t>
            </w:r>
            <w:r>
              <w:rPr>
                <w:rFonts w:ascii="宋体" w:hAnsi="Times New Roman" w:eastAsia="宋体" w:cs="Times New Roman"/>
                <w:spacing w:val="-10"/>
                <w:w w:val="95"/>
                <w:sz w:val="20"/>
              </w:rPr>
              <w:t>入</w:t>
            </w:r>
          </w:p>
        </w:tc>
        <w:tc>
          <w:tcPr>
            <w:tcW w:w="800" w:type="dxa"/>
          </w:tcPr>
          <w:p w14:paraId="42DCA4F4">
            <w:pPr>
              <w:spacing w:before="28"/>
              <w:ind w:left="19"/>
              <w:jc w:val="center"/>
              <w:rPr>
                <w:rFonts w:ascii="宋体" w:hAnsi="Times New Roman" w:eastAsia="宋体" w:cs="Times New Roman"/>
                <w:sz w:val="20"/>
              </w:rPr>
            </w:pPr>
            <w:r>
              <w:rPr>
                <w:rFonts w:ascii="宋体" w:hAnsi="Times New Roman" w:eastAsia="宋体" w:cs="Times New Roman"/>
                <w:w w:val="99"/>
                <w:sz w:val="20"/>
              </w:rPr>
              <w:t>元</w:t>
            </w:r>
          </w:p>
        </w:tc>
        <w:tc>
          <w:tcPr>
            <w:tcW w:w="1351" w:type="dxa"/>
          </w:tcPr>
          <w:p w14:paraId="25B0F62A">
            <w:pPr>
              <w:spacing w:before="42"/>
              <w:ind w:left="207" w:right="190"/>
              <w:jc w:val="center"/>
              <w:rPr>
                <w:rFonts w:ascii="Times New Roman" w:hAnsi="Times New Roman" w:eastAsia="Times New Roman" w:cs="Times New Roman"/>
                <w:sz w:val="20"/>
              </w:rPr>
            </w:pPr>
            <w:r>
              <w:rPr>
                <w:rFonts w:ascii="Times New Roman" w:hAnsi="Times New Roman" w:eastAsia="Times New Roman" w:cs="Times New Roman"/>
                <w:spacing w:val="-4"/>
                <w:sz w:val="20"/>
              </w:rPr>
              <w:t>9940</w:t>
            </w:r>
          </w:p>
        </w:tc>
        <w:tc>
          <w:tcPr>
            <w:tcW w:w="1183" w:type="dxa"/>
          </w:tcPr>
          <w:p w14:paraId="10E074B7">
            <w:pPr>
              <w:spacing w:before="42"/>
              <w:ind w:right="320"/>
              <w:jc w:val="right"/>
              <w:rPr>
                <w:rFonts w:ascii="Times New Roman" w:hAnsi="Times New Roman" w:eastAsia="Times New Roman" w:cs="Times New Roman"/>
                <w:sz w:val="20"/>
              </w:rPr>
            </w:pPr>
            <w:r>
              <w:rPr>
                <w:rFonts w:ascii="Times New Roman" w:hAnsi="Times New Roman" w:eastAsia="Times New Roman" w:cs="Times New Roman"/>
                <w:spacing w:val="-2"/>
                <w:sz w:val="20"/>
              </w:rPr>
              <w:t>10746</w:t>
            </w:r>
          </w:p>
        </w:tc>
        <w:tc>
          <w:tcPr>
            <w:tcW w:w="1333" w:type="dxa"/>
          </w:tcPr>
          <w:p w14:paraId="0DEA4096">
            <w:pPr>
              <w:spacing w:before="42"/>
              <w:ind w:left="201" w:right="182"/>
              <w:jc w:val="center"/>
              <w:rPr>
                <w:rFonts w:ascii="Times New Roman" w:hAnsi="Times New Roman" w:eastAsia="Times New Roman" w:cs="Times New Roman"/>
                <w:sz w:val="20"/>
              </w:rPr>
            </w:pPr>
            <w:r>
              <w:rPr>
                <w:rFonts w:ascii="Times New Roman" w:hAnsi="Times New Roman" w:eastAsia="Times New Roman" w:cs="Times New Roman"/>
                <w:spacing w:val="-2"/>
                <w:sz w:val="20"/>
              </w:rPr>
              <w:t>11629</w:t>
            </w:r>
          </w:p>
        </w:tc>
        <w:tc>
          <w:tcPr>
            <w:tcW w:w="1342" w:type="dxa"/>
          </w:tcPr>
          <w:p w14:paraId="6EBC857E">
            <w:pPr>
              <w:spacing w:before="42"/>
              <w:ind w:left="61" w:right="41"/>
              <w:jc w:val="center"/>
              <w:rPr>
                <w:rFonts w:ascii="Times New Roman" w:hAnsi="Times New Roman" w:eastAsia="Times New Roman" w:cs="Times New Roman"/>
                <w:sz w:val="20"/>
              </w:rPr>
            </w:pPr>
            <w:r>
              <w:rPr>
                <w:rFonts w:ascii="Times New Roman" w:hAnsi="Times New Roman" w:eastAsia="Times New Roman" w:cs="Times New Roman"/>
                <w:spacing w:val="-2"/>
                <w:sz w:val="20"/>
              </w:rPr>
              <w:t>12668</w:t>
            </w:r>
          </w:p>
        </w:tc>
        <w:tc>
          <w:tcPr>
            <w:tcW w:w="1643" w:type="dxa"/>
          </w:tcPr>
          <w:p w14:paraId="515A2C28">
            <w:pPr>
              <w:spacing w:before="42"/>
              <w:ind w:left="71" w:right="36"/>
              <w:jc w:val="center"/>
              <w:rPr>
                <w:rFonts w:ascii="Times New Roman" w:hAnsi="Times New Roman" w:eastAsia="Times New Roman" w:cs="Times New Roman"/>
                <w:sz w:val="20"/>
              </w:rPr>
            </w:pPr>
            <w:r>
              <w:rPr>
                <w:rFonts w:ascii="Times New Roman" w:hAnsi="Times New Roman" w:eastAsia="Times New Roman" w:cs="Times New Roman"/>
                <w:spacing w:val="-2"/>
                <w:sz w:val="20"/>
              </w:rPr>
              <w:t>13708</w:t>
            </w:r>
          </w:p>
        </w:tc>
        <w:tc>
          <w:tcPr>
            <w:tcW w:w="1321" w:type="dxa"/>
          </w:tcPr>
          <w:p w14:paraId="0B5CDE44">
            <w:pPr>
              <w:spacing w:before="42"/>
              <w:ind w:left="114" w:right="81"/>
              <w:jc w:val="center"/>
              <w:rPr>
                <w:rFonts w:ascii="Times New Roman" w:hAnsi="Times New Roman" w:eastAsia="Times New Roman" w:cs="Times New Roman"/>
                <w:sz w:val="20"/>
              </w:rPr>
            </w:pPr>
            <w:r>
              <w:rPr>
                <w:rFonts w:ascii="Times New Roman" w:hAnsi="Times New Roman" w:eastAsia="Times New Roman" w:cs="Times New Roman"/>
                <w:spacing w:val="-2"/>
                <w:sz w:val="20"/>
              </w:rPr>
              <w:t>14602</w:t>
            </w:r>
          </w:p>
        </w:tc>
        <w:tc>
          <w:tcPr>
            <w:tcW w:w="883" w:type="dxa"/>
          </w:tcPr>
          <w:p w14:paraId="04C7811E">
            <w:pPr>
              <w:spacing w:before="42"/>
              <w:ind w:right="160"/>
              <w:jc w:val="right"/>
              <w:rPr>
                <w:rFonts w:ascii="Times New Roman" w:hAnsi="Times New Roman" w:eastAsia="Times New Roman" w:cs="Times New Roman"/>
                <w:sz w:val="20"/>
              </w:rPr>
            </w:pPr>
            <w:r>
              <w:rPr>
                <w:rFonts w:ascii="Times New Roman" w:hAnsi="Times New Roman" w:eastAsia="Times New Roman" w:cs="Times New Roman"/>
                <w:spacing w:val="-2"/>
                <w:sz w:val="20"/>
              </w:rPr>
              <w:t>16000</w:t>
            </w:r>
          </w:p>
        </w:tc>
        <w:tc>
          <w:tcPr>
            <w:tcW w:w="878" w:type="dxa"/>
          </w:tcPr>
          <w:p w14:paraId="74B10807">
            <w:pPr>
              <w:spacing w:before="42"/>
              <w:ind w:left="225" w:right="191"/>
              <w:jc w:val="center"/>
              <w:rPr>
                <w:rFonts w:ascii="Times New Roman" w:hAnsi="Times New Roman" w:eastAsia="Times New Roman" w:cs="Times New Roman"/>
                <w:sz w:val="20"/>
              </w:rPr>
            </w:pPr>
            <w:r>
              <w:rPr>
                <w:rFonts w:ascii="Times New Roman" w:hAnsi="Times New Roman" w:eastAsia="Times New Roman" w:cs="Times New Roman"/>
                <w:spacing w:val="-5"/>
                <w:sz w:val="20"/>
              </w:rPr>
              <w:t>10%</w:t>
            </w:r>
          </w:p>
        </w:tc>
        <w:tc>
          <w:tcPr>
            <w:tcW w:w="1198" w:type="dxa"/>
          </w:tcPr>
          <w:p w14:paraId="468DF438">
            <w:pPr>
              <w:spacing w:before="42"/>
              <w:ind w:left="358" w:right="337"/>
              <w:jc w:val="center"/>
              <w:rPr>
                <w:rFonts w:ascii="Times New Roman" w:hAnsi="Times New Roman" w:eastAsia="Times New Roman" w:cs="Times New Roman"/>
                <w:sz w:val="20"/>
              </w:rPr>
            </w:pPr>
            <w:r>
              <w:rPr>
                <w:rFonts w:ascii="Times New Roman" w:hAnsi="Times New Roman" w:eastAsia="Times New Roman" w:cs="Times New Roman"/>
                <w:spacing w:val="-4"/>
                <w:sz w:val="20"/>
              </w:rPr>
              <w:t>90.0</w:t>
            </w:r>
          </w:p>
        </w:tc>
        <w:tc>
          <w:tcPr>
            <w:tcW w:w="1106" w:type="dxa"/>
          </w:tcPr>
          <w:p w14:paraId="4EDEF5F7">
            <w:pPr>
              <w:spacing w:before="28"/>
              <w:ind w:left="156" w:right="139"/>
              <w:jc w:val="center"/>
              <w:rPr>
                <w:rFonts w:ascii="宋体" w:hAnsi="Times New Roman" w:eastAsia="宋体" w:cs="Times New Roman"/>
                <w:sz w:val="20"/>
              </w:rPr>
            </w:pPr>
            <w:r>
              <w:rPr>
                <w:rFonts w:ascii="宋体" w:hAnsi="Times New Roman" w:eastAsia="宋体" w:cs="Times New Roman"/>
                <w:w w:val="95"/>
                <w:sz w:val="20"/>
              </w:rPr>
              <w:t>基本完</w:t>
            </w:r>
            <w:r>
              <w:rPr>
                <w:rFonts w:ascii="宋体" w:hAnsi="Times New Roman" w:eastAsia="宋体" w:cs="Times New Roman"/>
                <w:spacing w:val="-10"/>
                <w:w w:val="95"/>
                <w:sz w:val="20"/>
              </w:rPr>
              <w:t>成</w:t>
            </w:r>
          </w:p>
        </w:tc>
      </w:tr>
      <w:tr w14:paraId="6AB5B0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63" w:type="dxa"/>
          </w:tcPr>
          <w:p w14:paraId="347F09EA">
            <w:pPr>
              <w:spacing w:before="28"/>
              <w:ind w:left="176" w:right="159"/>
              <w:jc w:val="center"/>
              <w:rPr>
                <w:rFonts w:ascii="宋体" w:hAnsi="Times New Roman" w:eastAsia="宋体" w:cs="Times New Roman"/>
                <w:sz w:val="20"/>
              </w:rPr>
            </w:pPr>
            <w:r>
              <w:rPr>
                <w:rFonts w:ascii="宋体" w:hAnsi="Times New Roman" w:eastAsia="宋体" w:cs="Times New Roman"/>
                <w:w w:val="95"/>
                <w:sz w:val="20"/>
              </w:rPr>
              <w:t>城乡居民可支配收</w:t>
            </w:r>
            <w:r>
              <w:rPr>
                <w:rFonts w:ascii="宋体" w:hAnsi="Times New Roman" w:eastAsia="宋体" w:cs="Times New Roman"/>
                <w:spacing w:val="-5"/>
                <w:w w:val="95"/>
                <w:sz w:val="20"/>
              </w:rPr>
              <w:t>入比</w:t>
            </w:r>
          </w:p>
        </w:tc>
        <w:tc>
          <w:tcPr>
            <w:tcW w:w="800" w:type="dxa"/>
          </w:tcPr>
          <w:p w14:paraId="08AC140D">
            <w:pPr>
              <w:rPr>
                <w:rFonts w:ascii="Times New Roman" w:hAnsi="Times New Roman" w:eastAsia="Times New Roman" w:cs="Times New Roman"/>
                <w:sz w:val="20"/>
              </w:rPr>
            </w:pPr>
          </w:p>
        </w:tc>
        <w:tc>
          <w:tcPr>
            <w:tcW w:w="1351" w:type="dxa"/>
          </w:tcPr>
          <w:p w14:paraId="4C89F97C">
            <w:pPr>
              <w:spacing w:before="41"/>
              <w:ind w:left="207" w:right="190"/>
              <w:jc w:val="center"/>
              <w:rPr>
                <w:rFonts w:ascii="Times New Roman" w:hAnsi="Times New Roman" w:eastAsia="Times New Roman" w:cs="Times New Roman"/>
                <w:sz w:val="20"/>
              </w:rPr>
            </w:pPr>
            <w:r>
              <w:rPr>
                <w:rFonts w:ascii="Times New Roman" w:hAnsi="Times New Roman" w:eastAsia="Times New Roman" w:cs="Times New Roman"/>
                <w:spacing w:val="-5"/>
                <w:sz w:val="20"/>
              </w:rPr>
              <w:t>3.2</w:t>
            </w:r>
          </w:p>
        </w:tc>
        <w:tc>
          <w:tcPr>
            <w:tcW w:w="1183" w:type="dxa"/>
          </w:tcPr>
          <w:p w14:paraId="6434DDD1">
            <w:pPr>
              <w:spacing w:before="41"/>
              <w:ind w:left="403" w:right="385"/>
              <w:jc w:val="center"/>
              <w:rPr>
                <w:rFonts w:ascii="Times New Roman" w:hAnsi="Times New Roman" w:eastAsia="Times New Roman" w:cs="Times New Roman"/>
                <w:sz w:val="20"/>
              </w:rPr>
            </w:pPr>
            <w:r>
              <w:rPr>
                <w:rFonts w:ascii="Times New Roman" w:hAnsi="Times New Roman" w:eastAsia="Times New Roman" w:cs="Times New Roman"/>
                <w:spacing w:val="-4"/>
                <w:sz w:val="20"/>
              </w:rPr>
              <w:t>3.04</w:t>
            </w:r>
          </w:p>
        </w:tc>
        <w:tc>
          <w:tcPr>
            <w:tcW w:w="1333" w:type="dxa"/>
          </w:tcPr>
          <w:p w14:paraId="5B2E779C">
            <w:pPr>
              <w:spacing w:before="41"/>
              <w:ind w:left="199" w:right="182"/>
              <w:jc w:val="center"/>
              <w:rPr>
                <w:rFonts w:ascii="Times New Roman" w:hAnsi="Times New Roman" w:eastAsia="Times New Roman" w:cs="Times New Roman"/>
                <w:sz w:val="20"/>
              </w:rPr>
            </w:pPr>
            <w:r>
              <w:rPr>
                <w:rFonts w:ascii="Times New Roman" w:hAnsi="Times New Roman" w:eastAsia="Times New Roman" w:cs="Times New Roman"/>
                <w:spacing w:val="-4"/>
                <w:sz w:val="20"/>
              </w:rPr>
              <w:t>3.06</w:t>
            </w:r>
          </w:p>
        </w:tc>
        <w:tc>
          <w:tcPr>
            <w:tcW w:w="1342" w:type="dxa"/>
          </w:tcPr>
          <w:p w14:paraId="20AF8FF6">
            <w:pPr>
              <w:spacing w:before="41"/>
              <w:ind w:left="61" w:right="41"/>
              <w:jc w:val="center"/>
              <w:rPr>
                <w:rFonts w:ascii="Times New Roman" w:hAnsi="Times New Roman" w:eastAsia="Times New Roman" w:cs="Times New Roman"/>
                <w:sz w:val="20"/>
              </w:rPr>
            </w:pPr>
            <w:r>
              <w:rPr>
                <w:rFonts w:ascii="Times New Roman" w:hAnsi="Times New Roman" w:eastAsia="Times New Roman" w:cs="Times New Roman"/>
                <w:spacing w:val="-4"/>
                <w:sz w:val="20"/>
              </w:rPr>
              <w:t>3.03</w:t>
            </w:r>
          </w:p>
        </w:tc>
        <w:tc>
          <w:tcPr>
            <w:tcW w:w="1643" w:type="dxa"/>
          </w:tcPr>
          <w:p w14:paraId="0A32A69D">
            <w:pPr>
              <w:spacing w:before="41"/>
              <w:ind w:left="71" w:right="36"/>
              <w:jc w:val="center"/>
              <w:rPr>
                <w:rFonts w:ascii="Times New Roman" w:hAnsi="Times New Roman" w:eastAsia="Times New Roman" w:cs="Times New Roman"/>
                <w:sz w:val="20"/>
              </w:rPr>
            </w:pPr>
            <w:r>
              <w:rPr>
                <w:rFonts w:ascii="Times New Roman" w:hAnsi="Times New Roman" w:eastAsia="Times New Roman" w:cs="Times New Roman"/>
                <w:spacing w:val="-4"/>
                <w:sz w:val="20"/>
              </w:rPr>
              <w:t>3.00</w:t>
            </w:r>
          </w:p>
        </w:tc>
        <w:tc>
          <w:tcPr>
            <w:tcW w:w="1321" w:type="dxa"/>
          </w:tcPr>
          <w:p w14:paraId="542E8B22">
            <w:pPr>
              <w:spacing w:before="41"/>
              <w:ind w:left="114" w:right="81"/>
              <w:jc w:val="center"/>
              <w:rPr>
                <w:rFonts w:ascii="Times New Roman" w:hAnsi="Times New Roman" w:eastAsia="Times New Roman" w:cs="Times New Roman"/>
                <w:sz w:val="20"/>
              </w:rPr>
            </w:pPr>
            <w:r>
              <w:rPr>
                <w:rFonts w:ascii="Times New Roman" w:hAnsi="Times New Roman" w:eastAsia="Times New Roman" w:cs="Times New Roman"/>
                <w:spacing w:val="-4"/>
                <w:sz w:val="20"/>
              </w:rPr>
              <w:t>2.98</w:t>
            </w:r>
          </w:p>
        </w:tc>
        <w:tc>
          <w:tcPr>
            <w:tcW w:w="883" w:type="dxa"/>
          </w:tcPr>
          <w:p w14:paraId="189C76BD">
            <w:pPr>
              <w:spacing w:before="41"/>
              <w:ind w:left="324"/>
              <w:rPr>
                <w:rFonts w:ascii="Times New Roman" w:hAnsi="Times New Roman" w:eastAsia="Times New Roman" w:cs="Times New Roman"/>
                <w:sz w:val="20"/>
              </w:rPr>
            </w:pPr>
            <w:r>
              <w:rPr>
                <w:rFonts w:ascii="Times New Roman" w:hAnsi="Times New Roman" w:eastAsia="Times New Roman" w:cs="Times New Roman"/>
                <w:spacing w:val="-5"/>
                <w:sz w:val="20"/>
              </w:rPr>
              <w:t>2.5</w:t>
            </w:r>
          </w:p>
        </w:tc>
        <w:tc>
          <w:tcPr>
            <w:tcW w:w="878" w:type="dxa"/>
          </w:tcPr>
          <w:p w14:paraId="4583ECE7">
            <w:pPr>
              <w:spacing w:before="41"/>
              <w:ind w:left="224" w:right="191"/>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98" w:type="dxa"/>
          </w:tcPr>
          <w:p w14:paraId="71243541">
            <w:pPr>
              <w:spacing w:before="41"/>
              <w:ind w:left="358" w:right="337"/>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06" w:type="dxa"/>
          </w:tcPr>
          <w:p w14:paraId="151BE891">
            <w:pPr>
              <w:spacing w:before="28"/>
              <w:ind w:left="156" w:right="137"/>
              <w:jc w:val="center"/>
              <w:rPr>
                <w:rFonts w:ascii="宋体" w:hAnsi="Times New Roman" w:eastAsia="宋体" w:cs="Times New Roman"/>
                <w:sz w:val="20"/>
              </w:rPr>
            </w:pPr>
            <w:r>
              <w:rPr>
                <w:rFonts w:ascii="宋体" w:hAnsi="Times New Roman" w:eastAsia="宋体" w:cs="Times New Roman"/>
                <w:spacing w:val="-4"/>
                <w:w w:val="95"/>
                <w:sz w:val="20"/>
              </w:rPr>
              <w:t>有差距</w:t>
            </w:r>
          </w:p>
        </w:tc>
      </w:tr>
      <w:tr w14:paraId="526C81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863" w:type="dxa"/>
          </w:tcPr>
          <w:p w14:paraId="5733D22F">
            <w:pPr>
              <w:spacing w:before="29"/>
              <w:ind w:left="176" w:right="159"/>
              <w:jc w:val="center"/>
              <w:rPr>
                <w:rFonts w:ascii="宋体" w:hAnsi="Times New Roman" w:eastAsia="宋体" w:cs="Times New Roman"/>
                <w:sz w:val="20"/>
              </w:rPr>
            </w:pPr>
            <w:r>
              <w:rPr>
                <w:rFonts w:ascii="宋体" w:hAnsi="Times New Roman" w:eastAsia="宋体" w:cs="Times New Roman"/>
                <w:spacing w:val="-2"/>
                <w:w w:val="95"/>
                <w:sz w:val="20"/>
              </w:rPr>
              <w:t>城镇登记失业率</w:t>
            </w:r>
          </w:p>
        </w:tc>
        <w:tc>
          <w:tcPr>
            <w:tcW w:w="800" w:type="dxa"/>
          </w:tcPr>
          <w:p w14:paraId="7A13453D">
            <w:pPr>
              <w:spacing w:before="42"/>
              <w:ind w:left="19"/>
              <w:jc w:val="center"/>
              <w:rPr>
                <w:rFonts w:ascii="Times New Roman" w:hAnsi="Times New Roman" w:eastAsia="Times New Roman" w:cs="Times New Roman"/>
                <w:sz w:val="20"/>
              </w:rPr>
            </w:pPr>
            <w:r>
              <w:rPr>
                <w:rFonts w:ascii="Times New Roman" w:hAnsi="Times New Roman" w:eastAsia="Times New Roman" w:cs="Times New Roman"/>
                <w:w w:val="99"/>
                <w:sz w:val="20"/>
              </w:rPr>
              <w:t>%</w:t>
            </w:r>
          </w:p>
        </w:tc>
        <w:tc>
          <w:tcPr>
            <w:tcW w:w="1351" w:type="dxa"/>
          </w:tcPr>
          <w:p w14:paraId="50543224">
            <w:pPr>
              <w:spacing w:before="42"/>
              <w:ind w:left="15"/>
              <w:jc w:val="center"/>
              <w:rPr>
                <w:rFonts w:ascii="Times New Roman" w:hAnsi="Times New Roman" w:eastAsia="Times New Roman" w:cs="Times New Roman"/>
                <w:sz w:val="20"/>
              </w:rPr>
            </w:pPr>
            <w:r>
              <w:rPr>
                <w:rFonts w:ascii="Times New Roman" w:hAnsi="Times New Roman" w:eastAsia="Times New Roman" w:cs="Times New Roman"/>
                <w:w w:val="99"/>
                <w:sz w:val="20"/>
              </w:rPr>
              <w:t>4</w:t>
            </w:r>
          </w:p>
        </w:tc>
        <w:tc>
          <w:tcPr>
            <w:tcW w:w="1183" w:type="dxa"/>
          </w:tcPr>
          <w:p w14:paraId="49146805">
            <w:pPr>
              <w:spacing w:before="42"/>
              <w:ind w:left="403" w:right="385"/>
              <w:jc w:val="center"/>
              <w:rPr>
                <w:rFonts w:ascii="Times New Roman" w:hAnsi="Times New Roman" w:eastAsia="Times New Roman" w:cs="Times New Roman"/>
                <w:sz w:val="20"/>
              </w:rPr>
            </w:pPr>
            <w:r>
              <w:rPr>
                <w:rFonts w:ascii="Times New Roman" w:hAnsi="Times New Roman" w:eastAsia="Times New Roman" w:cs="Times New Roman"/>
                <w:spacing w:val="-4"/>
                <w:sz w:val="20"/>
              </w:rPr>
              <w:t>1.15</w:t>
            </w:r>
          </w:p>
        </w:tc>
        <w:tc>
          <w:tcPr>
            <w:tcW w:w="1333" w:type="dxa"/>
          </w:tcPr>
          <w:p w14:paraId="2EE75299">
            <w:pPr>
              <w:spacing w:before="42"/>
              <w:ind w:left="199" w:right="182"/>
              <w:jc w:val="center"/>
              <w:rPr>
                <w:rFonts w:ascii="Times New Roman" w:hAnsi="Times New Roman" w:eastAsia="Times New Roman" w:cs="Times New Roman"/>
                <w:sz w:val="20"/>
              </w:rPr>
            </w:pPr>
            <w:r>
              <w:rPr>
                <w:rFonts w:ascii="Times New Roman" w:hAnsi="Times New Roman" w:eastAsia="Times New Roman" w:cs="Times New Roman"/>
                <w:spacing w:val="-4"/>
                <w:sz w:val="20"/>
              </w:rPr>
              <w:t>3.43</w:t>
            </w:r>
          </w:p>
        </w:tc>
        <w:tc>
          <w:tcPr>
            <w:tcW w:w="1342" w:type="dxa"/>
          </w:tcPr>
          <w:p w14:paraId="7B5875B2">
            <w:pPr>
              <w:spacing w:before="42"/>
              <w:ind w:left="61" w:right="41"/>
              <w:jc w:val="center"/>
              <w:rPr>
                <w:rFonts w:ascii="Times New Roman" w:hAnsi="Times New Roman" w:eastAsia="Times New Roman" w:cs="Times New Roman"/>
                <w:sz w:val="20"/>
              </w:rPr>
            </w:pPr>
            <w:r>
              <w:rPr>
                <w:rFonts w:ascii="Times New Roman" w:hAnsi="Times New Roman" w:eastAsia="Times New Roman" w:cs="Times New Roman"/>
                <w:spacing w:val="-4"/>
                <w:sz w:val="20"/>
              </w:rPr>
              <w:t>3.35</w:t>
            </w:r>
          </w:p>
        </w:tc>
        <w:tc>
          <w:tcPr>
            <w:tcW w:w="1643" w:type="dxa"/>
          </w:tcPr>
          <w:p w14:paraId="0BA81DC3">
            <w:pPr>
              <w:spacing w:before="42"/>
              <w:ind w:left="71" w:right="36"/>
              <w:jc w:val="center"/>
              <w:rPr>
                <w:rFonts w:ascii="Times New Roman" w:hAnsi="Times New Roman" w:eastAsia="Times New Roman" w:cs="Times New Roman"/>
                <w:sz w:val="20"/>
              </w:rPr>
            </w:pPr>
            <w:r>
              <w:rPr>
                <w:rFonts w:ascii="Times New Roman" w:hAnsi="Times New Roman" w:eastAsia="Times New Roman" w:cs="Times New Roman"/>
                <w:spacing w:val="-4"/>
                <w:sz w:val="20"/>
              </w:rPr>
              <w:t>3.54</w:t>
            </w:r>
          </w:p>
        </w:tc>
        <w:tc>
          <w:tcPr>
            <w:tcW w:w="1321" w:type="dxa"/>
          </w:tcPr>
          <w:p w14:paraId="4B8A6B20">
            <w:pPr>
              <w:spacing w:before="42"/>
              <w:ind w:left="114" w:right="81"/>
              <w:jc w:val="center"/>
              <w:rPr>
                <w:rFonts w:ascii="Times New Roman" w:hAnsi="Times New Roman" w:eastAsia="Times New Roman" w:cs="Times New Roman"/>
                <w:sz w:val="20"/>
              </w:rPr>
            </w:pPr>
            <w:r>
              <w:rPr>
                <w:rFonts w:ascii="Times New Roman" w:hAnsi="Times New Roman" w:eastAsia="Times New Roman" w:cs="Times New Roman"/>
                <w:spacing w:val="-5"/>
                <w:sz w:val="20"/>
              </w:rPr>
              <w:t>3.4</w:t>
            </w:r>
          </w:p>
        </w:tc>
        <w:tc>
          <w:tcPr>
            <w:tcW w:w="883" w:type="dxa"/>
          </w:tcPr>
          <w:p w14:paraId="183C87B0">
            <w:pPr>
              <w:spacing w:before="42"/>
              <w:ind w:left="324"/>
              <w:rPr>
                <w:rFonts w:ascii="Times New Roman" w:hAnsi="Times New Roman" w:eastAsia="Times New Roman" w:cs="Times New Roman"/>
                <w:sz w:val="20"/>
              </w:rPr>
            </w:pPr>
            <w:r>
              <w:rPr>
                <w:rFonts w:ascii="Times New Roman" w:hAnsi="Times New Roman" w:eastAsia="Times New Roman" w:cs="Times New Roman"/>
                <w:spacing w:val="-5"/>
                <w:sz w:val="20"/>
              </w:rPr>
              <w:t>3.5</w:t>
            </w:r>
          </w:p>
        </w:tc>
        <w:tc>
          <w:tcPr>
            <w:tcW w:w="878" w:type="dxa"/>
          </w:tcPr>
          <w:p w14:paraId="652E3557">
            <w:pPr>
              <w:spacing w:before="42"/>
              <w:ind w:left="224" w:right="191"/>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98" w:type="dxa"/>
          </w:tcPr>
          <w:p w14:paraId="38C1329B">
            <w:pPr>
              <w:spacing w:before="42"/>
              <w:ind w:left="358" w:right="340"/>
              <w:jc w:val="center"/>
              <w:rPr>
                <w:rFonts w:ascii="Times New Roman" w:hAnsi="Times New Roman" w:eastAsia="Times New Roman" w:cs="Times New Roman"/>
                <w:sz w:val="20"/>
              </w:rPr>
            </w:pPr>
            <w:r>
              <w:rPr>
                <w:rFonts w:ascii="Times New Roman" w:hAnsi="Times New Roman" w:eastAsia="Times New Roman" w:cs="Times New Roman"/>
                <w:spacing w:val="-2"/>
                <w:sz w:val="20"/>
              </w:rPr>
              <w:t>102.0</w:t>
            </w:r>
          </w:p>
        </w:tc>
        <w:tc>
          <w:tcPr>
            <w:tcW w:w="1106" w:type="dxa"/>
          </w:tcPr>
          <w:p w14:paraId="66BF42A4">
            <w:pPr>
              <w:spacing w:before="29"/>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2537AA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3" w:hRule="atLeast"/>
        </w:trPr>
        <w:tc>
          <w:tcPr>
            <w:tcW w:w="2863" w:type="dxa"/>
          </w:tcPr>
          <w:p w14:paraId="27B93827">
            <w:pPr>
              <w:spacing w:before="33"/>
              <w:ind w:left="176" w:right="159"/>
              <w:jc w:val="center"/>
              <w:rPr>
                <w:rFonts w:ascii="宋体" w:hAnsi="Times New Roman" w:eastAsia="宋体" w:cs="Times New Roman"/>
                <w:sz w:val="20"/>
              </w:rPr>
            </w:pPr>
            <w:r>
              <w:rPr>
                <w:rFonts w:ascii="宋体" w:hAnsi="Times New Roman" w:eastAsia="宋体" w:cs="Times New Roman"/>
                <w:w w:val="95"/>
                <w:sz w:val="20"/>
              </w:rPr>
              <w:t>城镇新增就业人</w:t>
            </w:r>
            <w:r>
              <w:rPr>
                <w:rFonts w:ascii="宋体" w:hAnsi="Times New Roman" w:eastAsia="宋体" w:cs="Times New Roman"/>
                <w:spacing w:val="-10"/>
                <w:w w:val="95"/>
                <w:sz w:val="20"/>
              </w:rPr>
              <w:t>数</w:t>
            </w:r>
          </w:p>
        </w:tc>
        <w:tc>
          <w:tcPr>
            <w:tcW w:w="800" w:type="dxa"/>
          </w:tcPr>
          <w:p w14:paraId="07ABEE83">
            <w:pPr>
              <w:spacing w:before="33"/>
              <w:ind w:left="19"/>
              <w:jc w:val="center"/>
              <w:rPr>
                <w:rFonts w:ascii="宋体" w:hAnsi="Times New Roman" w:eastAsia="宋体" w:cs="Times New Roman"/>
                <w:sz w:val="20"/>
              </w:rPr>
            </w:pPr>
            <w:r>
              <w:rPr>
                <w:rFonts w:ascii="宋体" w:hAnsi="Times New Roman" w:eastAsia="宋体" w:cs="Times New Roman"/>
                <w:w w:val="99"/>
                <w:sz w:val="20"/>
              </w:rPr>
              <w:t>人</w:t>
            </w:r>
          </w:p>
        </w:tc>
        <w:tc>
          <w:tcPr>
            <w:tcW w:w="1351" w:type="dxa"/>
          </w:tcPr>
          <w:p w14:paraId="69E9CFDC">
            <w:pPr>
              <w:spacing w:before="46"/>
              <w:ind w:left="207" w:right="190"/>
              <w:jc w:val="center"/>
              <w:rPr>
                <w:rFonts w:ascii="Times New Roman" w:hAnsi="Times New Roman" w:eastAsia="Times New Roman" w:cs="Times New Roman"/>
                <w:sz w:val="20"/>
              </w:rPr>
            </w:pPr>
            <w:r>
              <w:rPr>
                <w:rFonts w:ascii="Times New Roman" w:hAnsi="Times New Roman" w:eastAsia="Times New Roman" w:cs="Times New Roman"/>
                <w:spacing w:val="-4"/>
                <w:sz w:val="20"/>
              </w:rPr>
              <w:t>5576</w:t>
            </w:r>
          </w:p>
        </w:tc>
        <w:tc>
          <w:tcPr>
            <w:tcW w:w="1183" w:type="dxa"/>
          </w:tcPr>
          <w:p w14:paraId="49D81492">
            <w:pPr>
              <w:spacing w:before="46"/>
              <w:ind w:left="390"/>
              <w:rPr>
                <w:rFonts w:ascii="Times New Roman" w:hAnsi="Times New Roman" w:eastAsia="Times New Roman" w:cs="Times New Roman"/>
                <w:sz w:val="20"/>
              </w:rPr>
            </w:pPr>
            <w:r>
              <w:rPr>
                <w:rFonts w:ascii="Times New Roman" w:hAnsi="Times New Roman" w:eastAsia="Times New Roman" w:cs="Times New Roman"/>
                <w:spacing w:val="-4"/>
                <w:sz w:val="20"/>
              </w:rPr>
              <w:t>5771</w:t>
            </w:r>
          </w:p>
        </w:tc>
        <w:tc>
          <w:tcPr>
            <w:tcW w:w="1333" w:type="dxa"/>
          </w:tcPr>
          <w:p w14:paraId="019A033A">
            <w:pPr>
              <w:spacing w:before="46"/>
              <w:ind w:left="199" w:right="182"/>
              <w:jc w:val="center"/>
              <w:rPr>
                <w:rFonts w:ascii="Times New Roman" w:hAnsi="Times New Roman" w:eastAsia="Times New Roman" w:cs="Times New Roman"/>
                <w:sz w:val="20"/>
              </w:rPr>
            </w:pPr>
            <w:r>
              <w:rPr>
                <w:rFonts w:ascii="Times New Roman" w:hAnsi="Times New Roman" w:eastAsia="Times New Roman" w:cs="Times New Roman"/>
                <w:spacing w:val="-4"/>
                <w:sz w:val="20"/>
              </w:rPr>
              <w:t>5535</w:t>
            </w:r>
          </w:p>
        </w:tc>
        <w:tc>
          <w:tcPr>
            <w:tcW w:w="1342" w:type="dxa"/>
          </w:tcPr>
          <w:p w14:paraId="0C7A87EA">
            <w:pPr>
              <w:spacing w:before="46"/>
              <w:ind w:left="61" w:right="41"/>
              <w:jc w:val="center"/>
              <w:rPr>
                <w:rFonts w:ascii="Times New Roman" w:hAnsi="Times New Roman" w:eastAsia="Times New Roman" w:cs="Times New Roman"/>
                <w:sz w:val="20"/>
              </w:rPr>
            </w:pPr>
            <w:r>
              <w:rPr>
                <w:rFonts w:ascii="Times New Roman" w:hAnsi="Times New Roman" w:eastAsia="Times New Roman" w:cs="Times New Roman"/>
                <w:spacing w:val="-4"/>
                <w:sz w:val="20"/>
              </w:rPr>
              <w:t>5208</w:t>
            </w:r>
          </w:p>
        </w:tc>
        <w:tc>
          <w:tcPr>
            <w:tcW w:w="1643" w:type="dxa"/>
          </w:tcPr>
          <w:p w14:paraId="53BCC631">
            <w:pPr>
              <w:spacing w:before="46"/>
              <w:ind w:left="71" w:right="36"/>
              <w:jc w:val="center"/>
              <w:rPr>
                <w:rFonts w:ascii="Times New Roman" w:hAnsi="Times New Roman" w:eastAsia="Times New Roman" w:cs="Times New Roman"/>
                <w:sz w:val="20"/>
              </w:rPr>
            </w:pPr>
            <w:r>
              <w:rPr>
                <w:rFonts w:ascii="Times New Roman" w:hAnsi="Times New Roman" w:eastAsia="Times New Roman" w:cs="Times New Roman"/>
                <w:spacing w:val="-4"/>
                <w:sz w:val="20"/>
              </w:rPr>
              <w:t>9636</w:t>
            </w:r>
          </w:p>
        </w:tc>
        <w:tc>
          <w:tcPr>
            <w:tcW w:w="1321" w:type="dxa"/>
          </w:tcPr>
          <w:p w14:paraId="0C0C3543">
            <w:pPr>
              <w:spacing w:before="46"/>
              <w:ind w:left="114" w:right="81"/>
              <w:jc w:val="center"/>
              <w:rPr>
                <w:rFonts w:ascii="Times New Roman" w:hAnsi="Times New Roman" w:eastAsia="Times New Roman" w:cs="Times New Roman"/>
                <w:sz w:val="20"/>
              </w:rPr>
            </w:pPr>
            <w:r>
              <w:rPr>
                <w:rFonts w:ascii="Times New Roman" w:hAnsi="Times New Roman" w:eastAsia="Times New Roman" w:cs="Times New Roman"/>
                <w:spacing w:val="-4"/>
                <w:sz w:val="20"/>
              </w:rPr>
              <w:t>7247</w:t>
            </w:r>
          </w:p>
        </w:tc>
        <w:tc>
          <w:tcPr>
            <w:tcW w:w="883" w:type="dxa"/>
          </w:tcPr>
          <w:p w14:paraId="4B63F2E7">
            <w:pPr>
              <w:spacing w:before="46"/>
              <w:ind w:left="250"/>
              <w:rPr>
                <w:rFonts w:ascii="Times New Roman" w:hAnsi="Times New Roman" w:eastAsia="Times New Roman" w:cs="Times New Roman"/>
                <w:sz w:val="20"/>
              </w:rPr>
            </w:pPr>
            <w:r>
              <w:rPr>
                <w:rFonts w:ascii="Times New Roman" w:hAnsi="Times New Roman" w:eastAsia="Times New Roman" w:cs="Times New Roman"/>
                <w:spacing w:val="-4"/>
                <w:sz w:val="20"/>
              </w:rPr>
              <w:t>6000</w:t>
            </w:r>
          </w:p>
        </w:tc>
        <w:tc>
          <w:tcPr>
            <w:tcW w:w="878" w:type="dxa"/>
          </w:tcPr>
          <w:p w14:paraId="546A5E29">
            <w:pPr>
              <w:spacing w:before="46"/>
              <w:ind w:left="224" w:right="191"/>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98" w:type="dxa"/>
          </w:tcPr>
          <w:p w14:paraId="0FAB275C">
            <w:pPr>
              <w:spacing w:before="46"/>
              <w:ind w:left="358" w:right="340"/>
              <w:jc w:val="center"/>
              <w:rPr>
                <w:rFonts w:ascii="Times New Roman" w:hAnsi="Times New Roman" w:eastAsia="Times New Roman" w:cs="Times New Roman"/>
                <w:sz w:val="20"/>
              </w:rPr>
            </w:pPr>
            <w:r>
              <w:rPr>
                <w:rFonts w:ascii="Times New Roman" w:hAnsi="Times New Roman" w:eastAsia="Times New Roman" w:cs="Times New Roman"/>
                <w:spacing w:val="-2"/>
                <w:sz w:val="20"/>
              </w:rPr>
              <w:t>120.8</w:t>
            </w:r>
          </w:p>
        </w:tc>
        <w:tc>
          <w:tcPr>
            <w:tcW w:w="1106" w:type="dxa"/>
          </w:tcPr>
          <w:p w14:paraId="3411AD72">
            <w:pPr>
              <w:spacing w:before="33"/>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5DAEA5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863" w:type="dxa"/>
          </w:tcPr>
          <w:p w14:paraId="639ACA5E">
            <w:pPr>
              <w:spacing w:before="28"/>
              <w:ind w:left="176" w:right="159"/>
              <w:jc w:val="center"/>
              <w:rPr>
                <w:rFonts w:ascii="宋体" w:hAnsi="Times New Roman" w:eastAsia="宋体" w:cs="Times New Roman"/>
                <w:sz w:val="20"/>
              </w:rPr>
            </w:pPr>
            <w:r>
              <w:rPr>
                <w:rFonts w:ascii="宋体" w:hAnsi="Times New Roman" w:eastAsia="宋体" w:cs="Times New Roman"/>
                <w:w w:val="95"/>
                <w:sz w:val="20"/>
              </w:rPr>
              <w:t>城乡居民养老保险参保</w:t>
            </w:r>
            <w:r>
              <w:rPr>
                <w:rFonts w:ascii="宋体" w:hAnsi="Times New Roman" w:eastAsia="宋体" w:cs="Times New Roman"/>
                <w:spacing w:val="-10"/>
                <w:w w:val="95"/>
                <w:sz w:val="20"/>
              </w:rPr>
              <w:t>率</w:t>
            </w:r>
          </w:p>
        </w:tc>
        <w:tc>
          <w:tcPr>
            <w:tcW w:w="800" w:type="dxa"/>
          </w:tcPr>
          <w:p w14:paraId="44526219">
            <w:pPr>
              <w:spacing w:before="41"/>
              <w:ind w:left="19"/>
              <w:jc w:val="center"/>
              <w:rPr>
                <w:rFonts w:ascii="Times New Roman" w:hAnsi="Times New Roman" w:eastAsia="Times New Roman" w:cs="Times New Roman"/>
                <w:sz w:val="20"/>
              </w:rPr>
            </w:pPr>
            <w:r>
              <w:rPr>
                <w:rFonts w:ascii="Times New Roman" w:hAnsi="Times New Roman" w:eastAsia="Times New Roman" w:cs="Times New Roman"/>
                <w:w w:val="99"/>
                <w:sz w:val="20"/>
              </w:rPr>
              <w:t>%</w:t>
            </w:r>
          </w:p>
        </w:tc>
        <w:tc>
          <w:tcPr>
            <w:tcW w:w="1351" w:type="dxa"/>
          </w:tcPr>
          <w:p w14:paraId="278A2CC7">
            <w:pPr>
              <w:spacing w:before="41"/>
              <w:ind w:left="210" w:right="190"/>
              <w:jc w:val="center"/>
              <w:rPr>
                <w:rFonts w:ascii="Times New Roman" w:hAnsi="Times New Roman" w:eastAsia="Times New Roman" w:cs="Times New Roman"/>
                <w:sz w:val="20"/>
              </w:rPr>
            </w:pPr>
            <w:r>
              <w:rPr>
                <w:rFonts w:ascii="Times New Roman" w:hAnsi="Times New Roman" w:eastAsia="Times New Roman" w:cs="Times New Roman"/>
                <w:spacing w:val="-5"/>
                <w:sz w:val="20"/>
              </w:rPr>
              <w:t>95</w:t>
            </w:r>
          </w:p>
        </w:tc>
        <w:tc>
          <w:tcPr>
            <w:tcW w:w="1183" w:type="dxa"/>
          </w:tcPr>
          <w:p w14:paraId="7AE4A402">
            <w:pPr>
              <w:spacing w:before="41"/>
              <w:ind w:left="403" w:right="383"/>
              <w:jc w:val="center"/>
              <w:rPr>
                <w:rFonts w:ascii="Times New Roman" w:hAnsi="Times New Roman" w:eastAsia="Times New Roman" w:cs="Times New Roman"/>
                <w:sz w:val="20"/>
              </w:rPr>
            </w:pPr>
            <w:r>
              <w:rPr>
                <w:rFonts w:ascii="Times New Roman" w:hAnsi="Times New Roman" w:eastAsia="Times New Roman" w:cs="Times New Roman"/>
                <w:spacing w:val="-5"/>
                <w:sz w:val="20"/>
              </w:rPr>
              <w:t>96</w:t>
            </w:r>
          </w:p>
        </w:tc>
        <w:tc>
          <w:tcPr>
            <w:tcW w:w="1333" w:type="dxa"/>
          </w:tcPr>
          <w:p w14:paraId="3074D923">
            <w:pPr>
              <w:spacing w:before="41"/>
              <w:ind w:left="201" w:right="182"/>
              <w:jc w:val="center"/>
              <w:rPr>
                <w:rFonts w:ascii="Times New Roman" w:hAnsi="Times New Roman" w:eastAsia="Times New Roman" w:cs="Times New Roman"/>
                <w:sz w:val="20"/>
              </w:rPr>
            </w:pPr>
            <w:r>
              <w:rPr>
                <w:rFonts w:ascii="Times New Roman" w:hAnsi="Times New Roman" w:eastAsia="Times New Roman" w:cs="Times New Roman"/>
                <w:spacing w:val="-5"/>
                <w:sz w:val="20"/>
              </w:rPr>
              <w:t>97</w:t>
            </w:r>
          </w:p>
        </w:tc>
        <w:tc>
          <w:tcPr>
            <w:tcW w:w="1342" w:type="dxa"/>
          </w:tcPr>
          <w:p w14:paraId="0DBAE9A9">
            <w:pPr>
              <w:spacing w:before="41"/>
              <w:ind w:left="61" w:right="43"/>
              <w:jc w:val="center"/>
              <w:rPr>
                <w:rFonts w:ascii="Times New Roman" w:hAnsi="Times New Roman" w:eastAsia="Times New Roman" w:cs="Times New Roman"/>
                <w:sz w:val="20"/>
              </w:rPr>
            </w:pPr>
            <w:r>
              <w:rPr>
                <w:rFonts w:ascii="Times New Roman" w:hAnsi="Times New Roman" w:eastAsia="Times New Roman" w:cs="Times New Roman"/>
                <w:spacing w:val="-2"/>
                <w:sz w:val="20"/>
              </w:rPr>
              <w:t>112.5</w:t>
            </w:r>
          </w:p>
        </w:tc>
        <w:tc>
          <w:tcPr>
            <w:tcW w:w="1643" w:type="dxa"/>
          </w:tcPr>
          <w:p w14:paraId="56A2B8FB">
            <w:pPr>
              <w:spacing w:before="41"/>
              <w:ind w:left="71" w:right="38"/>
              <w:jc w:val="center"/>
              <w:rPr>
                <w:rFonts w:ascii="Times New Roman" w:hAnsi="Times New Roman" w:eastAsia="Times New Roman" w:cs="Times New Roman"/>
                <w:sz w:val="20"/>
              </w:rPr>
            </w:pPr>
            <w:r>
              <w:rPr>
                <w:rFonts w:ascii="Times New Roman" w:hAnsi="Times New Roman" w:eastAsia="Times New Roman" w:cs="Times New Roman"/>
                <w:spacing w:val="-5"/>
                <w:sz w:val="20"/>
              </w:rPr>
              <w:t>113</w:t>
            </w:r>
          </w:p>
        </w:tc>
        <w:tc>
          <w:tcPr>
            <w:tcW w:w="1321" w:type="dxa"/>
          </w:tcPr>
          <w:p w14:paraId="3B9F650D">
            <w:pPr>
              <w:spacing w:before="41"/>
              <w:ind w:left="114" w:right="81"/>
              <w:jc w:val="center"/>
              <w:rPr>
                <w:rFonts w:ascii="Times New Roman" w:hAnsi="Times New Roman" w:eastAsia="Times New Roman" w:cs="Times New Roman"/>
                <w:sz w:val="20"/>
              </w:rPr>
            </w:pPr>
            <w:r>
              <w:rPr>
                <w:rFonts w:ascii="Times New Roman" w:hAnsi="Times New Roman" w:eastAsia="Times New Roman" w:cs="Times New Roman"/>
                <w:spacing w:val="-4"/>
                <w:sz w:val="20"/>
              </w:rPr>
              <w:t>98.3</w:t>
            </w:r>
          </w:p>
        </w:tc>
        <w:tc>
          <w:tcPr>
            <w:tcW w:w="883" w:type="dxa"/>
          </w:tcPr>
          <w:p w14:paraId="6CF484D4">
            <w:pPr>
              <w:spacing w:before="41"/>
              <w:ind w:left="333" w:right="299"/>
              <w:jc w:val="center"/>
              <w:rPr>
                <w:rFonts w:ascii="Times New Roman" w:hAnsi="Times New Roman" w:eastAsia="Times New Roman" w:cs="Times New Roman"/>
                <w:sz w:val="20"/>
              </w:rPr>
            </w:pPr>
            <w:r>
              <w:rPr>
                <w:rFonts w:ascii="Times New Roman" w:hAnsi="Times New Roman" w:eastAsia="Times New Roman" w:cs="Times New Roman"/>
                <w:spacing w:val="-5"/>
                <w:sz w:val="20"/>
              </w:rPr>
              <w:t>98</w:t>
            </w:r>
          </w:p>
        </w:tc>
        <w:tc>
          <w:tcPr>
            <w:tcW w:w="878" w:type="dxa"/>
          </w:tcPr>
          <w:p w14:paraId="7B98A270">
            <w:pPr>
              <w:spacing w:before="41"/>
              <w:ind w:left="224" w:right="191"/>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98" w:type="dxa"/>
          </w:tcPr>
          <w:p w14:paraId="299C9268">
            <w:pPr>
              <w:spacing w:before="41"/>
              <w:ind w:left="358" w:right="340"/>
              <w:jc w:val="center"/>
              <w:rPr>
                <w:rFonts w:ascii="Times New Roman" w:hAnsi="Times New Roman" w:eastAsia="Times New Roman" w:cs="Times New Roman"/>
                <w:sz w:val="20"/>
              </w:rPr>
            </w:pPr>
            <w:r>
              <w:rPr>
                <w:rFonts w:ascii="Times New Roman" w:hAnsi="Times New Roman" w:eastAsia="Times New Roman" w:cs="Times New Roman"/>
                <w:spacing w:val="-2"/>
                <w:sz w:val="20"/>
              </w:rPr>
              <w:t>100.3</w:t>
            </w:r>
          </w:p>
        </w:tc>
        <w:tc>
          <w:tcPr>
            <w:tcW w:w="1106" w:type="dxa"/>
          </w:tcPr>
          <w:p w14:paraId="76A97306">
            <w:pPr>
              <w:spacing w:before="28"/>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2FC7BE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63" w:type="dxa"/>
          </w:tcPr>
          <w:p w14:paraId="101C077D">
            <w:pPr>
              <w:spacing w:before="29"/>
              <w:ind w:left="174" w:right="159"/>
              <w:jc w:val="center"/>
              <w:rPr>
                <w:rFonts w:ascii="宋体" w:hAnsi="Times New Roman" w:eastAsia="宋体" w:cs="Times New Roman"/>
                <w:sz w:val="20"/>
              </w:rPr>
            </w:pPr>
            <w:r>
              <w:rPr>
                <w:rFonts w:ascii="宋体" w:hAnsi="Times New Roman" w:eastAsia="宋体" w:cs="Times New Roman"/>
                <w:w w:val="95"/>
                <w:sz w:val="20"/>
              </w:rPr>
              <w:t>城乡居民基本医疗保险参保</w:t>
            </w:r>
            <w:r>
              <w:rPr>
                <w:rFonts w:ascii="宋体" w:hAnsi="Times New Roman" w:eastAsia="宋体" w:cs="Times New Roman"/>
                <w:spacing w:val="-10"/>
                <w:w w:val="95"/>
                <w:sz w:val="20"/>
              </w:rPr>
              <w:t>率</w:t>
            </w:r>
          </w:p>
        </w:tc>
        <w:tc>
          <w:tcPr>
            <w:tcW w:w="800" w:type="dxa"/>
          </w:tcPr>
          <w:p w14:paraId="1E58019B">
            <w:pPr>
              <w:spacing w:before="42"/>
              <w:ind w:left="19"/>
              <w:jc w:val="center"/>
              <w:rPr>
                <w:rFonts w:ascii="Times New Roman" w:hAnsi="Times New Roman" w:eastAsia="Times New Roman" w:cs="Times New Roman"/>
                <w:sz w:val="20"/>
              </w:rPr>
            </w:pPr>
            <w:r>
              <w:rPr>
                <w:rFonts w:ascii="Times New Roman" w:hAnsi="Times New Roman" w:eastAsia="Times New Roman" w:cs="Times New Roman"/>
                <w:w w:val="99"/>
                <w:sz w:val="20"/>
              </w:rPr>
              <w:t>%</w:t>
            </w:r>
          </w:p>
        </w:tc>
        <w:tc>
          <w:tcPr>
            <w:tcW w:w="1351" w:type="dxa"/>
          </w:tcPr>
          <w:p w14:paraId="31425DD1">
            <w:pPr>
              <w:spacing w:before="42"/>
              <w:ind w:left="210" w:right="190"/>
              <w:jc w:val="center"/>
              <w:rPr>
                <w:rFonts w:ascii="Times New Roman" w:hAnsi="Times New Roman" w:eastAsia="Times New Roman" w:cs="Times New Roman"/>
                <w:sz w:val="20"/>
              </w:rPr>
            </w:pPr>
            <w:r>
              <w:rPr>
                <w:rFonts w:ascii="Times New Roman" w:hAnsi="Times New Roman" w:eastAsia="Times New Roman" w:cs="Times New Roman"/>
                <w:spacing w:val="-5"/>
                <w:sz w:val="20"/>
              </w:rPr>
              <w:t>94</w:t>
            </w:r>
          </w:p>
        </w:tc>
        <w:tc>
          <w:tcPr>
            <w:tcW w:w="1183" w:type="dxa"/>
          </w:tcPr>
          <w:p w14:paraId="5A15F1D7">
            <w:pPr>
              <w:spacing w:before="42"/>
              <w:ind w:right="293"/>
              <w:jc w:val="right"/>
              <w:rPr>
                <w:rFonts w:ascii="Times New Roman" w:hAnsi="Times New Roman" w:eastAsia="Times New Roman" w:cs="Times New Roman"/>
                <w:sz w:val="20"/>
              </w:rPr>
            </w:pPr>
            <w:r>
              <w:rPr>
                <w:rFonts w:ascii="Times New Roman" w:hAnsi="Times New Roman" w:eastAsia="Times New Roman" w:cs="Times New Roman"/>
                <w:spacing w:val="-2"/>
                <w:sz w:val="20"/>
              </w:rPr>
              <w:t>108.96</w:t>
            </w:r>
          </w:p>
        </w:tc>
        <w:tc>
          <w:tcPr>
            <w:tcW w:w="1333" w:type="dxa"/>
          </w:tcPr>
          <w:p w14:paraId="16EBB9EC">
            <w:pPr>
              <w:spacing w:before="42"/>
              <w:ind w:left="201" w:right="182"/>
              <w:jc w:val="center"/>
              <w:rPr>
                <w:rFonts w:ascii="Times New Roman" w:hAnsi="Times New Roman" w:eastAsia="Times New Roman" w:cs="Times New Roman"/>
                <w:sz w:val="20"/>
              </w:rPr>
            </w:pPr>
            <w:r>
              <w:rPr>
                <w:rFonts w:ascii="Times New Roman" w:hAnsi="Times New Roman" w:eastAsia="Times New Roman" w:cs="Times New Roman"/>
                <w:spacing w:val="-2"/>
                <w:sz w:val="20"/>
              </w:rPr>
              <w:t>117.6</w:t>
            </w:r>
          </w:p>
        </w:tc>
        <w:tc>
          <w:tcPr>
            <w:tcW w:w="1342" w:type="dxa"/>
          </w:tcPr>
          <w:p w14:paraId="6C484D07">
            <w:pPr>
              <w:spacing w:before="42"/>
              <w:ind w:left="61" w:right="43"/>
              <w:jc w:val="center"/>
              <w:rPr>
                <w:rFonts w:ascii="Times New Roman" w:hAnsi="Times New Roman" w:eastAsia="Times New Roman" w:cs="Times New Roman"/>
                <w:sz w:val="20"/>
              </w:rPr>
            </w:pPr>
            <w:r>
              <w:rPr>
                <w:rFonts w:ascii="Times New Roman" w:hAnsi="Times New Roman" w:eastAsia="Times New Roman" w:cs="Times New Roman"/>
                <w:spacing w:val="-5"/>
                <w:sz w:val="20"/>
              </w:rPr>
              <w:t>108</w:t>
            </w:r>
          </w:p>
        </w:tc>
        <w:tc>
          <w:tcPr>
            <w:tcW w:w="1643" w:type="dxa"/>
          </w:tcPr>
          <w:p w14:paraId="2CBFEB86">
            <w:pPr>
              <w:spacing w:before="42"/>
              <w:ind w:left="71" w:right="38"/>
              <w:jc w:val="center"/>
              <w:rPr>
                <w:rFonts w:ascii="Times New Roman" w:hAnsi="Times New Roman" w:eastAsia="Times New Roman" w:cs="Times New Roman"/>
                <w:sz w:val="20"/>
              </w:rPr>
            </w:pPr>
            <w:r>
              <w:rPr>
                <w:rFonts w:ascii="Times New Roman" w:hAnsi="Times New Roman" w:eastAsia="Times New Roman" w:cs="Times New Roman"/>
                <w:spacing w:val="-2"/>
                <w:sz w:val="20"/>
              </w:rPr>
              <w:t>109.9</w:t>
            </w:r>
          </w:p>
        </w:tc>
        <w:tc>
          <w:tcPr>
            <w:tcW w:w="1321" w:type="dxa"/>
          </w:tcPr>
          <w:p w14:paraId="59BB2F65">
            <w:pPr>
              <w:spacing w:before="42"/>
              <w:ind w:left="114" w:right="79"/>
              <w:jc w:val="center"/>
              <w:rPr>
                <w:rFonts w:ascii="Times New Roman" w:hAnsi="Times New Roman" w:eastAsia="Times New Roman" w:cs="Times New Roman"/>
                <w:sz w:val="20"/>
              </w:rPr>
            </w:pPr>
            <w:r>
              <w:rPr>
                <w:rFonts w:ascii="Times New Roman" w:hAnsi="Times New Roman" w:eastAsia="Times New Roman" w:cs="Times New Roman"/>
                <w:spacing w:val="-5"/>
                <w:sz w:val="20"/>
              </w:rPr>
              <w:t>107</w:t>
            </w:r>
          </w:p>
        </w:tc>
        <w:tc>
          <w:tcPr>
            <w:tcW w:w="883" w:type="dxa"/>
          </w:tcPr>
          <w:p w14:paraId="7D162CF9">
            <w:pPr>
              <w:spacing w:before="42"/>
              <w:ind w:left="298"/>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878" w:type="dxa"/>
          </w:tcPr>
          <w:p w14:paraId="56C85341">
            <w:pPr>
              <w:spacing w:before="42"/>
              <w:ind w:left="224" w:right="191"/>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98" w:type="dxa"/>
          </w:tcPr>
          <w:p w14:paraId="5E2EB5C2">
            <w:pPr>
              <w:spacing w:before="42"/>
              <w:ind w:left="358" w:right="340"/>
              <w:jc w:val="center"/>
              <w:rPr>
                <w:rFonts w:ascii="Times New Roman" w:hAnsi="Times New Roman" w:eastAsia="Times New Roman" w:cs="Times New Roman"/>
                <w:sz w:val="20"/>
              </w:rPr>
            </w:pPr>
            <w:r>
              <w:rPr>
                <w:rFonts w:ascii="Times New Roman" w:hAnsi="Times New Roman" w:eastAsia="Times New Roman" w:cs="Times New Roman"/>
                <w:spacing w:val="-2"/>
                <w:sz w:val="20"/>
              </w:rPr>
              <w:t>107.0</w:t>
            </w:r>
          </w:p>
        </w:tc>
        <w:tc>
          <w:tcPr>
            <w:tcW w:w="1106" w:type="dxa"/>
          </w:tcPr>
          <w:p w14:paraId="40FFC8D1">
            <w:pPr>
              <w:spacing w:before="29"/>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7DE44F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863" w:type="dxa"/>
          </w:tcPr>
          <w:p w14:paraId="1CE93C59">
            <w:pPr>
              <w:spacing w:before="28"/>
              <w:ind w:left="174" w:right="159"/>
              <w:jc w:val="center"/>
              <w:rPr>
                <w:rFonts w:ascii="宋体" w:hAnsi="Times New Roman" w:eastAsia="宋体" w:cs="Times New Roman"/>
                <w:sz w:val="20"/>
              </w:rPr>
            </w:pPr>
            <w:r>
              <w:rPr>
                <w:rFonts w:ascii="宋体" w:hAnsi="Times New Roman" w:eastAsia="宋体" w:cs="Times New Roman"/>
                <w:w w:val="95"/>
                <w:sz w:val="20"/>
              </w:rPr>
              <w:t>常住人</w:t>
            </w:r>
            <w:r>
              <w:rPr>
                <w:rFonts w:ascii="宋体" w:hAnsi="Times New Roman" w:eastAsia="宋体" w:cs="Times New Roman"/>
                <w:spacing w:val="-10"/>
                <w:w w:val="95"/>
                <w:sz w:val="20"/>
              </w:rPr>
              <w:t>口</w:t>
            </w:r>
          </w:p>
        </w:tc>
        <w:tc>
          <w:tcPr>
            <w:tcW w:w="800" w:type="dxa"/>
          </w:tcPr>
          <w:p w14:paraId="3ABCE099">
            <w:pPr>
              <w:spacing w:before="28"/>
              <w:ind w:left="188" w:right="172"/>
              <w:jc w:val="center"/>
              <w:rPr>
                <w:rFonts w:ascii="宋体" w:hAnsi="Times New Roman" w:eastAsia="宋体" w:cs="Times New Roman"/>
                <w:sz w:val="20"/>
              </w:rPr>
            </w:pPr>
            <w:r>
              <w:rPr>
                <w:rFonts w:ascii="宋体" w:hAnsi="Times New Roman" w:eastAsia="宋体" w:cs="Times New Roman"/>
                <w:w w:val="95"/>
                <w:sz w:val="20"/>
              </w:rPr>
              <w:t>万</w:t>
            </w:r>
            <w:r>
              <w:rPr>
                <w:rFonts w:ascii="宋体" w:hAnsi="Times New Roman" w:eastAsia="宋体" w:cs="Times New Roman"/>
                <w:spacing w:val="-10"/>
                <w:sz w:val="20"/>
              </w:rPr>
              <w:t>人</w:t>
            </w:r>
          </w:p>
        </w:tc>
        <w:tc>
          <w:tcPr>
            <w:tcW w:w="1351" w:type="dxa"/>
          </w:tcPr>
          <w:p w14:paraId="7B01253F">
            <w:pPr>
              <w:spacing w:before="42"/>
              <w:ind w:left="207" w:right="190"/>
              <w:jc w:val="center"/>
              <w:rPr>
                <w:rFonts w:ascii="Times New Roman" w:hAnsi="Times New Roman" w:eastAsia="Times New Roman" w:cs="Times New Roman"/>
                <w:sz w:val="20"/>
              </w:rPr>
            </w:pPr>
            <w:r>
              <w:rPr>
                <w:rFonts w:ascii="Times New Roman" w:hAnsi="Times New Roman" w:eastAsia="Times New Roman" w:cs="Times New Roman"/>
                <w:spacing w:val="-4"/>
                <w:sz w:val="20"/>
              </w:rPr>
              <w:t>30.2</w:t>
            </w:r>
          </w:p>
        </w:tc>
        <w:tc>
          <w:tcPr>
            <w:tcW w:w="1183" w:type="dxa"/>
          </w:tcPr>
          <w:p w14:paraId="75FECFA7">
            <w:pPr>
              <w:spacing w:before="42"/>
              <w:ind w:left="403" w:right="385"/>
              <w:jc w:val="center"/>
              <w:rPr>
                <w:rFonts w:ascii="Times New Roman" w:hAnsi="Times New Roman" w:eastAsia="Times New Roman" w:cs="Times New Roman"/>
                <w:sz w:val="20"/>
              </w:rPr>
            </w:pPr>
            <w:r>
              <w:rPr>
                <w:rFonts w:ascii="Times New Roman" w:hAnsi="Times New Roman" w:eastAsia="Times New Roman" w:cs="Times New Roman"/>
                <w:spacing w:val="-4"/>
                <w:sz w:val="20"/>
              </w:rPr>
              <w:t>30.8</w:t>
            </w:r>
          </w:p>
        </w:tc>
        <w:tc>
          <w:tcPr>
            <w:tcW w:w="1333" w:type="dxa"/>
          </w:tcPr>
          <w:p w14:paraId="4B713DEB">
            <w:pPr>
              <w:spacing w:before="42"/>
              <w:ind w:left="199" w:right="182"/>
              <w:jc w:val="center"/>
              <w:rPr>
                <w:rFonts w:ascii="Times New Roman" w:hAnsi="Times New Roman" w:eastAsia="Times New Roman" w:cs="Times New Roman"/>
                <w:sz w:val="20"/>
              </w:rPr>
            </w:pPr>
            <w:r>
              <w:rPr>
                <w:rFonts w:ascii="Times New Roman" w:hAnsi="Times New Roman" w:eastAsia="Times New Roman" w:cs="Times New Roman"/>
                <w:spacing w:val="-4"/>
                <w:sz w:val="20"/>
              </w:rPr>
              <w:t>32.3</w:t>
            </w:r>
          </w:p>
        </w:tc>
        <w:tc>
          <w:tcPr>
            <w:tcW w:w="1342" w:type="dxa"/>
          </w:tcPr>
          <w:p w14:paraId="52612AC6">
            <w:pPr>
              <w:spacing w:before="42"/>
              <w:ind w:left="61" w:right="41"/>
              <w:jc w:val="center"/>
              <w:rPr>
                <w:rFonts w:ascii="Times New Roman" w:hAnsi="Times New Roman" w:eastAsia="Times New Roman" w:cs="Times New Roman"/>
                <w:sz w:val="20"/>
              </w:rPr>
            </w:pPr>
            <w:r>
              <w:rPr>
                <w:rFonts w:ascii="Times New Roman" w:hAnsi="Times New Roman" w:eastAsia="Times New Roman" w:cs="Times New Roman"/>
                <w:spacing w:val="-4"/>
                <w:sz w:val="20"/>
              </w:rPr>
              <w:t>33.8</w:t>
            </w:r>
          </w:p>
        </w:tc>
        <w:tc>
          <w:tcPr>
            <w:tcW w:w="1643" w:type="dxa"/>
          </w:tcPr>
          <w:p w14:paraId="74B2D5ED">
            <w:pPr>
              <w:spacing w:before="42"/>
              <w:ind w:left="71" w:right="36"/>
              <w:jc w:val="center"/>
              <w:rPr>
                <w:rFonts w:ascii="Times New Roman" w:hAnsi="Times New Roman" w:eastAsia="Times New Roman" w:cs="Times New Roman"/>
                <w:sz w:val="20"/>
              </w:rPr>
            </w:pPr>
            <w:r>
              <w:rPr>
                <w:rFonts w:ascii="Times New Roman" w:hAnsi="Times New Roman" w:eastAsia="Times New Roman" w:cs="Times New Roman"/>
                <w:spacing w:val="-4"/>
                <w:sz w:val="20"/>
              </w:rPr>
              <w:t>36.9</w:t>
            </w:r>
          </w:p>
        </w:tc>
        <w:tc>
          <w:tcPr>
            <w:tcW w:w="1321" w:type="dxa"/>
          </w:tcPr>
          <w:p w14:paraId="0BC5E9CD">
            <w:pPr>
              <w:spacing w:before="42"/>
              <w:ind w:left="114" w:right="79"/>
              <w:jc w:val="center"/>
              <w:rPr>
                <w:rFonts w:ascii="Times New Roman" w:hAnsi="Times New Roman" w:eastAsia="Times New Roman" w:cs="Times New Roman"/>
                <w:sz w:val="20"/>
              </w:rPr>
            </w:pPr>
            <w:r>
              <w:rPr>
                <w:rFonts w:ascii="Times New Roman" w:hAnsi="Times New Roman" w:eastAsia="Times New Roman" w:cs="Times New Roman"/>
                <w:spacing w:val="-5"/>
                <w:sz w:val="20"/>
              </w:rPr>
              <w:t>60</w:t>
            </w:r>
          </w:p>
        </w:tc>
        <w:tc>
          <w:tcPr>
            <w:tcW w:w="883" w:type="dxa"/>
          </w:tcPr>
          <w:p w14:paraId="42A704F6">
            <w:pPr>
              <w:spacing w:before="42"/>
              <w:ind w:left="333" w:right="299"/>
              <w:jc w:val="center"/>
              <w:rPr>
                <w:rFonts w:ascii="Times New Roman" w:hAnsi="Times New Roman" w:eastAsia="Times New Roman" w:cs="Times New Roman"/>
                <w:sz w:val="20"/>
              </w:rPr>
            </w:pPr>
            <w:r>
              <w:rPr>
                <w:rFonts w:ascii="Times New Roman" w:hAnsi="Times New Roman" w:eastAsia="Times New Roman" w:cs="Times New Roman"/>
                <w:spacing w:val="-5"/>
                <w:sz w:val="20"/>
              </w:rPr>
              <w:t>40</w:t>
            </w:r>
          </w:p>
        </w:tc>
        <w:tc>
          <w:tcPr>
            <w:tcW w:w="878" w:type="dxa"/>
          </w:tcPr>
          <w:p w14:paraId="1C7620A5">
            <w:pPr>
              <w:spacing w:before="42"/>
              <w:ind w:left="225" w:right="191"/>
              <w:jc w:val="center"/>
              <w:rPr>
                <w:rFonts w:ascii="Times New Roman" w:hAnsi="Times New Roman" w:eastAsia="Times New Roman" w:cs="Times New Roman"/>
                <w:sz w:val="20"/>
              </w:rPr>
            </w:pPr>
            <w:r>
              <w:rPr>
                <w:rFonts w:ascii="Times New Roman" w:hAnsi="Times New Roman" w:eastAsia="Times New Roman" w:cs="Times New Roman"/>
                <w:spacing w:val="-5"/>
                <w:sz w:val="20"/>
              </w:rPr>
              <w:t>6%</w:t>
            </w:r>
          </w:p>
        </w:tc>
        <w:tc>
          <w:tcPr>
            <w:tcW w:w="1198" w:type="dxa"/>
          </w:tcPr>
          <w:p w14:paraId="7ACF1428">
            <w:pPr>
              <w:spacing w:before="42"/>
              <w:ind w:left="358" w:right="340"/>
              <w:jc w:val="center"/>
              <w:rPr>
                <w:rFonts w:ascii="Times New Roman" w:hAnsi="Times New Roman" w:eastAsia="Times New Roman" w:cs="Times New Roman"/>
                <w:sz w:val="20"/>
              </w:rPr>
            </w:pPr>
            <w:r>
              <w:rPr>
                <w:rFonts w:ascii="Times New Roman" w:hAnsi="Times New Roman" w:eastAsia="Times New Roman" w:cs="Times New Roman"/>
                <w:spacing w:val="-5"/>
                <w:sz w:val="20"/>
              </w:rPr>
              <w:t>150</w:t>
            </w:r>
          </w:p>
        </w:tc>
        <w:tc>
          <w:tcPr>
            <w:tcW w:w="1106" w:type="dxa"/>
          </w:tcPr>
          <w:p w14:paraId="754547E7">
            <w:pPr>
              <w:spacing w:before="28"/>
              <w:ind w:left="156" w:right="137"/>
              <w:jc w:val="center"/>
              <w:rPr>
                <w:rFonts w:ascii="宋体" w:hAnsi="Times New Roman" w:eastAsia="宋体" w:cs="Times New Roman"/>
                <w:sz w:val="20"/>
              </w:rPr>
            </w:pPr>
            <w:r>
              <w:rPr>
                <w:rFonts w:ascii="宋体" w:hAnsi="Times New Roman" w:eastAsia="宋体" w:cs="Times New Roman"/>
                <w:spacing w:val="-4"/>
                <w:w w:val="95"/>
                <w:sz w:val="20"/>
              </w:rPr>
              <w:t>已完成</w:t>
            </w:r>
          </w:p>
        </w:tc>
      </w:tr>
      <w:tr w14:paraId="13EA9B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63" w:type="dxa"/>
          </w:tcPr>
          <w:p w14:paraId="3AB94904">
            <w:pPr>
              <w:spacing w:before="27"/>
              <w:ind w:left="176" w:right="159"/>
              <w:jc w:val="center"/>
              <w:rPr>
                <w:rFonts w:ascii="宋体" w:hAnsi="Times New Roman" w:eastAsia="宋体" w:cs="Times New Roman"/>
                <w:sz w:val="20"/>
              </w:rPr>
            </w:pPr>
            <w:r>
              <w:rPr>
                <w:rFonts w:ascii="宋体" w:hAnsi="Times New Roman" w:eastAsia="宋体" w:cs="Times New Roman"/>
                <w:w w:val="95"/>
                <w:sz w:val="20"/>
              </w:rPr>
              <w:t>万人拥有医院卫生院病</w:t>
            </w:r>
            <w:r>
              <w:rPr>
                <w:rFonts w:ascii="宋体" w:hAnsi="Times New Roman" w:eastAsia="宋体" w:cs="Times New Roman"/>
                <w:spacing w:val="-5"/>
                <w:w w:val="95"/>
                <w:sz w:val="20"/>
              </w:rPr>
              <w:t>床数</w:t>
            </w:r>
          </w:p>
        </w:tc>
        <w:tc>
          <w:tcPr>
            <w:tcW w:w="800" w:type="dxa"/>
          </w:tcPr>
          <w:p w14:paraId="7132E735">
            <w:pPr>
              <w:spacing w:before="27"/>
              <w:ind w:left="19"/>
              <w:jc w:val="center"/>
              <w:rPr>
                <w:rFonts w:ascii="宋体" w:hAnsi="Times New Roman" w:eastAsia="宋体" w:cs="Times New Roman"/>
                <w:sz w:val="20"/>
              </w:rPr>
            </w:pPr>
            <w:r>
              <w:rPr>
                <w:rFonts w:ascii="宋体" w:hAnsi="Times New Roman" w:eastAsia="宋体" w:cs="Times New Roman"/>
                <w:w w:val="99"/>
                <w:sz w:val="20"/>
              </w:rPr>
              <w:t>张</w:t>
            </w:r>
          </w:p>
        </w:tc>
        <w:tc>
          <w:tcPr>
            <w:tcW w:w="1351" w:type="dxa"/>
          </w:tcPr>
          <w:p w14:paraId="48DCC467">
            <w:pPr>
              <w:rPr>
                <w:rFonts w:ascii="Times New Roman" w:hAnsi="Times New Roman" w:eastAsia="Times New Roman" w:cs="Times New Roman"/>
                <w:sz w:val="20"/>
              </w:rPr>
            </w:pPr>
          </w:p>
        </w:tc>
        <w:tc>
          <w:tcPr>
            <w:tcW w:w="1183" w:type="dxa"/>
          </w:tcPr>
          <w:p w14:paraId="58678FD7">
            <w:pPr>
              <w:spacing w:before="41"/>
              <w:ind w:left="403" w:right="383"/>
              <w:jc w:val="center"/>
              <w:rPr>
                <w:rFonts w:ascii="Times New Roman" w:hAnsi="Times New Roman" w:eastAsia="Times New Roman" w:cs="Times New Roman"/>
                <w:sz w:val="20"/>
              </w:rPr>
            </w:pPr>
            <w:r>
              <w:rPr>
                <w:rFonts w:ascii="Times New Roman" w:hAnsi="Times New Roman" w:eastAsia="Times New Roman" w:cs="Times New Roman"/>
                <w:spacing w:val="-5"/>
                <w:sz w:val="20"/>
              </w:rPr>
              <w:t>98</w:t>
            </w:r>
          </w:p>
        </w:tc>
        <w:tc>
          <w:tcPr>
            <w:tcW w:w="1333" w:type="dxa"/>
          </w:tcPr>
          <w:p w14:paraId="1805FE94">
            <w:pPr>
              <w:spacing w:before="41"/>
              <w:ind w:left="201" w:right="182"/>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342" w:type="dxa"/>
          </w:tcPr>
          <w:p w14:paraId="39043494">
            <w:pPr>
              <w:spacing w:before="41"/>
              <w:ind w:left="61" w:right="43"/>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643" w:type="dxa"/>
          </w:tcPr>
          <w:p w14:paraId="7161F02C">
            <w:pPr>
              <w:spacing w:before="41"/>
              <w:ind w:left="71" w:right="38"/>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321" w:type="dxa"/>
          </w:tcPr>
          <w:p w14:paraId="5547C317">
            <w:pPr>
              <w:spacing w:before="41"/>
              <w:ind w:left="114" w:right="79"/>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883" w:type="dxa"/>
          </w:tcPr>
          <w:p w14:paraId="3D1433FB">
            <w:pPr>
              <w:spacing w:before="41"/>
              <w:ind w:left="333" w:right="299"/>
              <w:jc w:val="center"/>
              <w:rPr>
                <w:rFonts w:ascii="Times New Roman" w:hAnsi="Times New Roman" w:eastAsia="Times New Roman" w:cs="Times New Roman"/>
                <w:sz w:val="20"/>
              </w:rPr>
            </w:pPr>
            <w:r>
              <w:rPr>
                <w:rFonts w:ascii="Times New Roman" w:hAnsi="Times New Roman" w:eastAsia="Times New Roman" w:cs="Times New Roman"/>
                <w:spacing w:val="-5"/>
                <w:sz w:val="20"/>
              </w:rPr>
              <w:t>50</w:t>
            </w:r>
          </w:p>
        </w:tc>
        <w:tc>
          <w:tcPr>
            <w:tcW w:w="878" w:type="dxa"/>
          </w:tcPr>
          <w:p w14:paraId="4B1AE9DE">
            <w:pPr>
              <w:spacing w:before="41"/>
              <w:ind w:left="224" w:right="191"/>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98" w:type="dxa"/>
          </w:tcPr>
          <w:p w14:paraId="628AC0A3">
            <w:pPr>
              <w:spacing w:before="41"/>
              <w:ind w:left="358" w:right="340"/>
              <w:jc w:val="center"/>
              <w:rPr>
                <w:rFonts w:ascii="Times New Roman" w:hAnsi="Times New Roman" w:eastAsia="Times New Roman" w:cs="Times New Roman"/>
                <w:sz w:val="20"/>
              </w:rPr>
            </w:pPr>
            <w:r>
              <w:rPr>
                <w:rFonts w:ascii="Times New Roman" w:hAnsi="Times New Roman" w:eastAsia="Times New Roman" w:cs="Times New Roman"/>
                <w:spacing w:val="-5"/>
                <w:sz w:val="20"/>
              </w:rPr>
              <w:t>200</w:t>
            </w:r>
          </w:p>
        </w:tc>
        <w:tc>
          <w:tcPr>
            <w:tcW w:w="1106" w:type="dxa"/>
          </w:tcPr>
          <w:p w14:paraId="000D2900">
            <w:pPr>
              <w:spacing w:before="27"/>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528548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15901" w:type="dxa"/>
            <w:gridSpan w:val="12"/>
          </w:tcPr>
          <w:p w14:paraId="2A4FCD57">
            <w:pPr>
              <w:spacing w:before="82"/>
              <w:ind w:left="108"/>
              <w:rPr>
                <w:rFonts w:ascii="宋体" w:hAnsi="Times New Roman" w:eastAsia="宋体" w:cs="Times New Roman"/>
                <w:b/>
                <w:sz w:val="20"/>
              </w:rPr>
            </w:pPr>
            <w:r>
              <w:rPr>
                <w:rFonts w:hint="eastAsia" w:ascii="宋体" w:hAnsi="Times New Roman" w:eastAsia="宋体" w:cs="Times New Roman"/>
                <w:b/>
                <w:w w:val="95"/>
                <w:sz w:val="20"/>
              </w:rPr>
              <w:t>三、科技教</w:t>
            </w:r>
            <w:r>
              <w:rPr>
                <w:rFonts w:hint="eastAsia" w:ascii="宋体" w:hAnsi="Times New Roman" w:eastAsia="宋体" w:cs="Times New Roman"/>
                <w:b/>
                <w:spacing w:val="-10"/>
                <w:w w:val="95"/>
                <w:sz w:val="20"/>
              </w:rPr>
              <w:t>育</w:t>
            </w:r>
          </w:p>
        </w:tc>
      </w:tr>
      <w:tr w14:paraId="553E39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0" w:hRule="atLeast"/>
        </w:trPr>
        <w:tc>
          <w:tcPr>
            <w:tcW w:w="2863" w:type="dxa"/>
          </w:tcPr>
          <w:p w14:paraId="5E36ADB1">
            <w:pPr>
              <w:spacing w:before="27"/>
              <w:ind w:left="178" w:right="159"/>
              <w:jc w:val="center"/>
              <w:rPr>
                <w:rFonts w:ascii="宋体" w:hAnsi="Times New Roman" w:eastAsia="宋体" w:cs="Times New Roman"/>
                <w:sz w:val="20"/>
              </w:rPr>
            </w:pPr>
            <w:r>
              <w:rPr>
                <w:rFonts w:ascii="宋体" w:hAnsi="Times New Roman" w:eastAsia="宋体" w:cs="Times New Roman"/>
                <w:w w:val="95"/>
                <w:sz w:val="20"/>
              </w:rPr>
              <w:t>研究与开发经费占</w:t>
            </w:r>
            <w:r>
              <w:rPr>
                <w:rFonts w:ascii="宋体" w:hAnsi="Times New Roman" w:eastAsia="宋体" w:cs="Times New Roman"/>
                <w:spacing w:val="-5"/>
                <w:sz w:val="20"/>
              </w:rPr>
              <w:t xml:space="preserve"> </w:t>
            </w:r>
            <w:r>
              <w:rPr>
                <w:rFonts w:ascii="Times New Roman" w:hAnsi="Times New Roman" w:eastAsia="Times New Roman" w:cs="Times New Roman"/>
                <w:w w:val="95"/>
                <w:sz w:val="20"/>
              </w:rPr>
              <w:t>GDP</w:t>
            </w:r>
            <w:r>
              <w:rPr>
                <w:rFonts w:ascii="Times New Roman" w:hAnsi="Times New Roman" w:eastAsia="Times New Roman" w:cs="Times New Roman"/>
                <w:spacing w:val="49"/>
                <w:sz w:val="20"/>
              </w:rPr>
              <w:t xml:space="preserve"> </w:t>
            </w:r>
            <w:r>
              <w:rPr>
                <w:rFonts w:ascii="宋体" w:hAnsi="Times New Roman" w:eastAsia="宋体" w:cs="Times New Roman"/>
                <w:w w:val="95"/>
                <w:sz w:val="20"/>
              </w:rPr>
              <w:t>比</w:t>
            </w:r>
            <w:r>
              <w:rPr>
                <w:rFonts w:ascii="宋体" w:hAnsi="Times New Roman" w:eastAsia="宋体" w:cs="Times New Roman"/>
                <w:spacing w:val="-10"/>
                <w:w w:val="95"/>
                <w:sz w:val="20"/>
              </w:rPr>
              <w:t>重</w:t>
            </w:r>
          </w:p>
        </w:tc>
        <w:tc>
          <w:tcPr>
            <w:tcW w:w="800" w:type="dxa"/>
          </w:tcPr>
          <w:p w14:paraId="72B25430">
            <w:pPr>
              <w:spacing w:before="40"/>
              <w:ind w:left="19"/>
              <w:jc w:val="center"/>
              <w:rPr>
                <w:rFonts w:ascii="Times New Roman" w:hAnsi="Times New Roman" w:eastAsia="Times New Roman" w:cs="Times New Roman"/>
                <w:sz w:val="20"/>
              </w:rPr>
            </w:pPr>
            <w:r>
              <w:rPr>
                <w:rFonts w:ascii="Times New Roman" w:hAnsi="Times New Roman" w:eastAsia="Times New Roman" w:cs="Times New Roman"/>
                <w:w w:val="99"/>
                <w:sz w:val="20"/>
              </w:rPr>
              <w:t>%</w:t>
            </w:r>
          </w:p>
        </w:tc>
        <w:tc>
          <w:tcPr>
            <w:tcW w:w="1351" w:type="dxa"/>
          </w:tcPr>
          <w:p w14:paraId="3E549D10">
            <w:pPr>
              <w:spacing w:before="40"/>
              <w:ind w:left="207" w:right="190"/>
              <w:jc w:val="center"/>
              <w:rPr>
                <w:rFonts w:ascii="Times New Roman" w:hAnsi="Times New Roman" w:eastAsia="Times New Roman" w:cs="Times New Roman"/>
                <w:sz w:val="20"/>
              </w:rPr>
            </w:pPr>
            <w:r>
              <w:rPr>
                <w:rFonts w:ascii="Times New Roman" w:hAnsi="Times New Roman" w:eastAsia="Times New Roman" w:cs="Times New Roman"/>
                <w:spacing w:val="-5"/>
                <w:sz w:val="20"/>
              </w:rPr>
              <w:t>1.1</w:t>
            </w:r>
          </w:p>
        </w:tc>
        <w:tc>
          <w:tcPr>
            <w:tcW w:w="1183" w:type="dxa"/>
          </w:tcPr>
          <w:p w14:paraId="4F1A50BE">
            <w:pPr>
              <w:spacing w:before="40"/>
              <w:ind w:left="403" w:right="385"/>
              <w:jc w:val="center"/>
              <w:rPr>
                <w:rFonts w:ascii="Times New Roman" w:hAnsi="Times New Roman" w:eastAsia="Times New Roman" w:cs="Times New Roman"/>
                <w:sz w:val="20"/>
              </w:rPr>
            </w:pPr>
            <w:r>
              <w:rPr>
                <w:rFonts w:ascii="Times New Roman" w:hAnsi="Times New Roman" w:eastAsia="Times New Roman" w:cs="Times New Roman"/>
                <w:spacing w:val="-4"/>
                <w:sz w:val="20"/>
              </w:rPr>
              <w:t>1.00</w:t>
            </w:r>
          </w:p>
        </w:tc>
        <w:tc>
          <w:tcPr>
            <w:tcW w:w="1333" w:type="dxa"/>
          </w:tcPr>
          <w:p w14:paraId="3F98725F">
            <w:pPr>
              <w:spacing w:before="40"/>
              <w:ind w:left="199" w:right="182"/>
              <w:jc w:val="center"/>
              <w:rPr>
                <w:rFonts w:ascii="Times New Roman" w:hAnsi="Times New Roman" w:eastAsia="Times New Roman" w:cs="Times New Roman"/>
                <w:sz w:val="20"/>
              </w:rPr>
            </w:pPr>
            <w:r>
              <w:rPr>
                <w:rFonts w:ascii="Times New Roman" w:hAnsi="Times New Roman" w:eastAsia="Times New Roman" w:cs="Times New Roman"/>
                <w:spacing w:val="-4"/>
                <w:sz w:val="20"/>
              </w:rPr>
              <w:t>1.06</w:t>
            </w:r>
          </w:p>
        </w:tc>
        <w:tc>
          <w:tcPr>
            <w:tcW w:w="1342" w:type="dxa"/>
          </w:tcPr>
          <w:p w14:paraId="56688F2F">
            <w:pPr>
              <w:spacing w:before="40"/>
              <w:ind w:left="61" w:right="41"/>
              <w:jc w:val="center"/>
              <w:rPr>
                <w:rFonts w:ascii="Times New Roman" w:hAnsi="Times New Roman" w:eastAsia="Times New Roman" w:cs="Times New Roman"/>
                <w:sz w:val="20"/>
              </w:rPr>
            </w:pPr>
            <w:r>
              <w:rPr>
                <w:rFonts w:ascii="Times New Roman" w:hAnsi="Times New Roman" w:eastAsia="Times New Roman" w:cs="Times New Roman"/>
                <w:spacing w:val="-4"/>
                <w:sz w:val="20"/>
              </w:rPr>
              <w:t>3.78</w:t>
            </w:r>
          </w:p>
        </w:tc>
        <w:tc>
          <w:tcPr>
            <w:tcW w:w="1643" w:type="dxa"/>
          </w:tcPr>
          <w:p w14:paraId="0449F4C4">
            <w:pPr>
              <w:spacing w:before="40"/>
              <w:ind w:left="71" w:right="36"/>
              <w:jc w:val="center"/>
              <w:rPr>
                <w:rFonts w:ascii="Times New Roman" w:hAnsi="Times New Roman" w:eastAsia="Times New Roman" w:cs="Times New Roman"/>
                <w:sz w:val="20"/>
              </w:rPr>
            </w:pPr>
            <w:r>
              <w:rPr>
                <w:rFonts w:ascii="Times New Roman" w:hAnsi="Times New Roman" w:eastAsia="Times New Roman" w:cs="Times New Roman"/>
                <w:spacing w:val="-4"/>
                <w:sz w:val="20"/>
              </w:rPr>
              <w:t>2.33</w:t>
            </w:r>
          </w:p>
        </w:tc>
        <w:tc>
          <w:tcPr>
            <w:tcW w:w="1321" w:type="dxa"/>
          </w:tcPr>
          <w:p w14:paraId="243FABE4">
            <w:pPr>
              <w:spacing w:before="40"/>
              <w:ind w:left="114" w:right="81"/>
              <w:jc w:val="center"/>
              <w:rPr>
                <w:rFonts w:ascii="Times New Roman" w:hAnsi="Times New Roman" w:eastAsia="Times New Roman" w:cs="Times New Roman"/>
                <w:sz w:val="20"/>
              </w:rPr>
            </w:pPr>
            <w:r>
              <w:rPr>
                <w:rFonts w:ascii="Times New Roman" w:hAnsi="Times New Roman" w:eastAsia="Times New Roman" w:cs="Times New Roman"/>
                <w:spacing w:val="-5"/>
                <w:sz w:val="20"/>
              </w:rPr>
              <w:t>1.4</w:t>
            </w:r>
          </w:p>
        </w:tc>
        <w:tc>
          <w:tcPr>
            <w:tcW w:w="883" w:type="dxa"/>
          </w:tcPr>
          <w:p w14:paraId="39B21582">
            <w:pPr>
              <w:spacing w:before="40"/>
              <w:ind w:left="324"/>
              <w:rPr>
                <w:rFonts w:ascii="Times New Roman" w:hAnsi="Times New Roman" w:eastAsia="Times New Roman" w:cs="Times New Roman"/>
                <w:sz w:val="20"/>
              </w:rPr>
            </w:pPr>
            <w:r>
              <w:rPr>
                <w:rFonts w:ascii="Times New Roman" w:hAnsi="Times New Roman" w:eastAsia="Times New Roman" w:cs="Times New Roman"/>
                <w:spacing w:val="-5"/>
                <w:sz w:val="20"/>
              </w:rPr>
              <w:t>2.5</w:t>
            </w:r>
          </w:p>
        </w:tc>
        <w:tc>
          <w:tcPr>
            <w:tcW w:w="878" w:type="dxa"/>
          </w:tcPr>
          <w:p w14:paraId="7FEFE13B">
            <w:pPr>
              <w:spacing w:before="40"/>
              <w:ind w:left="224" w:right="191"/>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98" w:type="dxa"/>
          </w:tcPr>
          <w:p w14:paraId="30A09FCD">
            <w:pPr>
              <w:spacing w:before="40"/>
              <w:ind w:left="358" w:right="337"/>
              <w:jc w:val="center"/>
              <w:rPr>
                <w:rFonts w:ascii="Times New Roman" w:hAnsi="Times New Roman" w:eastAsia="Times New Roman" w:cs="Times New Roman"/>
                <w:sz w:val="20"/>
              </w:rPr>
            </w:pPr>
            <w:r>
              <w:rPr>
                <w:rFonts w:ascii="Times New Roman" w:hAnsi="Times New Roman" w:eastAsia="Times New Roman" w:cs="Times New Roman"/>
                <w:spacing w:val="-4"/>
                <w:sz w:val="20"/>
              </w:rPr>
              <w:t>56.0</w:t>
            </w:r>
          </w:p>
        </w:tc>
        <w:tc>
          <w:tcPr>
            <w:tcW w:w="1106" w:type="dxa"/>
          </w:tcPr>
          <w:p w14:paraId="1D1F4F9F">
            <w:pPr>
              <w:spacing w:before="27"/>
              <w:ind w:left="156" w:right="137"/>
              <w:jc w:val="center"/>
              <w:rPr>
                <w:rFonts w:ascii="宋体" w:hAnsi="Times New Roman" w:eastAsia="宋体" w:cs="Times New Roman"/>
                <w:sz w:val="20"/>
              </w:rPr>
            </w:pPr>
            <w:r>
              <w:rPr>
                <w:rFonts w:ascii="宋体" w:hAnsi="Times New Roman" w:eastAsia="宋体" w:cs="Times New Roman"/>
                <w:spacing w:val="-4"/>
                <w:w w:val="95"/>
                <w:sz w:val="20"/>
              </w:rPr>
              <w:t>有差距</w:t>
            </w:r>
          </w:p>
        </w:tc>
      </w:tr>
    </w:tbl>
    <w:p w14:paraId="4F3328FF">
      <w:pPr>
        <w:spacing w:before="7"/>
        <w:rPr>
          <w:rFonts w:ascii="黑体"/>
          <w:sz w:val="24"/>
          <w:szCs w:val="32"/>
        </w:rPr>
      </w:pPr>
    </w:p>
    <w:p w14:paraId="78B896C0">
      <w:pPr>
        <w:spacing w:before="64"/>
        <w:ind w:right="1199"/>
        <w:jc w:val="right"/>
        <w:rPr>
          <w:rFonts w:ascii="Calibri"/>
          <w:sz w:val="18"/>
        </w:rPr>
      </w:pPr>
      <w:r>
        <w:rPr>
          <w:rFonts w:ascii="Calibri"/>
          <w:sz w:val="18"/>
        </w:rPr>
        <w:t>-</w:t>
      </w:r>
      <w:r>
        <w:rPr>
          <w:rFonts w:ascii="Calibri"/>
          <w:spacing w:val="-1"/>
          <w:sz w:val="18"/>
        </w:rPr>
        <w:t xml:space="preserve"> </w:t>
      </w:r>
      <w:r>
        <w:rPr>
          <w:rFonts w:ascii="Calibri"/>
          <w:sz w:val="18"/>
        </w:rPr>
        <w:t xml:space="preserve">11 </w:t>
      </w:r>
      <w:r>
        <w:rPr>
          <w:rFonts w:ascii="Calibri"/>
          <w:spacing w:val="-10"/>
          <w:sz w:val="18"/>
        </w:rPr>
        <w:t>-</w:t>
      </w:r>
    </w:p>
    <w:p w14:paraId="12BADA0F">
      <w:pPr>
        <w:jc w:val="right"/>
        <w:rPr>
          <w:rFonts w:ascii="Calibri"/>
          <w:sz w:val="18"/>
        </w:rPr>
        <w:sectPr>
          <w:footerReference r:id="rId11" w:type="default"/>
          <w:pgSz w:w="16840" w:h="11910" w:orient="landscape"/>
          <w:pgMar w:top="1340" w:right="500" w:bottom="280" w:left="200" w:header="0" w:footer="0" w:gutter="0"/>
          <w:cols w:space="720" w:num="1"/>
        </w:sectPr>
      </w:pPr>
    </w:p>
    <w:p w14:paraId="2408D341">
      <w:pPr>
        <w:spacing w:before="5" w:after="1"/>
        <w:rPr>
          <w:rFonts w:ascii="Calibri"/>
          <w:sz w:val="10"/>
          <w:szCs w:val="32"/>
        </w:rPr>
      </w:pPr>
    </w:p>
    <w:tbl>
      <w:tblPr>
        <w:tblStyle w:val="11"/>
        <w:tblW w:w="0" w:type="auto"/>
        <w:tblInd w:w="13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863"/>
        <w:gridCol w:w="800"/>
        <w:gridCol w:w="1351"/>
        <w:gridCol w:w="1183"/>
        <w:gridCol w:w="1333"/>
        <w:gridCol w:w="1342"/>
        <w:gridCol w:w="1658"/>
        <w:gridCol w:w="1306"/>
        <w:gridCol w:w="900"/>
        <w:gridCol w:w="888"/>
        <w:gridCol w:w="1171"/>
        <w:gridCol w:w="1106"/>
      </w:tblGrid>
      <w:tr w14:paraId="18165E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63" w:type="dxa"/>
          </w:tcPr>
          <w:p w14:paraId="019D3132">
            <w:pPr>
              <w:spacing w:before="28"/>
              <w:ind w:left="174" w:right="159"/>
              <w:jc w:val="center"/>
              <w:rPr>
                <w:rFonts w:ascii="宋体" w:hAnsi="Times New Roman" w:eastAsia="宋体" w:cs="Times New Roman"/>
                <w:sz w:val="20"/>
              </w:rPr>
            </w:pPr>
            <w:r>
              <w:rPr>
                <w:rFonts w:ascii="宋体" w:hAnsi="Times New Roman" w:eastAsia="宋体" w:cs="Times New Roman"/>
                <w:w w:val="95"/>
                <w:sz w:val="20"/>
              </w:rPr>
              <w:t>每万人发明专利拥有</w:t>
            </w:r>
            <w:r>
              <w:rPr>
                <w:rFonts w:ascii="宋体" w:hAnsi="Times New Roman" w:eastAsia="宋体" w:cs="Times New Roman"/>
                <w:spacing w:val="-10"/>
                <w:w w:val="95"/>
                <w:sz w:val="20"/>
              </w:rPr>
              <w:t>量</w:t>
            </w:r>
          </w:p>
        </w:tc>
        <w:tc>
          <w:tcPr>
            <w:tcW w:w="800" w:type="dxa"/>
          </w:tcPr>
          <w:p w14:paraId="0674F0B5">
            <w:pPr>
              <w:spacing w:before="28"/>
              <w:ind w:left="19"/>
              <w:jc w:val="center"/>
              <w:rPr>
                <w:rFonts w:ascii="宋体" w:hAnsi="Times New Roman" w:eastAsia="宋体" w:cs="Times New Roman"/>
                <w:sz w:val="20"/>
              </w:rPr>
            </w:pPr>
            <w:r>
              <w:rPr>
                <w:rFonts w:ascii="宋体" w:hAnsi="Times New Roman" w:eastAsia="宋体" w:cs="Times New Roman"/>
                <w:w w:val="99"/>
                <w:sz w:val="20"/>
              </w:rPr>
              <w:t>件</w:t>
            </w:r>
          </w:p>
        </w:tc>
        <w:tc>
          <w:tcPr>
            <w:tcW w:w="1351" w:type="dxa"/>
          </w:tcPr>
          <w:p w14:paraId="4F43034E">
            <w:pPr>
              <w:spacing w:before="41"/>
              <w:ind w:left="15"/>
              <w:jc w:val="center"/>
              <w:rPr>
                <w:rFonts w:ascii="Times New Roman" w:hAnsi="Times New Roman" w:eastAsia="Times New Roman" w:cs="Times New Roman"/>
                <w:sz w:val="20"/>
              </w:rPr>
            </w:pPr>
            <w:r>
              <w:rPr>
                <w:rFonts w:ascii="Times New Roman" w:hAnsi="Times New Roman" w:eastAsia="Times New Roman" w:cs="Times New Roman"/>
                <w:w w:val="99"/>
                <w:sz w:val="20"/>
              </w:rPr>
              <w:t>4</w:t>
            </w:r>
          </w:p>
        </w:tc>
        <w:tc>
          <w:tcPr>
            <w:tcW w:w="1183" w:type="dxa"/>
          </w:tcPr>
          <w:p w14:paraId="58E2AB79">
            <w:pPr>
              <w:spacing w:before="41"/>
              <w:ind w:left="364"/>
              <w:rPr>
                <w:rFonts w:ascii="Times New Roman" w:hAnsi="Times New Roman" w:eastAsia="Times New Roman" w:cs="Times New Roman"/>
                <w:sz w:val="20"/>
              </w:rPr>
            </w:pPr>
            <w:r>
              <w:rPr>
                <w:rFonts w:ascii="Times New Roman" w:hAnsi="Times New Roman" w:eastAsia="Times New Roman" w:cs="Times New Roman"/>
                <w:spacing w:val="-2"/>
                <w:sz w:val="20"/>
              </w:rPr>
              <w:t>10.23</w:t>
            </w:r>
          </w:p>
        </w:tc>
        <w:tc>
          <w:tcPr>
            <w:tcW w:w="1333" w:type="dxa"/>
          </w:tcPr>
          <w:p w14:paraId="0AD91D46">
            <w:pPr>
              <w:spacing w:before="41"/>
              <w:ind w:left="441"/>
              <w:rPr>
                <w:rFonts w:ascii="Times New Roman" w:hAnsi="Times New Roman" w:eastAsia="Times New Roman" w:cs="Times New Roman"/>
                <w:sz w:val="20"/>
              </w:rPr>
            </w:pPr>
            <w:r>
              <w:rPr>
                <w:rFonts w:ascii="Times New Roman" w:hAnsi="Times New Roman" w:eastAsia="Times New Roman" w:cs="Times New Roman"/>
                <w:spacing w:val="-2"/>
                <w:sz w:val="20"/>
              </w:rPr>
              <w:t>11.41</w:t>
            </w:r>
          </w:p>
        </w:tc>
        <w:tc>
          <w:tcPr>
            <w:tcW w:w="1342" w:type="dxa"/>
          </w:tcPr>
          <w:p w14:paraId="4644B183">
            <w:pPr>
              <w:spacing w:before="41"/>
              <w:ind w:left="61" w:right="43"/>
              <w:jc w:val="center"/>
              <w:rPr>
                <w:rFonts w:ascii="Times New Roman" w:hAnsi="Times New Roman" w:eastAsia="Times New Roman" w:cs="Times New Roman"/>
                <w:sz w:val="20"/>
              </w:rPr>
            </w:pPr>
            <w:r>
              <w:rPr>
                <w:rFonts w:ascii="Times New Roman" w:hAnsi="Times New Roman" w:eastAsia="Times New Roman" w:cs="Times New Roman"/>
                <w:spacing w:val="-2"/>
                <w:sz w:val="20"/>
              </w:rPr>
              <w:t>14.02</w:t>
            </w:r>
          </w:p>
        </w:tc>
        <w:tc>
          <w:tcPr>
            <w:tcW w:w="1658" w:type="dxa"/>
          </w:tcPr>
          <w:p w14:paraId="545AD970">
            <w:pPr>
              <w:spacing w:before="41"/>
              <w:ind w:left="642" w:right="622"/>
              <w:jc w:val="center"/>
              <w:rPr>
                <w:rFonts w:ascii="Times New Roman" w:hAnsi="Times New Roman" w:eastAsia="Times New Roman" w:cs="Times New Roman"/>
                <w:sz w:val="20"/>
              </w:rPr>
            </w:pPr>
            <w:r>
              <w:rPr>
                <w:rFonts w:ascii="Times New Roman" w:hAnsi="Times New Roman" w:eastAsia="Times New Roman" w:cs="Times New Roman"/>
                <w:spacing w:val="-4"/>
                <w:sz w:val="20"/>
              </w:rPr>
              <w:t>15.5</w:t>
            </w:r>
          </w:p>
        </w:tc>
        <w:tc>
          <w:tcPr>
            <w:tcW w:w="1306" w:type="dxa"/>
          </w:tcPr>
          <w:p w14:paraId="3C547847">
            <w:pPr>
              <w:spacing w:before="41"/>
              <w:ind w:left="465" w:right="447"/>
              <w:jc w:val="center"/>
              <w:rPr>
                <w:rFonts w:ascii="Times New Roman" w:hAnsi="Times New Roman" w:eastAsia="Times New Roman" w:cs="Times New Roman"/>
                <w:sz w:val="20"/>
              </w:rPr>
            </w:pPr>
            <w:r>
              <w:rPr>
                <w:rFonts w:ascii="Times New Roman" w:hAnsi="Times New Roman" w:eastAsia="Times New Roman" w:cs="Times New Roman"/>
                <w:spacing w:val="-4"/>
                <w:sz w:val="20"/>
              </w:rPr>
              <w:t>15.7</w:t>
            </w:r>
          </w:p>
        </w:tc>
        <w:tc>
          <w:tcPr>
            <w:tcW w:w="900" w:type="dxa"/>
          </w:tcPr>
          <w:p w14:paraId="0F97066D">
            <w:pPr>
              <w:spacing w:before="41"/>
              <w:ind w:right="379"/>
              <w:jc w:val="right"/>
              <w:rPr>
                <w:rFonts w:ascii="Times New Roman" w:hAnsi="Times New Roman" w:eastAsia="Times New Roman" w:cs="Times New Roman"/>
                <w:sz w:val="20"/>
              </w:rPr>
            </w:pPr>
            <w:r>
              <w:rPr>
                <w:rFonts w:ascii="Times New Roman" w:hAnsi="Times New Roman" w:eastAsia="Times New Roman" w:cs="Times New Roman"/>
                <w:w w:val="99"/>
                <w:sz w:val="20"/>
              </w:rPr>
              <w:t>6</w:t>
            </w:r>
          </w:p>
        </w:tc>
        <w:tc>
          <w:tcPr>
            <w:tcW w:w="888" w:type="dxa"/>
          </w:tcPr>
          <w:p w14:paraId="2FDE33C7">
            <w:pPr>
              <w:spacing w:before="41"/>
              <w:ind w:left="320" w:right="328"/>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71" w:type="dxa"/>
          </w:tcPr>
          <w:p w14:paraId="7A752B43">
            <w:pPr>
              <w:spacing w:before="41"/>
              <w:ind w:left="332" w:right="338"/>
              <w:jc w:val="center"/>
              <w:rPr>
                <w:rFonts w:ascii="Times New Roman" w:hAnsi="Times New Roman" w:eastAsia="Times New Roman" w:cs="Times New Roman"/>
                <w:sz w:val="20"/>
              </w:rPr>
            </w:pPr>
            <w:r>
              <w:rPr>
                <w:rFonts w:ascii="Times New Roman" w:hAnsi="Times New Roman" w:eastAsia="Times New Roman" w:cs="Times New Roman"/>
                <w:spacing w:val="-2"/>
                <w:sz w:val="20"/>
              </w:rPr>
              <w:t>261.7</w:t>
            </w:r>
          </w:p>
        </w:tc>
        <w:tc>
          <w:tcPr>
            <w:tcW w:w="1106" w:type="dxa"/>
          </w:tcPr>
          <w:p w14:paraId="7C099E99">
            <w:pPr>
              <w:spacing w:before="28"/>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25D46E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863" w:type="dxa"/>
          </w:tcPr>
          <w:p w14:paraId="2D25C5EC">
            <w:pPr>
              <w:spacing w:before="27"/>
              <w:ind w:left="174" w:right="159"/>
              <w:jc w:val="center"/>
              <w:rPr>
                <w:rFonts w:ascii="宋体" w:hAnsi="Times New Roman" w:eastAsia="宋体" w:cs="Times New Roman"/>
                <w:sz w:val="20"/>
              </w:rPr>
            </w:pPr>
            <w:r>
              <w:rPr>
                <w:rFonts w:ascii="宋体" w:hAnsi="Times New Roman" w:eastAsia="宋体" w:cs="Times New Roman"/>
                <w:w w:val="95"/>
                <w:sz w:val="20"/>
              </w:rPr>
              <w:t>高中阶段教育毛入学</w:t>
            </w:r>
            <w:r>
              <w:rPr>
                <w:rFonts w:ascii="宋体" w:hAnsi="Times New Roman" w:eastAsia="宋体" w:cs="Times New Roman"/>
                <w:spacing w:val="-10"/>
                <w:w w:val="95"/>
                <w:sz w:val="20"/>
              </w:rPr>
              <w:t>率</w:t>
            </w:r>
          </w:p>
        </w:tc>
        <w:tc>
          <w:tcPr>
            <w:tcW w:w="800" w:type="dxa"/>
          </w:tcPr>
          <w:p w14:paraId="1D26AF7A">
            <w:pPr>
              <w:spacing w:before="40"/>
              <w:ind w:left="19"/>
              <w:jc w:val="center"/>
              <w:rPr>
                <w:rFonts w:ascii="Times New Roman" w:hAnsi="Times New Roman" w:eastAsia="Times New Roman" w:cs="Times New Roman"/>
                <w:sz w:val="20"/>
              </w:rPr>
            </w:pPr>
            <w:r>
              <w:rPr>
                <w:rFonts w:ascii="Times New Roman" w:hAnsi="Times New Roman" w:eastAsia="Times New Roman" w:cs="Times New Roman"/>
                <w:w w:val="99"/>
                <w:sz w:val="20"/>
              </w:rPr>
              <w:t>%</w:t>
            </w:r>
          </w:p>
        </w:tc>
        <w:tc>
          <w:tcPr>
            <w:tcW w:w="1351" w:type="dxa"/>
          </w:tcPr>
          <w:p w14:paraId="70268C65">
            <w:pPr>
              <w:spacing w:before="40"/>
              <w:ind w:left="210" w:right="190"/>
              <w:jc w:val="center"/>
              <w:rPr>
                <w:rFonts w:ascii="Times New Roman" w:hAnsi="Times New Roman" w:eastAsia="Times New Roman" w:cs="Times New Roman"/>
                <w:sz w:val="20"/>
              </w:rPr>
            </w:pPr>
            <w:r>
              <w:rPr>
                <w:rFonts w:ascii="Times New Roman" w:hAnsi="Times New Roman" w:eastAsia="Times New Roman" w:cs="Times New Roman"/>
                <w:spacing w:val="-5"/>
                <w:sz w:val="20"/>
              </w:rPr>
              <w:t>95</w:t>
            </w:r>
          </w:p>
        </w:tc>
        <w:tc>
          <w:tcPr>
            <w:tcW w:w="1183" w:type="dxa"/>
          </w:tcPr>
          <w:p w14:paraId="11E4FDEC">
            <w:pPr>
              <w:spacing w:before="40"/>
              <w:ind w:left="414"/>
              <w:rPr>
                <w:rFonts w:ascii="Times New Roman" w:hAnsi="Times New Roman" w:eastAsia="Times New Roman" w:cs="Times New Roman"/>
                <w:sz w:val="20"/>
              </w:rPr>
            </w:pPr>
            <w:r>
              <w:rPr>
                <w:rFonts w:ascii="Times New Roman" w:hAnsi="Times New Roman" w:eastAsia="Times New Roman" w:cs="Times New Roman"/>
                <w:spacing w:val="-4"/>
                <w:sz w:val="20"/>
              </w:rPr>
              <w:t>95.7</w:t>
            </w:r>
          </w:p>
        </w:tc>
        <w:tc>
          <w:tcPr>
            <w:tcW w:w="1333" w:type="dxa"/>
          </w:tcPr>
          <w:p w14:paraId="18EE0AB2">
            <w:pPr>
              <w:spacing w:before="40"/>
              <w:ind w:left="489"/>
              <w:rPr>
                <w:rFonts w:ascii="Times New Roman" w:hAnsi="Times New Roman" w:eastAsia="Times New Roman" w:cs="Times New Roman"/>
                <w:sz w:val="20"/>
              </w:rPr>
            </w:pPr>
            <w:r>
              <w:rPr>
                <w:rFonts w:ascii="Times New Roman" w:hAnsi="Times New Roman" w:eastAsia="Times New Roman" w:cs="Times New Roman"/>
                <w:spacing w:val="-4"/>
                <w:sz w:val="20"/>
              </w:rPr>
              <w:t>96.3</w:t>
            </w:r>
          </w:p>
        </w:tc>
        <w:tc>
          <w:tcPr>
            <w:tcW w:w="1342" w:type="dxa"/>
          </w:tcPr>
          <w:p w14:paraId="7F1D1ED5">
            <w:pPr>
              <w:spacing w:before="40"/>
              <w:ind w:left="61" w:right="41"/>
              <w:jc w:val="center"/>
              <w:rPr>
                <w:rFonts w:ascii="Times New Roman" w:hAnsi="Times New Roman" w:eastAsia="Times New Roman" w:cs="Times New Roman"/>
                <w:sz w:val="20"/>
              </w:rPr>
            </w:pPr>
            <w:r>
              <w:rPr>
                <w:rFonts w:ascii="Times New Roman" w:hAnsi="Times New Roman" w:eastAsia="Times New Roman" w:cs="Times New Roman"/>
                <w:spacing w:val="-4"/>
                <w:sz w:val="20"/>
              </w:rPr>
              <w:t>93.7</w:t>
            </w:r>
          </w:p>
        </w:tc>
        <w:tc>
          <w:tcPr>
            <w:tcW w:w="1658" w:type="dxa"/>
          </w:tcPr>
          <w:p w14:paraId="1B34DF39">
            <w:pPr>
              <w:spacing w:before="40"/>
              <w:ind w:left="642" w:right="622"/>
              <w:jc w:val="center"/>
              <w:rPr>
                <w:rFonts w:ascii="Times New Roman" w:hAnsi="Times New Roman" w:eastAsia="Times New Roman" w:cs="Times New Roman"/>
                <w:sz w:val="20"/>
              </w:rPr>
            </w:pPr>
            <w:r>
              <w:rPr>
                <w:rFonts w:ascii="Times New Roman" w:hAnsi="Times New Roman" w:eastAsia="Times New Roman" w:cs="Times New Roman"/>
                <w:spacing w:val="-4"/>
                <w:sz w:val="20"/>
              </w:rPr>
              <w:t>93.7</w:t>
            </w:r>
          </w:p>
        </w:tc>
        <w:tc>
          <w:tcPr>
            <w:tcW w:w="1306" w:type="dxa"/>
          </w:tcPr>
          <w:p w14:paraId="56643B56">
            <w:pPr>
              <w:spacing w:before="40"/>
              <w:ind w:left="465" w:right="445"/>
              <w:jc w:val="center"/>
              <w:rPr>
                <w:rFonts w:ascii="Times New Roman" w:hAnsi="Times New Roman" w:eastAsia="Times New Roman" w:cs="Times New Roman"/>
                <w:sz w:val="20"/>
              </w:rPr>
            </w:pPr>
            <w:r>
              <w:rPr>
                <w:rFonts w:ascii="Times New Roman" w:hAnsi="Times New Roman" w:eastAsia="Times New Roman" w:cs="Times New Roman"/>
                <w:spacing w:val="-5"/>
                <w:sz w:val="20"/>
              </w:rPr>
              <w:t>98</w:t>
            </w:r>
          </w:p>
        </w:tc>
        <w:tc>
          <w:tcPr>
            <w:tcW w:w="900" w:type="dxa"/>
          </w:tcPr>
          <w:p w14:paraId="5E4543D5">
            <w:pPr>
              <w:spacing w:before="40"/>
              <w:ind w:right="328"/>
              <w:jc w:val="right"/>
              <w:rPr>
                <w:rFonts w:ascii="Times New Roman" w:hAnsi="Times New Roman" w:eastAsia="Times New Roman" w:cs="Times New Roman"/>
                <w:sz w:val="20"/>
              </w:rPr>
            </w:pPr>
            <w:r>
              <w:rPr>
                <w:rFonts w:ascii="Times New Roman" w:hAnsi="Times New Roman" w:eastAsia="Times New Roman" w:cs="Times New Roman"/>
                <w:spacing w:val="-5"/>
                <w:sz w:val="20"/>
              </w:rPr>
              <w:t>95</w:t>
            </w:r>
          </w:p>
        </w:tc>
        <w:tc>
          <w:tcPr>
            <w:tcW w:w="888" w:type="dxa"/>
          </w:tcPr>
          <w:p w14:paraId="22482A4E">
            <w:pPr>
              <w:spacing w:before="40"/>
              <w:ind w:left="320" w:right="328"/>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71" w:type="dxa"/>
          </w:tcPr>
          <w:p w14:paraId="458BC9B4">
            <w:pPr>
              <w:spacing w:before="40"/>
              <w:ind w:left="332" w:right="338"/>
              <w:jc w:val="center"/>
              <w:rPr>
                <w:rFonts w:ascii="Times New Roman" w:hAnsi="Times New Roman" w:eastAsia="Times New Roman" w:cs="Times New Roman"/>
                <w:sz w:val="20"/>
              </w:rPr>
            </w:pPr>
            <w:r>
              <w:rPr>
                <w:rFonts w:ascii="Times New Roman" w:hAnsi="Times New Roman" w:eastAsia="Times New Roman" w:cs="Times New Roman"/>
                <w:spacing w:val="-2"/>
                <w:sz w:val="20"/>
              </w:rPr>
              <w:t>103.2</w:t>
            </w:r>
          </w:p>
        </w:tc>
        <w:tc>
          <w:tcPr>
            <w:tcW w:w="1106" w:type="dxa"/>
          </w:tcPr>
          <w:p w14:paraId="1EC5D04A">
            <w:pPr>
              <w:spacing w:before="27"/>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200057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15901" w:type="dxa"/>
            <w:gridSpan w:val="12"/>
          </w:tcPr>
          <w:p w14:paraId="61AC09C9">
            <w:pPr>
              <w:spacing w:before="82"/>
              <w:ind w:left="108"/>
              <w:rPr>
                <w:rFonts w:ascii="宋体" w:hAnsi="Times New Roman" w:eastAsia="宋体" w:cs="Times New Roman"/>
                <w:b/>
                <w:sz w:val="20"/>
              </w:rPr>
            </w:pPr>
            <w:r>
              <w:rPr>
                <w:rFonts w:hint="eastAsia" w:ascii="宋体" w:hAnsi="Times New Roman" w:eastAsia="宋体" w:cs="Times New Roman"/>
                <w:b/>
                <w:w w:val="95"/>
                <w:sz w:val="20"/>
              </w:rPr>
              <w:t>四、资源环</w:t>
            </w:r>
            <w:r>
              <w:rPr>
                <w:rFonts w:hint="eastAsia" w:ascii="宋体" w:hAnsi="Times New Roman" w:eastAsia="宋体" w:cs="Times New Roman"/>
                <w:b/>
                <w:spacing w:val="-10"/>
                <w:w w:val="95"/>
                <w:sz w:val="20"/>
              </w:rPr>
              <w:t>境</w:t>
            </w:r>
          </w:p>
        </w:tc>
      </w:tr>
      <w:tr w14:paraId="0D59C5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63" w:type="dxa"/>
          </w:tcPr>
          <w:p w14:paraId="482066C1">
            <w:pPr>
              <w:spacing w:before="29"/>
              <w:ind w:left="176" w:right="159"/>
              <w:jc w:val="center"/>
              <w:rPr>
                <w:rFonts w:ascii="宋体" w:hAnsi="Times New Roman" w:eastAsia="宋体" w:cs="Times New Roman"/>
                <w:sz w:val="20"/>
              </w:rPr>
            </w:pPr>
            <w:r>
              <w:rPr>
                <w:rFonts w:ascii="宋体" w:hAnsi="Times New Roman" w:eastAsia="宋体" w:cs="Times New Roman"/>
                <w:w w:val="95"/>
                <w:sz w:val="20"/>
              </w:rPr>
              <w:t>耕地保有</w:t>
            </w:r>
            <w:r>
              <w:rPr>
                <w:rFonts w:ascii="宋体" w:hAnsi="Times New Roman" w:eastAsia="宋体" w:cs="Times New Roman"/>
                <w:spacing w:val="-10"/>
                <w:w w:val="95"/>
                <w:sz w:val="20"/>
              </w:rPr>
              <w:t>量</w:t>
            </w:r>
          </w:p>
        </w:tc>
        <w:tc>
          <w:tcPr>
            <w:tcW w:w="800" w:type="dxa"/>
          </w:tcPr>
          <w:p w14:paraId="1E12C38C">
            <w:pPr>
              <w:spacing w:before="29"/>
              <w:ind w:left="188" w:right="172"/>
              <w:jc w:val="center"/>
              <w:rPr>
                <w:rFonts w:ascii="宋体" w:hAnsi="Times New Roman" w:eastAsia="宋体" w:cs="Times New Roman"/>
                <w:sz w:val="20"/>
              </w:rPr>
            </w:pPr>
            <w:r>
              <w:rPr>
                <w:rFonts w:ascii="宋体" w:hAnsi="Times New Roman" w:eastAsia="宋体" w:cs="Times New Roman"/>
                <w:w w:val="95"/>
                <w:sz w:val="20"/>
              </w:rPr>
              <w:t>万</w:t>
            </w:r>
            <w:r>
              <w:rPr>
                <w:rFonts w:ascii="宋体" w:hAnsi="Times New Roman" w:eastAsia="宋体" w:cs="Times New Roman"/>
                <w:spacing w:val="-10"/>
                <w:sz w:val="20"/>
              </w:rPr>
              <w:t>亩</w:t>
            </w:r>
          </w:p>
        </w:tc>
        <w:tc>
          <w:tcPr>
            <w:tcW w:w="1351" w:type="dxa"/>
          </w:tcPr>
          <w:p w14:paraId="50E485A2">
            <w:pPr>
              <w:spacing w:before="35"/>
              <w:ind w:right="469"/>
              <w:jc w:val="right"/>
              <w:rPr>
                <w:rFonts w:ascii="Times New Roman" w:hAnsi="Times New Roman" w:eastAsia="Times New Roman" w:cs="Times New Roman"/>
                <w:sz w:val="21"/>
              </w:rPr>
            </w:pPr>
            <w:r>
              <w:rPr>
                <w:rFonts w:ascii="Times New Roman" w:hAnsi="Times New Roman" w:eastAsia="Times New Roman" w:cs="Times New Roman"/>
                <w:spacing w:val="-4"/>
                <w:sz w:val="21"/>
              </w:rPr>
              <w:t>12.6</w:t>
            </w:r>
          </w:p>
        </w:tc>
        <w:tc>
          <w:tcPr>
            <w:tcW w:w="1183" w:type="dxa"/>
          </w:tcPr>
          <w:p w14:paraId="69E78565">
            <w:pPr>
              <w:spacing w:before="35"/>
              <w:ind w:left="359"/>
              <w:rPr>
                <w:rFonts w:ascii="Times New Roman" w:hAnsi="Times New Roman" w:eastAsia="Times New Roman" w:cs="Times New Roman"/>
                <w:sz w:val="21"/>
              </w:rPr>
            </w:pPr>
            <w:r>
              <w:rPr>
                <w:rFonts w:ascii="Times New Roman" w:hAnsi="Times New Roman" w:eastAsia="Times New Roman" w:cs="Times New Roman"/>
                <w:spacing w:val="-2"/>
                <w:sz w:val="21"/>
              </w:rPr>
              <w:t>11.34</w:t>
            </w:r>
          </w:p>
        </w:tc>
        <w:tc>
          <w:tcPr>
            <w:tcW w:w="1333" w:type="dxa"/>
          </w:tcPr>
          <w:p w14:paraId="71F562F5">
            <w:pPr>
              <w:spacing w:before="35"/>
              <w:ind w:left="434"/>
              <w:rPr>
                <w:rFonts w:ascii="Times New Roman" w:hAnsi="Times New Roman" w:eastAsia="Times New Roman" w:cs="Times New Roman"/>
                <w:sz w:val="21"/>
              </w:rPr>
            </w:pPr>
            <w:r>
              <w:rPr>
                <w:rFonts w:ascii="Times New Roman" w:hAnsi="Times New Roman" w:eastAsia="Times New Roman" w:cs="Times New Roman"/>
                <w:spacing w:val="-2"/>
                <w:sz w:val="21"/>
              </w:rPr>
              <w:t>11.78</w:t>
            </w:r>
          </w:p>
        </w:tc>
        <w:tc>
          <w:tcPr>
            <w:tcW w:w="4306" w:type="dxa"/>
            <w:gridSpan w:val="3"/>
          </w:tcPr>
          <w:p w14:paraId="6DE24717">
            <w:pPr>
              <w:spacing w:before="29"/>
              <w:ind w:left="1566" w:right="1550"/>
              <w:jc w:val="center"/>
              <w:rPr>
                <w:rFonts w:ascii="宋体" w:hAnsi="Times New Roman" w:eastAsia="宋体" w:cs="Times New Roman"/>
                <w:sz w:val="20"/>
              </w:rPr>
            </w:pPr>
            <w:r>
              <w:rPr>
                <w:rFonts w:ascii="宋体" w:hAnsi="Times New Roman" w:eastAsia="宋体" w:cs="Times New Roman"/>
                <w:w w:val="95"/>
                <w:sz w:val="20"/>
              </w:rPr>
              <w:t>完成下达</w:t>
            </w:r>
            <w:r>
              <w:rPr>
                <w:rFonts w:ascii="宋体" w:hAnsi="Times New Roman" w:eastAsia="宋体" w:cs="Times New Roman"/>
                <w:spacing w:val="-5"/>
                <w:w w:val="95"/>
                <w:sz w:val="20"/>
              </w:rPr>
              <w:t>指标</w:t>
            </w:r>
          </w:p>
        </w:tc>
        <w:tc>
          <w:tcPr>
            <w:tcW w:w="1788" w:type="dxa"/>
            <w:gridSpan w:val="2"/>
          </w:tcPr>
          <w:p w14:paraId="1CCE2163">
            <w:pPr>
              <w:spacing w:before="29"/>
              <w:ind w:left="305"/>
              <w:rPr>
                <w:rFonts w:ascii="宋体" w:hAnsi="Times New Roman" w:eastAsia="宋体" w:cs="Times New Roman"/>
                <w:sz w:val="20"/>
              </w:rPr>
            </w:pPr>
            <w:r>
              <w:rPr>
                <w:rFonts w:ascii="宋体" w:hAnsi="Times New Roman" w:eastAsia="宋体" w:cs="Times New Roman"/>
                <w:w w:val="95"/>
                <w:sz w:val="20"/>
              </w:rPr>
              <w:t>完成下达</w:t>
            </w:r>
            <w:r>
              <w:rPr>
                <w:rFonts w:ascii="宋体" w:hAnsi="Times New Roman" w:eastAsia="宋体" w:cs="Times New Roman"/>
                <w:spacing w:val="-5"/>
                <w:w w:val="95"/>
                <w:sz w:val="20"/>
              </w:rPr>
              <w:t>指标</w:t>
            </w:r>
          </w:p>
        </w:tc>
        <w:tc>
          <w:tcPr>
            <w:tcW w:w="1171" w:type="dxa"/>
          </w:tcPr>
          <w:p w14:paraId="2AE39953">
            <w:pPr>
              <w:spacing w:before="42"/>
              <w:ind w:left="332" w:right="286"/>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106" w:type="dxa"/>
          </w:tcPr>
          <w:p w14:paraId="787DCE21">
            <w:pPr>
              <w:spacing w:before="29"/>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7274C2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2863" w:type="dxa"/>
          </w:tcPr>
          <w:p w14:paraId="47E916FB">
            <w:pPr>
              <w:spacing w:before="1"/>
              <w:rPr>
                <w:rFonts w:ascii="Calibri" w:hAnsi="Times New Roman" w:eastAsia="Times New Roman" w:cs="Times New Roman"/>
                <w:sz w:val="15"/>
              </w:rPr>
            </w:pPr>
          </w:p>
          <w:p w14:paraId="542368CF">
            <w:pPr>
              <w:ind w:left="174" w:right="159"/>
              <w:jc w:val="center"/>
              <w:rPr>
                <w:rFonts w:ascii="宋体" w:hAnsi="Times New Roman" w:eastAsia="宋体" w:cs="Times New Roman"/>
                <w:sz w:val="20"/>
              </w:rPr>
            </w:pPr>
            <w:r>
              <w:rPr>
                <w:rFonts w:ascii="宋体" w:hAnsi="Times New Roman" w:eastAsia="宋体" w:cs="Times New Roman"/>
                <w:w w:val="95"/>
                <w:sz w:val="20"/>
              </w:rPr>
              <w:t>万元生产总值综合能</w:t>
            </w:r>
            <w:r>
              <w:rPr>
                <w:rFonts w:ascii="宋体" w:hAnsi="Times New Roman" w:eastAsia="宋体" w:cs="Times New Roman"/>
                <w:spacing w:val="-10"/>
                <w:w w:val="95"/>
                <w:sz w:val="20"/>
              </w:rPr>
              <w:t>耗</w:t>
            </w:r>
          </w:p>
        </w:tc>
        <w:tc>
          <w:tcPr>
            <w:tcW w:w="800" w:type="dxa"/>
          </w:tcPr>
          <w:p w14:paraId="6D78ADEE">
            <w:pPr>
              <w:spacing w:before="21"/>
              <w:ind w:left="189"/>
              <w:rPr>
                <w:rFonts w:ascii="宋体" w:hAnsi="Times New Roman" w:eastAsia="宋体" w:cs="Times New Roman"/>
                <w:sz w:val="21"/>
              </w:rPr>
            </w:pPr>
            <w:r>
              <w:rPr>
                <w:rFonts w:ascii="宋体" w:hAnsi="Times New Roman" w:eastAsia="宋体" w:cs="Times New Roman"/>
                <w:w w:val="95"/>
                <w:sz w:val="21"/>
              </w:rPr>
              <w:t>吨</w:t>
            </w:r>
            <w:r>
              <w:rPr>
                <w:rFonts w:ascii="宋体" w:hAnsi="Times New Roman" w:eastAsia="宋体" w:cs="Times New Roman"/>
                <w:spacing w:val="-10"/>
                <w:sz w:val="21"/>
              </w:rPr>
              <w:t>标</w:t>
            </w:r>
          </w:p>
          <w:p w14:paraId="49B57068">
            <w:pPr>
              <w:spacing w:before="42"/>
              <w:ind w:left="189"/>
              <w:rPr>
                <w:rFonts w:ascii="宋体" w:hAnsi="Times New Roman" w:eastAsia="宋体" w:cs="Times New Roman"/>
                <w:sz w:val="21"/>
              </w:rPr>
            </w:pPr>
            <w:r>
              <w:rPr>
                <w:rFonts w:ascii="宋体" w:hAnsi="Times New Roman" w:eastAsia="宋体" w:cs="Times New Roman"/>
                <w:w w:val="95"/>
                <w:sz w:val="21"/>
              </w:rPr>
              <w:t>准</w:t>
            </w:r>
            <w:r>
              <w:rPr>
                <w:rFonts w:ascii="宋体" w:hAnsi="Times New Roman" w:eastAsia="宋体" w:cs="Times New Roman"/>
                <w:spacing w:val="-10"/>
                <w:sz w:val="21"/>
              </w:rPr>
              <w:t>煤</w:t>
            </w:r>
          </w:p>
        </w:tc>
        <w:tc>
          <w:tcPr>
            <w:tcW w:w="1351" w:type="dxa"/>
          </w:tcPr>
          <w:p w14:paraId="50A623D1">
            <w:pPr>
              <w:spacing w:before="190"/>
              <w:ind w:right="416"/>
              <w:jc w:val="right"/>
              <w:rPr>
                <w:rFonts w:ascii="Times New Roman" w:hAnsi="Times New Roman" w:eastAsia="Times New Roman" w:cs="Times New Roman"/>
                <w:sz w:val="21"/>
              </w:rPr>
            </w:pPr>
            <w:r>
              <w:rPr>
                <w:rFonts w:ascii="Times New Roman" w:hAnsi="Times New Roman" w:eastAsia="Times New Roman" w:cs="Times New Roman"/>
                <w:spacing w:val="-2"/>
                <w:sz w:val="21"/>
              </w:rPr>
              <w:t>0.358</w:t>
            </w:r>
          </w:p>
        </w:tc>
        <w:tc>
          <w:tcPr>
            <w:tcW w:w="1183" w:type="dxa"/>
          </w:tcPr>
          <w:p w14:paraId="10B8E132">
            <w:pPr>
              <w:spacing w:before="190"/>
              <w:ind w:left="354"/>
              <w:rPr>
                <w:rFonts w:ascii="Times New Roman" w:hAnsi="Times New Roman" w:eastAsia="Times New Roman" w:cs="Times New Roman"/>
                <w:sz w:val="21"/>
              </w:rPr>
            </w:pPr>
            <w:r>
              <w:rPr>
                <w:rFonts w:ascii="Times New Roman" w:hAnsi="Times New Roman" w:eastAsia="Times New Roman" w:cs="Times New Roman"/>
                <w:spacing w:val="-2"/>
                <w:sz w:val="21"/>
              </w:rPr>
              <w:t>0.336</w:t>
            </w:r>
          </w:p>
        </w:tc>
        <w:tc>
          <w:tcPr>
            <w:tcW w:w="1333" w:type="dxa"/>
          </w:tcPr>
          <w:p w14:paraId="1FA3ED98">
            <w:pPr>
              <w:spacing w:before="190"/>
              <w:ind w:left="482"/>
              <w:rPr>
                <w:rFonts w:ascii="Times New Roman" w:hAnsi="Times New Roman" w:eastAsia="Times New Roman" w:cs="Times New Roman"/>
                <w:sz w:val="21"/>
              </w:rPr>
            </w:pPr>
            <w:r>
              <w:rPr>
                <w:rFonts w:ascii="Times New Roman" w:hAnsi="Times New Roman" w:eastAsia="Times New Roman" w:cs="Times New Roman"/>
                <w:spacing w:val="-4"/>
                <w:sz w:val="21"/>
              </w:rPr>
              <w:t>0.32</w:t>
            </w:r>
          </w:p>
        </w:tc>
        <w:tc>
          <w:tcPr>
            <w:tcW w:w="1342" w:type="dxa"/>
          </w:tcPr>
          <w:p w14:paraId="6EDE9D0F">
            <w:pPr>
              <w:spacing w:before="197"/>
              <w:ind w:left="61" w:right="40"/>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2964" w:type="dxa"/>
            <w:gridSpan w:val="2"/>
          </w:tcPr>
          <w:p w14:paraId="6D3C352B">
            <w:pPr>
              <w:spacing w:before="190"/>
              <w:ind w:left="1179" w:right="1159"/>
              <w:jc w:val="center"/>
              <w:rPr>
                <w:rFonts w:ascii="Times New Roman" w:hAnsi="Times New Roman" w:eastAsia="Times New Roman" w:cs="Times New Roman"/>
                <w:sz w:val="21"/>
              </w:rPr>
            </w:pPr>
            <w:r>
              <w:rPr>
                <w:rFonts w:ascii="Times New Roman" w:hAnsi="Times New Roman" w:eastAsia="Times New Roman" w:cs="Times New Roman"/>
                <w:spacing w:val="-2"/>
                <w:sz w:val="21"/>
              </w:rPr>
              <w:t>0.2713</w:t>
            </w:r>
          </w:p>
        </w:tc>
        <w:tc>
          <w:tcPr>
            <w:tcW w:w="1788" w:type="dxa"/>
            <w:gridSpan w:val="2"/>
          </w:tcPr>
          <w:p w14:paraId="39D0A20A">
            <w:pPr>
              <w:spacing w:before="1"/>
              <w:rPr>
                <w:rFonts w:ascii="Calibri" w:hAnsi="Times New Roman" w:eastAsia="Times New Roman" w:cs="Times New Roman"/>
                <w:sz w:val="15"/>
              </w:rPr>
            </w:pPr>
          </w:p>
          <w:p w14:paraId="13E5375F">
            <w:pPr>
              <w:ind w:left="305"/>
              <w:rPr>
                <w:rFonts w:ascii="宋体" w:hAnsi="Times New Roman" w:eastAsia="宋体" w:cs="Times New Roman"/>
                <w:sz w:val="20"/>
              </w:rPr>
            </w:pPr>
            <w:r>
              <w:rPr>
                <w:rFonts w:ascii="宋体" w:hAnsi="Times New Roman" w:eastAsia="宋体" w:cs="Times New Roman"/>
                <w:w w:val="95"/>
                <w:sz w:val="20"/>
              </w:rPr>
              <w:t>完成下达</w:t>
            </w:r>
            <w:r>
              <w:rPr>
                <w:rFonts w:ascii="宋体" w:hAnsi="Times New Roman" w:eastAsia="宋体" w:cs="Times New Roman"/>
                <w:spacing w:val="-5"/>
                <w:w w:val="95"/>
                <w:sz w:val="20"/>
              </w:rPr>
              <w:t>指标</w:t>
            </w:r>
          </w:p>
        </w:tc>
        <w:tc>
          <w:tcPr>
            <w:tcW w:w="1171" w:type="dxa"/>
          </w:tcPr>
          <w:p w14:paraId="5B89F3E7">
            <w:pPr>
              <w:spacing w:before="197"/>
              <w:ind w:left="332" w:right="286"/>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106" w:type="dxa"/>
          </w:tcPr>
          <w:p w14:paraId="565ECE31">
            <w:pPr>
              <w:spacing w:before="1"/>
              <w:rPr>
                <w:rFonts w:ascii="Calibri" w:hAnsi="Times New Roman" w:eastAsia="Times New Roman" w:cs="Times New Roman"/>
                <w:sz w:val="15"/>
              </w:rPr>
            </w:pPr>
          </w:p>
          <w:p w14:paraId="0E190F83">
            <w:pPr>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657EE5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9" w:hRule="atLeast"/>
        </w:trPr>
        <w:tc>
          <w:tcPr>
            <w:tcW w:w="2863" w:type="dxa"/>
          </w:tcPr>
          <w:p w14:paraId="045D0F2A">
            <w:pPr>
              <w:spacing w:before="42"/>
              <w:ind w:left="176" w:right="159"/>
              <w:jc w:val="center"/>
              <w:rPr>
                <w:rFonts w:ascii="宋体" w:hAnsi="Times New Roman" w:eastAsia="宋体" w:cs="Times New Roman"/>
                <w:sz w:val="20"/>
              </w:rPr>
            </w:pPr>
            <w:r>
              <w:rPr>
                <w:rFonts w:ascii="宋体" w:hAnsi="Times New Roman" w:eastAsia="宋体" w:cs="Times New Roman"/>
                <w:w w:val="95"/>
                <w:sz w:val="20"/>
              </w:rPr>
              <w:t>人均公共绿地面</w:t>
            </w:r>
            <w:r>
              <w:rPr>
                <w:rFonts w:ascii="宋体" w:hAnsi="Times New Roman" w:eastAsia="宋体" w:cs="Times New Roman"/>
                <w:spacing w:val="-10"/>
                <w:w w:val="95"/>
                <w:sz w:val="20"/>
              </w:rPr>
              <w:t>积</w:t>
            </w:r>
          </w:p>
        </w:tc>
        <w:tc>
          <w:tcPr>
            <w:tcW w:w="800" w:type="dxa"/>
          </w:tcPr>
          <w:p w14:paraId="011B673F">
            <w:pPr>
              <w:spacing w:before="42"/>
              <w:ind w:left="188" w:right="172"/>
              <w:jc w:val="center"/>
              <w:rPr>
                <w:rFonts w:ascii="宋体" w:hAnsi="Times New Roman" w:eastAsia="宋体" w:cs="Times New Roman"/>
                <w:sz w:val="20"/>
              </w:rPr>
            </w:pPr>
            <w:r>
              <w:rPr>
                <w:rFonts w:ascii="宋体" w:hAnsi="Times New Roman" w:eastAsia="宋体" w:cs="Times New Roman"/>
                <w:w w:val="95"/>
                <w:sz w:val="20"/>
              </w:rPr>
              <w:t>平</w:t>
            </w:r>
            <w:r>
              <w:rPr>
                <w:rFonts w:ascii="宋体" w:hAnsi="Times New Roman" w:eastAsia="宋体" w:cs="Times New Roman"/>
                <w:spacing w:val="-10"/>
                <w:sz w:val="20"/>
              </w:rPr>
              <w:t>米</w:t>
            </w:r>
          </w:p>
        </w:tc>
        <w:tc>
          <w:tcPr>
            <w:tcW w:w="1351" w:type="dxa"/>
          </w:tcPr>
          <w:p w14:paraId="13549D14">
            <w:pPr>
              <w:spacing w:before="48"/>
              <w:ind w:left="210" w:right="190"/>
              <w:jc w:val="center"/>
              <w:rPr>
                <w:rFonts w:ascii="Times New Roman" w:hAnsi="Times New Roman" w:eastAsia="Times New Roman" w:cs="Times New Roman"/>
                <w:sz w:val="21"/>
              </w:rPr>
            </w:pPr>
            <w:r>
              <w:rPr>
                <w:rFonts w:ascii="Times New Roman" w:hAnsi="Times New Roman" w:eastAsia="Times New Roman" w:cs="Times New Roman"/>
                <w:spacing w:val="-5"/>
                <w:sz w:val="21"/>
              </w:rPr>
              <w:t>16</w:t>
            </w:r>
          </w:p>
        </w:tc>
        <w:tc>
          <w:tcPr>
            <w:tcW w:w="6822" w:type="dxa"/>
            <w:gridSpan w:val="5"/>
          </w:tcPr>
          <w:p w14:paraId="301ABCCB">
            <w:pPr>
              <w:spacing w:before="34"/>
              <w:ind w:left="2797" w:right="2779"/>
              <w:jc w:val="center"/>
              <w:rPr>
                <w:rFonts w:ascii="宋体" w:hAnsi="Times New Roman" w:eastAsia="宋体" w:cs="Times New Roman"/>
                <w:sz w:val="21"/>
              </w:rPr>
            </w:pPr>
            <w:r>
              <w:rPr>
                <w:rFonts w:ascii="宋体" w:hAnsi="Times New Roman" w:eastAsia="宋体" w:cs="Times New Roman"/>
                <w:spacing w:val="-2"/>
                <w:w w:val="95"/>
                <w:sz w:val="21"/>
              </w:rPr>
              <w:t>完成下达指标</w:t>
            </w:r>
          </w:p>
        </w:tc>
        <w:tc>
          <w:tcPr>
            <w:tcW w:w="1788" w:type="dxa"/>
            <w:gridSpan w:val="2"/>
          </w:tcPr>
          <w:p w14:paraId="0CC98364">
            <w:pPr>
              <w:spacing w:before="42"/>
              <w:ind w:left="305"/>
              <w:rPr>
                <w:rFonts w:ascii="宋体" w:hAnsi="Times New Roman" w:eastAsia="宋体" w:cs="Times New Roman"/>
                <w:sz w:val="20"/>
              </w:rPr>
            </w:pPr>
            <w:r>
              <w:rPr>
                <w:rFonts w:ascii="宋体" w:hAnsi="Times New Roman" w:eastAsia="宋体" w:cs="Times New Roman"/>
                <w:w w:val="95"/>
                <w:sz w:val="20"/>
              </w:rPr>
              <w:t>完成下达</w:t>
            </w:r>
            <w:r>
              <w:rPr>
                <w:rFonts w:ascii="宋体" w:hAnsi="Times New Roman" w:eastAsia="宋体" w:cs="Times New Roman"/>
                <w:spacing w:val="-5"/>
                <w:w w:val="95"/>
                <w:sz w:val="20"/>
              </w:rPr>
              <w:t>指标</w:t>
            </w:r>
          </w:p>
        </w:tc>
        <w:tc>
          <w:tcPr>
            <w:tcW w:w="1171" w:type="dxa"/>
          </w:tcPr>
          <w:p w14:paraId="29C241AC">
            <w:pPr>
              <w:spacing w:before="55"/>
              <w:ind w:left="332" w:right="286"/>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106" w:type="dxa"/>
          </w:tcPr>
          <w:p w14:paraId="1C5E375E">
            <w:pPr>
              <w:spacing w:before="42"/>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78102E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63" w:type="dxa"/>
          </w:tcPr>
          <w:p w14:paraId="502817BC">
            <w:pPr>
              <w:spacing w:before="28"/>
              <w:ind w:left="176" w:right="159"/>
              <w:jc w:val="center"/>
              <w:rPr>
                <w:rFonts w:ascii="宋体" w:hAnsi="Times New Roman" w:eastAsia="宋体" w:cs="Times New Roman"/>
                <w:sz w:val="20"/>
              </w:rPr>
            </w:pPr>
            <w:r>
              <w:rPr>
                <w:rFonts w:ascii="宋体" w:hAnsi="Times New Roman" w:eastAsia="宋体" w:cs="Times New Roman"/>
                <w:w w:val="95"/>
                <w:sz w:val="20"/>
              </w:rPr>
              <w:t>主要污染物排放</w:t>
            </w:r>
            <w:r>
              <w:rPr>
                <w:rFonts w:ascii="宋体" w:hAnsi="Times New Roman" w:eastAsia="宋体" w:cs="Times New Roman"/>
                <w:spacing w:val="-5"/>
                <w:w w:val="95"/>
                <w:sz w:val="20"/>
              </w:rPr>
              <w:t>强度</w:t>
            </w:r>
          </w:p>
        </w:tc>
        <w:tc>
          <w:tcPr>
            <w:tcW w:w="800" w:type="dxa"/>
          </w:tcPr>
          <w:p w14:paraId="2D235E11">
            <w:pPr>
              <w:spacing w:before="42"/>
              <w:ind w:left="19"/>
              <w:jc w:val="center"/>
              <w:rPr>
                <w:rFonts w:ascii="Times New Roman" w:hAnsi="Times New Roman" w:eastAsia="Times New Roman" w:cs="Times New Roman"/>
                <w:sz w:val="20"/>
              </w:rPr>
            </w:pPr>
            <w:r>
              <w:rPr>
                <w:rFonts w:ascii="Times New Roman" w:hAnsi="Times New Roman" w:eastAsia="Times New Roman" w:cs="Times New Roman"/>
                <w:w w:val="99"/>
                <w:sz w:val="20"/>
              </w:rPr>
              <w:t>%</w:t>
            </w:r>
          </w:p>
        </w:tc>
        <w:tc>
          <w:tcPr>
            <w:tcW w:w="1351" w:type="dxa"/>
          </w:tcPr>
          <w:p w14:paraId="40DC72B0">
            <w:pPr>
              <w:spacing w:before="42"/>
              <w:ind w:left="208" w:right="190"/>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6822" w:type="dxa"/>
            <w:gridSpan w:val="5"/>
          </w:tcPr>
          <w:p w14:paraId="6428B2D6">
            <w:pPr>
              <w:spacing w:before="21"/>
              <w:ind w:left="2797" w:right="2779"/>
              <w:jc w:val="center"/>
              <w:rPr>
                <w:rFonts w:ascii="宋体" w:hAnsi="Times New Roman" w:eastAsia="宋体" w:cs="Times New Roman"/>
                <w:sz w:val="21"/>
              </w:rPr>
            </w:pPr>
            <w:r>
              <w:rPr>
                <w:rFonts w:ascii="宋体" w:hAnsi="Times New Roman" w:eastAsia="宋体" w:cs="Times New Roman"/>
                <w:spacing w:val="-2"/>
                <w:w w:val="95"/>
                <w:sz w:val="21"/>
              </w:rPr>
              <w:t>完成下达指标</w:t>
            </w:r>
          </w:p>
        </w:tc>
        <w:tc>
          <w:tcPr>
            <w:tcW w:w="1788" w:type="dxa"/>
            <w:gridSpan w:val="2"/>
          </w:tcPr>
          <w:p w14:paraId="0861A0F9">
            <w:pPr>
              <w:spacing w:before="28"/>
              <w:ind w:left="305"/>
              <w:rPr>
                <w:rFonts w:ascii="宋体" w:hAnsi="Times New Roman" w:eastAsia="宋体" w:cs="Times New Roman"/>
                <w:sz w:val="20"/>
              </w:rPr>
            </w:pPr>
            <w:r>
              <w:rPr>
                <w:rFonts w:ascii="宋体" w:hAnsi="Times New Roman" w:eastAsia="宋体" w:cs="Times New Roman"/>
                <w:w w:val="95"/>
                <w:sz w:val="20"/>
              </w:rPr>
              <w:t>完成下达</w:t>
            </w:r>
            <w:r>
              <w:rPr>
                <w:rFonts w:ascii="宋体" w:hAnsi="Times New Roman" w:eastAsia="宋体" w:cs="Times New Roman"/>
                <w:spacing w:val="-5"/>
                <w:w w:val="95"/>
                <w:sz w:val="20"/>
              </w:rPr>
              <w:t>指标</w:t>
            </w:r>
          </w:p>
        </w:tc>
        <w:tc>
          <w:tcPr>
            <w:tcW w:w="1171" w:type="dxa"/>
          </w:tcPr>
          <w:p w14:paraId="24693325">
            <w:pPr>
              <w:spacing w:before="42"/>
              <w:ind w:left="332" w:right="286"/>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106" w:type="dxa"/>
          </w:tcPr>
          <w:p w14:paraId="72DBDF3D">
            <w:pPr>
              <w:spacing w:before="28"/>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589339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63" w:type="dxa"/>
          </w:tcPr>
          <w:p w14:paraId="1FCE406F">
            <w:pPr>
              <w:spacing w:before="27"/>
              <w:ind w:left="176" w:right="159"/>
              <w:jc w:val="center"/>
              <w:rPr>
                <w:rFonts w:ascii="宋体" w:hAnsi="Times New Roman" w:eastAsia="宋体" w:cs="Times New Roman"/>
                <w:sz w:val="20"/>
              </w:rPr>
            </w:pPr>
            <w:r>
              <w:rPr>
                <w:rFonts w:ascii="宋体" w:hAnsi="Times New Roman" w:eastAsia="宋体" w:cs="Times New Roman"/>
                <w:w w:val="95"/>
                <w:sz w:val="20"/>
              </w:rPr>
              <w:t>重要水功能区水质达标</w:t>
            </w:r>
            <w:r>
              <w:rPr>
                <w:rFonts w:ascii="宋体" w:hAnsi="Times New Roman" w:eastAsia="宋体" w:cs="Times New Roman"/>
                <w:spacing w:val="-10"/>
                <w:w w:val="95"/>
                <w:sz w:val="20"/>
              </w:rPr>
              <w:t>率</w:t>
            </w:r>
          </w:p>
        </w:tc>
        <w:tc>
          <w:tcPr>
            <w:tcW w:w="800" w:type="dxa"/>
          </w:tcPr>
          <w:p w14:paraId="468A95CD">
            <w:pPr>
              <w:spacing w:before="41"/>
              <w:ind w:left="19"/>
              <w:jc w:val="center"/>
              <w:rPr>
                <w:rFonts w:ascii="Times New Roman" w:hAnsi="Times New Roman" w:eastAsia="Times New Roman" w:cs="Times New Roman"/>
                <w:sz w:val="20"/>
              </w:rPr>
            </w:pPr>
            <w:r>
              <w:rPr>
                <w:rFonts w:ascii="Times New Roman" w:hAnsi="Times New Roman" w:eastAsia="Times New Roman" w:cs="Times New Roman"/>
                <w:w w:val="99"/>
                <w:sz w:val="20"/>
              </w:rPr>
              <w:t>%</w:t>
            </w:r>
          </w:p>
        </w:tc>
        <w:tc>
          <w:tcPr>
            <w:tcW w:w="1351" w:type="dxa"/>
          </w:tcPr>
          <w:p w14:paraId="4DA1AB25">
            <w:pPr>
              <w:spacing w:before="41"/>
              <w:ind w:left="208" w:right="190"/>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6822" w:type="dxa"/>
            <w:gridSpan w:val="5"/>
          </w:tcPr>
          <w:p w14:paraId="4E2F83D5">
            <w:pPr>
              <w:spacing w:before="52"/>
              <w:ind w:left="2797" w:right="2778"/>
              <w:jc w:val="center"/>
              <w:rPr>
                <w:rFonts w:ascii="Times New Roman" w:hAnsi="Times New Roman" w:eastAsia="Times New Roman" w:cs="Times New Roman"/>
                <w:sz w:val="18"/>
              </w:rPr>
            </w:pPr>
            <w:r>
              <w:rPr>
                <w:rFonts w:ascii="Times New Roman" w:hAnsi="Times New Roman" w:eastAsia="Times New Roman" w:cs="Times New Roman"/>
                <w:spacing w:val="-5"/>
                <w:sz w:val="18"/>
              </w:rPr>
              <w:t>100</w:t>
            </w:r>
          </w:p>
        </w:tc>
        <w:tc>
          <w:tcPr>
            <w:tcW w:w="1788" w:type="dxa"/>
            <w:gridSpan w:val="2"/>
          </w:tcPr>
          <w:p w14:paraId="0FE1509B">
            <w:pPr>
              <w:spacing w:before="41"/>
              <w:ind w:left="744" w:right="698"/>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171" w:type="dxa"/>
          </w:tcPr>
          <w:p w14:paraId="51DE160F">
            <w:pPr>
              <w:spacing w:before="41"/>
              <w:ind w:left="332" w:right="286"/>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106" w:type="dxa"/>
          </w:tcPr>
          <w:p w14:paraId="50012FCA">
            <w:pPr>
              <w:spacing w:before="27"/>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23EAD3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863" w:type="dxa"/>
          </w:tcPr>
          <w:p w14:paraId="2308BA39">
            <w:pPr>
              <w:spacing w:before="29"/>
              <w:ind w:left="176" w:right="159"/>
              <w:jc w:val="center"/>
              <w:rPr>
                <w:rFonts w:ascii="宋体" w:hAnsi="Times New Roman" w:eastAsia="宋体" w:cs="Times New Roman"/>
                <w:sz w:val="20"/>
              </w:rPr>
            </w:pPr>
            <w:r>
              <w:rPr>
                <w:rFonts w:ascii="宋体" w:hAnsi="Times New Roman" w:eastAsia="宋体" w:cs="Times New Roman"/>
                <w:w w:val="95"/>
                <w:sz w:val="20"/>
              </w:rPr>
              <w:t>环境质量</w:t>
            </w:r>
            <w:r>
              <w:rPr>
                <w:rFonts w:ascii="宋体" w:hAnsi="Times New Roman" w:eastAsia="宋体" w:cs="Times New Roman"/>
                <w:spacing w:val="-5"/>
                <w:w w:val="95"/>
                <w:sz w:val="20"/>
              </w:rPr>
              <w:t>指数</w:t>
            </w:r>
          </w:p>
        </w:tc>
        <w:tc>
          <w:tcPr>
            <w:tcW w:w="800" w:type="dxa"/>
          </w:tcPr>
          <w:p w14:paraId="20DCF25A">
            <w:pPr>
              <w:spacing w:before="42"/>
              <w:ind w:left="19"/>
              <w:jc w:val="center"/>
              <w:rPr>
                <w:rFonts w:ascii="Times New Roman" w:hAnsi="Times New Roman" w:eastAsia="Times New Roman" w:cs="Times New Roman"/>
                <w:sz w:val="20"/>
              </w:rPr>
            </w:pPr>
            <w:r>
              <w:rPr>
                <w:rFonts w:ascii="Times New Roman" w:hAnsi="Times New Roman" w:eastAsia="Times New Roman" w:cs="Times New Roman"/>
                <w:w w:val="99"/>
                <w:sz w:val="20"/>
              </w:rPr>
              <w:t>%</w:t>
            </w:r>
          </w:p>
        </w:tc>
        <w:tc>
          <w:tcPr>
            <w:tcW w:w="1351" w:type="dxa"/>
          </w:tcPr>
          <w:p w14:paraId="574A31C6">
            <w:pPr>
              <w:spacing w:before="42"/>
              <w:ind w:left="210" w:right="190"/>
              <w:jc w:val="center"/>
              <w:rPr>
                <w:rFonts w:ascii="Times New Roman" w:hAnsi="Times New Roman" w:eastAsia="Times New Roman" w:cs="Times New Roman"/>
                <w:sz w:val="20"/>
              </w:rPr>
            </w:pPr>
            <w:r>
              <w:rPr>
                <w:rFonts w:ascii="Times New Roman" w:hAnsi="Times New Roman" w:eastAsia="Times New Roman" w:cs="Times New Roman"/>
                <w:spacing w:val="-5"/>
                <w:sz w:val="20"/>
              </w:rPr>
              <w:t>80</w:t>
            </w:r>
          </w:p>
        </w:tc>
        <w:tc>
          <w:tcPr>
            <w:tcW w:w="6822" w:type="dxa"/>
            <w:gridSpan w:val="5"/>
          </w:tcPr>
          <w:p w14:paraId="546452EB">
            <w:pPr>
              <w:spacing w:before="22"/>
              <w:ind w:left="2797" w:right="2779"/>
              <w:jc w:val="center"/>
              <w:rPr>
                <w:rFonts w:ascii="宋体" w:hAnsi="Times New Roman" w:eastAsia="宋体" w:cs="Times New Roman"/>
                <w:sz w:val="21"/>
              </w:rPr>
            </w:pPr>
            <w:r>
              <w:rPr>
                <w:rFonts w:ascii="宋体" w:hAnsi="Times New Roman" w:eastAsia="宋体" w:cs="Times New Roman"/>
                <w:spacing w:val="-2"/>
                <w:w w:val="95"/>
                <w:sz w:val="21"/>
              </w:rPr>
              <w:t>完成下达指标</w:t>
            </w:r>
          </w:p>
        </w:tc>
        <w:tc>
          <w:tcPr>
            <w:tcW w:w="1788" w:type="dxa"/>
            <w:gridSpan w:val="2"/>
          </w:tcPr>
          <w:p w14:paraId="27CDE0FB">
            <w:pPr>
              <w:spacing w:before="42"/>
              <w:ind w:left="744" w:right="698"/>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171" w:type="dxa"/>
          </w:tcPr>
          <w:p w14:paraId="203CCE55">
            <w:pPr>
              <w:spacing w:before="42"/>
              <w:ind w:left="332" w:right="286"/>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106" w:type="dxa"/>
          </w:tcPr>
          <w:p w14:paraId="57C461DA">
            <w:pPr>
              <w:spacing w:before="29"/>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bl>
    <w:p w14:paraId="02B7C733"/>
    <w:p w14:paraId="0776A899">
      <w:pPr>
        <w:spacing w:before="27"/>
        <w:ind w:left="1544" w:right="1699"/>
        <w:jc w:val="center"/>
        <w:outlineLvl w:val="0"/>
        <w:rPr>
          <w:rFonts w:ascii="宋体" w:hAnsi="Microsoft JhengHei" w:eastAsia="宋体" w:cs="Microsoft JhengHei"/>
          <w:b/>
          <w:bCs/>
          <w:sz w:val="32"/>
          <w:szCs w:val="32"/>
        </w:rPr>
      </w:pPr>
      <w:r>
        <w:rPr>
          <w:rFonts w:hint="eastAsia" w:ascii="宋体" w:hAnsi="Microsoft JhengHei" w:eastAsia="宋体" w:cs="Microsoft JhengHei"/>
          <w:b/>
          <w:bCs/>
          <w:sz w:val="32"/>
          <w:szCs w:val="32"/>
        </w:rPr>
        <w:t>第二</w:t>
      </w:r>
      <w:r>
        <w:rPr>
          <w:rFonts w:hint="eastAsia" w:ascii="宋体" w:hAnsi="Microsoft JhengHei" w:eastAsia="宋体" w:cs="Microsoft JhengHei"/>
          <w:b/>
          <w:bCs/>
          <w:spacing w:val="44"/>
          <w:sz w:val="32"/>
          <w:szCs w:val="32"/>
        </w:rPr>
        <w:t>节 新</w:t>
      </w:r>
      <w:r>
        <w:rPr>
          <w:rFonts w:hint="eastAsia" w:ascii="宋体" w:hAnsi="Microsoft JhengHei" w:eastAsia="宋体" w:cs="Microsoft JhengHei"/>
          <w:b/>
          <w:bCs/>
          <w:sz w:val="32"/>
          <w:szCs w:val="32"/>
        </w:rPr>
        <w:t>发展阶段面临的新机遇和新挑</w:t>
      </w:r>
      <w:r>
        <w:rPr>
          <w:rFonts w:hint="eastAsia" w:ascii="宋体" w:hAnsi="Microsoft JhengHei" w:eastAsia="宋体" w:cs="Microsoft JhengHei"/>
          <w:b/>
          <w:bCs/>
          <w:spacing w:val="-10"/>
          <w:sz w:val="32"/>
          <w:szCs w:val="32"/>
        </w:rPr>
        <w:t>战</w:t>
      </w:r>
    </w:p>
    <w:p w14:paraId="6E2EB917">
      <w:pPr>
        <w:spacing w:before="1"/>
        <w:rPr>
          <w:rFonts w:ascii="宋体"/>
          <w:b/>
          <w:iCs/>
          <w:sz w:val="25"/>
          <w:szCs w:val="32"/>
        </w:rPr>
      </w:pPr>
    </w:p>
    <w:p w14:paraId="117F9A73">
      <w:pPr>
        <w:spacing w:line="338" w:lineRule="auto"/>
        <w:ind w:left="113" w:right="114" w:firstLine="640"/>
        <w:rPr>
          <w:i/>
          <w:iCs/>
          <w:sz w:val="32"/>
          <w:szCs w:val="32"/>
        </w:rPr>
      </w:pPr>
      <w:r>
        <w:rPr>
          <w:i/>
          <w:iCs/>
          <w:w w:val="99"/>
          <w:sz w:val="32"/>
          <w:szCs w:val="32"/>
        </w:rPr>
        <w:t>当今世界面临百年未有之大变局，我国已转向高质量发展新</w:t>
      </w:r>
      <w:r>
        <w:rPr>
          <w:i/>
          <w:iCs/>
          <w:spacing w:val="-12"/>
          <w:w w:val="99"/>
          <w:sz w:val="32"/>
          <w:szCs w:val="32"/>
        </w:rPr>
        <w:t>阶段。深刻认识国内外环境变化带来的新矛盾新挑战，抓住机遇，</w:t>
      </w:r>
      <w:r>
        <w:rPr>
          <w:i/>
          <w:iCs/>
          <w:spacing w:val="5"/>
          <w:w w:val="99"/>
          <w:sz w:val="32"/>
          <w:szCs w:val="32"/>
        </w:rPr>
        <w:t>应对挑战，对于金凤区“十四五”经济社会发展和</w:t>
      </w:r>
      <w:r>
        <w:rPr>
          <w:i/>
          <w:iCs/>
          <w:spacing w:val="-71"/>
          <w:sz w:val="32"/>
          <w:szCs w:val="32"/>
        </w:rPr>
        <w:t xml:space="preserve"> </w:t>
      </w:r>
      <w:r>
        <w:rPr>
          <w:rFonts w:ascii="Times New Roman" w:hAnsi="Times New Roman" w:eastAsia="Times New Roman"/>
          <w:iCs/>
          <w:spacing w:val="1"/>
          <w:w w:val="99"/>
          <w:sz w:val="32"/>
          <w:szCs w:val="32"/>
        </w:rPr>
        <w:t>20</w:t>
      </w:r>
      <w:r>
        <w:rPr>
          <w:rFonts w:ascii="Times New Roman" w:hAnsi="Times New Roman" w:eastAsia="Times New Roman"/>
          <w:iCs/>
          <w:spacing w:val="-2"/>
          <w:w w:val="99"/>
          <w:sz w:val="32"/>
          <w:szCs w:val="32"/>
        </w:rPr>
        <w:t>3</w:t>
      </w:r>
      <w:r>
        <w:rPr>
          <w:rFonts w:ascii="Times New Roman" w:hAnsi="Times New Roman" w:eastAsia="Times New Roman"/>
          <w:iCs/>
          <w:w w:val="99"/>
          <w:sz w:val="32"/>
          <w:szCs w:val="32"/>
        </w:rPr>
        <w:t>5</w:t>
      </w:r>
      <w:r>
        <w:rPr>
          <w:rFonts w:ascii="Times New Roman" w:hAnsi="Times New Roman" w:eastAsia="Times New Roman"/>
          <w:iCs/>
          <w:spacing w:val="5"/>
          <w:sz w:val="32"/>
          <w:szCs w:val="32"/>
        </w:rPr>
        <w:t xml:space="preserve"> </w:t>
      </w:r>
      <w:r>
        <w:rPr>
          <w:i/>
          <w:iCs/>
          <w:spacing w:val="4"/>
          <w:w w:val="99"/>
          <w:sz w:val="32"/>
          <w:szCs w:val="32"/>
        </w:rPr>
        <w:t>年远景</w:t>
      </w:r>
      <w:r>
        <w:rPr>
          <w:i/>
          <w:iCs/>
          <w:w w:val="99"/>
          <w:sz w:val="32"/>
          <w:szCs w:val="32"/>
        </w:rPr>
        <w:t>目标实现具有重要意义。</w:t>
      </w:r>
    </w:p>
    <w:p w14:paraId="6754E140">
      <w:pPr>
        <w:spacing w:line="402" w:lineRule="exact"/>
        <w:ind w:left="754"/>
        <w:rPr>
          <w:rFonts w:ascii="黑体" w:eastAsia="黑体"/>
          <w:sz w:val="32"/>
        </w:rPr>
      </w:pPr>
      <w:r>
        <w:rPr>
          <w:rFonts w:ascii="黑体" w:eastAsia="黑体"/>
          <w:w w:val="95"/>
          <w:sz w:val="32"/>
        </w:rPr>
        <w:t>一、发展</w:t>
      </w:r>
      <w:r>
        <w:rPr>
          <w:rFonts w:ascii="黑体" w:eastAsia="黑体"/>
          <w:spacing w:val="-5"/>
          <w:w w:val="95"/>
          <w:sz w:val="32"/>
        </w:rPr>
        <w:t>机遇</w:t>
      </w:r>
    </w:p>
    <w:p w14:paraId="3E524C49">
      <w:pPr>
        <w:spacing w:before="61"/>
        <w:ind w:left="754"/>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w w:val="95"/>
          <w:sz w:val="32"/>
          <w:szCs w:val="32"/>
        </w:rPr>
        <w:t>（一）全面建成小康社会奠定高质量发展坚实基</w:t>
      </w:r>
      <w:r>
        <w:rPr>
          <w:rFonts w:ascii="Microsoft JhengHei" w:hAnsi="Microsoft JhengHei" w:eastAsia="Microsoft JhengHei" w:cs="Microsoft JhengHei"/>
          <w:b/>
          <w:bCs/>
          <w:spacing w:val="-10"/>
          <w:w w:val="95"/>
          <w:sz w:val="32"/>
          <w:szCs w:val="32"/>
        </w:rPr>
        <w:t>础</w:t>
      </w:r>
    </w:p>
    <w:p w14:paraId="764565E8">
      <w:pPr>
        <w:spacing w:before="98" w:line="338" w:lineRule="auto"/>
        <w:ind w:left="113" w:right="269" w:firstLine="640"/>
        <w:jc w:val="both"/>
        <w:rPr>
          <w:i/>
          <w:iCs/>
          <w:sz w:val="32"/>
          <w:szCs w:val="32"/>
        </w:rPr>
      </w:pPr>
      <w:r>
        <w:rPr>
          <w:i/>
          <w:iCs/>
          <w:w w:val="99"/>
          <w:sz w:val="32"/>
          <w:szCs w:val="32"/>
        </w:rPr>
        <w:t>我国将在“十四五”时期步入全面小康社会，金凤区已经实现了全面建成小康社会目标，这将为“十四五”经济社会迈向高质量发展奠定坚实的基础。同时，我国人均地区生产总值突破</w:t>
      </w:r>
      <w:r>
        <w:rPr>
          <w:i/>
          <w:iCs/>
          <w:spacing w:val="-81"/>
          <w:sz w:val="32"/>
          <w:szCs w:val="32"/>
        </w:rPr>
        <w:t xml:space="preserve"> </w:t>
      </w:r>
      <w:r>
        <w:rPr>
          <w:rFonts w:ascii="Times New Roman" w:hAnsi="Times New Roman" w:eastAsia="Times New Roman"/>
          <w:iCs/>
          <w:w w:val="99"/>
          <w:sz w:val="32"/>
          <w:szCs w:val="32"/>
        </w:rPr>
        <w:t>1</w:t>
      </w:r>
      <w:r>
        <w:rPr>
          <w:i/>
          <w:iCs/>
          <w:w w:val="99"/>
          <w:sz w:val="32"/>
          <w:szCs w:val="32"/>
        </w:rPr>
        <w:t>万美元大关，人民生活水平进一步提高，人民群众消费需求将不断升级。特别是居民消费水平提高和老龄社会即将到来，居民需求多层次、多样化趋势明显，旅游、文化、教育、体育、养老等领域消费需求将持续释放，金凤区将迎来休闲旅游、文化娱乐、健康养老、医疗服务等高层次、高品质的生活性服务业快速增长带来新的契机。</w:t>
      </w:r>
    </w:p>
    <w:p w14:paraId="5F6369DE">
      <w:pPr>
        <w:spacing w:line="500" w:lineRule="exact"/>
        <w:ind w:left="754"/>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w w:val="95"/>
          <w:sz w:val="32"/>
          <w:szCs w:val="32"/>
        </w:rPr>
        <w:t>（二）新一轮科技革命和产业变革注入发展新动</w:t>
      </w:r>
      <w:r>
        <w:rPr>
          <w:rFonts w:ascii="Microsoft JhengHei" w:hAnsi="Microsoft JhengHei" w:eastAsia="Microsoft JhengHei" w:cs="Microsoft JhengHei"/>
          <w:b/>
          <w:bCs/>
          <w:spacing w:val="-10"/>
          <w:w w:val="95"/>
          <w:sz w:val="32"/>
          <w:szCs w:val="32"/>
        </w:rPr>
        <w:t>能</w:t>
      </w:r>
    </w:p>
    <w:p w14:paraId="03E15BC5">
      <w:pPr>
        <w:spacing w:before="98" w:line="338" w:lineRule="auto"/>
        <w:ind w:left="113" w:right="271" w:firstLine="640"/>
        <w:jc w:val="both"/>
        <w:rPr>
          <w:i/>
          <w:iCs/>
          <w:sz w:val="32"/>
          <w:szCs w:val="32"/>
        </w:rPr>
      </w:pPr>
      <w:r>
        <w:rPr>
          <w:i/>
          <w:iCs/>
          <w:spacing w:val="11"/>
          <w:w w:val="99"/>
          <w:sz w:val="32"/>
          <w:szCs w:val="32"/>
        </w:rPr>
        <w:t>新一轮科技革命和产业变革将重新塑造全球生产模式和服</w:t>
      </w:r>
      <w:r>
        <w:rPr>
          <w:i/>
          <w:iCs/>
          <w:w w:val="99"/>
          <w:sz w:val="32"/>
          <w:szCs w:val="32"/>
        </w:rPr>
        <w:t>务业态，推动传统生产方式和商业模式变革，大数据、云计算、物联网、区块链、人工智能等前沿技术领域将跨越发展，以“互</w:t>
      </w:r>
      <w:r>
        <w:rPr>
          <w:i/>
          <w:iCs/>
          <w:spacing w:val="6"/>
          <w:w w:val="99"/>
          <w:sz w:val="32"/>
          <w:szCs w:val="32"/>
        </w:rPr>
        <w:t>联网</w:t>
      </w:r>
      <w:r>
        <w:rPr>
          <w:rFonts w:ascii="Times New Roman" w:hAnsi="Times New Roman" w:eastAsia="Times New Roman"/>
          <w:iCs/>
          <w:spacing w:val="4"/>
          <w:w w:val="99"/>
          <w:sz w:val="32"/>
          <w:szCs w:val="32"/>
        </w:rPr>
        <w:t>+</w:t>
      </w:r>
      <w:r>
        <w:rPr>
          <w:i/>
          <w:iCs/>
          <w:spacing w:val="4"/>
          <w:w w:val="99"/>
          <w:sz w:val="32"/>
          <w:szCs w:val="32"/>
        </w:rPr>
        <w:t>”为代表的平台经济将加速发展，为金凤区做大做强实体</w:t>
      </w:r>
      <w:r>
        <w:rPr>
          <w:i/>
          <w:iCs/>
          <w:w w:val="99"/>
          <w:sz w:val="32"/>
          <w:szCs w:val="32"/>
        </w:rPr>
        <w:t>经济、全面优化升级产业体系、推动产业智能化、数字化转型提供难得机遇，也为数字经济跨越式发展提供难得的窗口期。</w:t>
      </w:r>
    </w:p>
    <w:p w14:paraId="7F4AB6F1">
      <w:pPr>
        <w:spacing w:line="338" w:lineRule="auto"/>
        <w:jc w:val="both"/>
        <w:sectPr>
          <w:footerReference r:id="rId12" w:type="default"/>
          <w:footerReference r:id="rId13" w:type="even"/>
          <w:pgSz w:w="11910" w:h="16840"/>
          <w:pgMar w:top="1820" w:right="1200" w:bottom="1160" w:left="1360" w:header="0" w:footer="975" w:gutter="0"/>
          <w:pgNumType w:start="13"/>
          <w:cols w:space="720" w:num="1"/>
        </w:sectPr>
      </w:pPr>
    </w:p>
    <w:p w14:paraId="0CE6D799">
      <w:pPr>
        <w:spacing w:line="511" w:lineRule="exact"/>
        <w:ind w:left="754"/>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w w:val="95"/>
          <w:sz w:val="32"/>
          <w:szCs w:val="32"/>
        </w:rPr>
        <w:t>（三）黄河流域生态保护和高质量发展带来新机</w:t>
      </w:r>
      <w:r>
        <w:rPr>
          <w:rFonts w:ascii="Microsoft JhengHei" w:hAnsi="Microsoft JhengHei" w:eastAsia="Microsoft JhengHei" w:cs="Microsoft JhengHei"/>
          <w:b/>
          <w:bCs/>
          <w:spacing w:val="-10"/>
          <w:w w:val="95"/>
          <w:sz w:val="32"/>
          <w:szCs w:val="32"/>
        </w:rPr>
        <w:t>遇</w:t>
      </w:r>
    </w:p>
    <w:p w14:paraId="0EE9B6D1">
      <w:pPr>
        <w:spacing w:before="98" w:line="338" w:lineRule="auto"/>
        <w:ind w:left="113" w:right="192" w:firstLine="640"/>
        <w:jc w:val="both"/>
        <w:rPr>
          <w:i/>
          <w:iCs/>
          <w:sz w:val="32"/>
          <w:szCs w:val="32"/>
        </w:rPr>
      </w:pPr>
      <w:r>
        <w:rPr>
          <w:rFonts w:ascii="Times New Roman" w:hAnsi="Times New Roman" w:eastAsia="Times New Roman"/>
          <w:iCs/>
          <w:spacing w:val="-2"/>
          <w:sz w:val="32"/>
          <w:szCs w:val="32"/>
        </w:rPr>
        <w:t>2019</w:t>
      </w:r>
      <w:r>
        <w:rPr>
          <w:rFonts w:ascii="Times New Roman" w:hAnsi="Times New Roman" w:eastAsia="Times New Roman"/>
          <w:iCs/>
          <w:spacing w:val="-18"/>
          <w:sz w:val="32"/>
          <w:szCs w:val="32"/>
        </w:rPr>
        <w:t xml:space="preserve"> </w:t>
      </w:r>
      <w:r>
        <w:rPr>
          <w:i/>
          <w:iCs/>
          <w:spacing w:val="-20"/>
          <w:sz w:val="32"/>
          <w:szCs w:val="32"/>
        </w:rPr>
        <w:t xml:space="preserve">年 </w:t>
      </w:r>
      <w:r>
        <w:rPr>
          <w:rFonts w:ascii="Times New Roman" w:hAnsi="Times New Roman" w:eastAsia="Times New Roman"/>
          <w:iCs/>
          <w:spacing w:val="-2"/>
          <w:sz w:val="32"/>
          <w:szCs w:val="32"/>
        </w:rPr>
        <w:t>9</w:t>
      </w:r>
      <w:r>
        <w:rPr>
          <w:rFonts w:ascii="Times New Roman" w:hAnsi="Times New Roman" w:eastAsia="Times New Roman"/>
          <w:iCs/>
          <w:spacing w:val="-4"/>
          <w:sz w:val="32"/>
          <w:szCs w:val="32"/>
        </w:rPr>
        <w:t xml:space="preserve"> </w:t>
      </w:r>
      <w:r>
        <w:rPr>
          <w:i/>
          <w:iCs/>
          <w:spacing w:val="-2"/>
          <w:sz w:val="32"/>
          <w:szCs w:val="32"/>
        </w:rPr>
        <w:t>月，习近平总书记在郑州主持召开座谈会，将黄河</w:t>
      </w:r>
      <w:r>
        <w:rPr>
          <w:i/>
          <w:iCs/>
          <w:w w:val="95"/>
          <w:sz w:val="32"/>
          <w:szCs w:val="32"/>
        </w:rPr>
        <w:t>流域生态保护和高质量发展确定为重大国家战略，</w:t>
      </w:r>
      <w:r>
        <w:rPr>
          <w:rFonts w:ascii="Times New Roman" w:hAnsi="Times New Roman" w:eastAsia="Times New Roman"/>
          <w:iCs/>
          <w:w w:val="95"/>
          <w:sz w:val="32"/>
          <w:szCs w:val="32"/>
        </w:rPr>
        <w:t>2020</w:t>
      </w:r>
      <w:r>
        <w:rPr>
          <w:rFonts w:ascii="Times New Roman" w:hAnsi="Times New Roman" w:eastAsia="Times New Roman"/>
          <w:iCs/>
          <w:spacing w:val="80"/>
          <w:sz w:val="32"/>
          <w:szCs w:val="32"/>
        </w:rPr>
        <w:t xml:space="preserve"> </w:t>
      </w:r>
      <w:r>
        <w:rPr>
          <w:i/>
          <w:iCs/>
          <w:w w:val="95"/>
          <w:sz w:val="32"/>
          <w:szCs w:val="32"/>
        </w:rPr>
        <w:t xml:space="preserve">年 </w:t>
      </w:r>
      <w:r>
        <w:rPr>
          <w:rFonts w:ascii="Times New Roman" w:hAnsi="Times New Roman" w:eastAsia="Times New Roman"/>
          <w:iCs/>
          <w:w w:val="95"/>
          <w:sz w:val="32"/>
          <w:szCs w:val="32"/>
        </w:rPr>
        <w:t>1</w:t>
      </w:r>
      <w:r>
        <w:rPr>
          <w:rFonts w:ascii="Times New Roman" w:hAnsi="Times New Roman" w:eastAsia="Times New Roman"/>
          <w:iCs/>
          <w:spacing w:val="80"/>
          <w:sz w:val="32"/>
          <w:szCs w:val="32"/>
        </w:rPr>
        <w:t xml:space="preserve"> </w:t>
      </w:r>
      <w:r>
        <w:rPr>
          <w:i/>
          <w:iCs/>
          <w:w w:val="95"/>
          <w:sz w:val="32"/>
          <w:szCs w:val="32"/>
        </w:rPr>
        <w:t>月，</w:t>
      </w:r>
      <w:r>
        <w:rPr>
          <w:i/>
          <w:iCs/>
          <w:spacing w:val="-2"/>
          <w:sz w:val="32"/>
          <w:szCs w:val="32"/>
        </w:rPr>
        <w:t>习近平总书记在主持召开中央财经委员会第六次会议时强调，要推进黄河“几”字弯都市圈协同发展。</w:t>
      </w:r>
      <w:r>
        <w:rPr>
          <w:rFonts w:ascii="Times New Roman" w:hAnsi="Times New Roman" w:eastAsia="Times New Roman"/>
          <w:iCs/>
          <w:spacing w:val="-2"/>
          <w:sz w:val="32"/>
          <w:szCs w:val="32"/>
        </w:rPr>
        <w:t>2020</w:t>
      </w:r>
      <w:r>
        <w:rPr>
          <w:rFonts w:ascii="Times New Roman" w:hAnsi="Times New Roman" w:eastAsia="Times New Roman"/>
          <w:iCs/>
          <w:spacing w:val="-18"/>
          <w:sz w:val="32"/>
          <w:szCs w:val="32"/>
        </w:rPr>
        <w:t xml:space="preserve"> </w:t>
      </w:r>
      <w:r>
        <w:rPr>
          <w:i/>
          <w:iCs/>
          <w:spacing w:val="-20"/>
          <w:sz w:val="32"/>
          <w:szCs w:val="32"/>
        </w:rPr>
        <w:t xml:space="preserve">年 </w:t>
      </w:r>
      <w:r>
        <w:rPr>
          <w:rFonts w:ascii="Times New Roman" w:hAnsi="Times New Roman" w:eastAsia="Times New Roman"/>
          <w:iCs/>
          <w:spacing w:val="-2"/>
          <w:sz w:val="32"/>
          <w:szCs w:val="32"/>
        </w:rPr>
        <w:t>6</w:t>
      </w:r>
      <w:r>
        <w:rPr>
          <w:rFonts w:ascii="Times New Roman" w:hAnsi="Times New Roman" w:eastAsia="Times New Roman"/>
          <w:iCs/>
          <w:sz w:val="32"/>
          <w:szCs w:val="32"/>
        </w:rPr>
        <w:t xml:space="preserve"> </w:t>
      </w:r>
      <w:r>
        <w:rPr>
          <w:i/>
          <w:iCs/>
          <w:spacing w:val="-2"/>
          <w:sz w:val="32"/>
          <w:szCs w:val="32"/>
        </w:rPr>
        <w:t>月，习近平总书记视察宁夏时强调，宁夏要有大局观念和责任担当，更加珍惜黄河，精心呵护黄河，努力建设黄河流域生态保护和高质量发展先行区，守好改善生态环境生命线，这为金凤区强化与黄河流域周边城市的分工与合作，加强生态保护治理、保护传承弘扬黄河文化，加快推进生态文明建设和高质量发展提供了难得机遇。</w:t>
      </w:r>
    </w:p>
    <w:p w14:paraId="3717262D">
      <w:pPr>
        <w:spacing w:line="500" w:lineRule="exact"/>
        <w:ind w:left="754"/>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w w:val="95"/>
          <w:sz w:val="32"/>
          <w:szCs w:val="32"/>
        </w:rPr>
        <w:t>（四）新时代西部大开发战略推动形成发展新格</w:t>
      </w:r>
      <w:r>
        <w:rPr>
          <w:rFonts w:ascii="Microsoft JhengHei" w:hAnsi="Microsoft JhengHei" w:eastAsia="Microsoft JhengHei" w:cs="Microsoft JhengHei"/>
          <w:b/>
          <w:bCs/>
          <w:spacing w:val="-10"/>
          <w:w w:val="95"/>
          <w:sz w:val="32"/>
          <w:szCs w:val="32"/>
        </w:rPr>
        <w:t>局</w:t>
      </w:r>
    </w:p>
    <w:p w14:paraId="0E20534F">
      <w:pPr>
        <w:spacing w:before="95" w:line="338" w:lineRule="auto"/>
        <w:ind w:left="113" w:right="114" w:firstLine="640"/>
        <w:rPr>
          <w:i/>
          <w:iCs/>
          <w:sz w:val="32"/>
          <w:szCs w:val="32"/>
        </w:rPr>
      </w:pPr>
      <w:r>
        <w:rPr>
          <w:rFonts w:ascii="Times New Roman" w:hAnsi="Times New Roman" w:eastAsia="Times New Roman"/>
          <w:iCs/>
          <w:spacing w:val="1"/>
          <w:w w:val="99"/>
          <w:sz w:val="32"/>
          <w:szCs w:val="32"/>
        </w:rPr>
        <w:t>20</w:t>
      </w:r>
      <w:r>
        <w:rPr>
          <w:rFonts w:ascii="Times New Roman" w:hAnsi="Times New Roman" w:eastAsia="Times New Roman"/>
          <w:iCs/>
          <w:spacing w:val="-2"/>
          <w:w w:val="99"/>
          <w:sz w:val="32"/>
          <w:szCs w:val="32"/>
        </w:rPr>
        <w:t>2</w:t>
      </w:r>
      <w:r>
        <w:rPr>
          <w:rFonts w:ascii="Times New Roman" w:hAnsi="Times New Roman" w:eastAsia="Times New Roman"/>
          <w:iCs/>
          <w:w w:val="99"/>
          <w:sz w:val="32"/>
          <w:szCs w:val="32"/>
        </w:rPr>
        <w:t>0</w:t>
      </w:r>
      <w:r>
        <w:rPr>
          <w:rFonts w:ascii="Times New Roman" w:hAnsi="Times New Roman" w:eastAsia="Times New Roman"/>
          <w:iCs/>
          <w:sz w:val="32"/>
          <w:szCs w:val="32"/>
        </w:rPr>
        <w:t xml:space="preserve"> </w:t>
      </w:r>
      <w:r>
        <w:rPr>
          <w:i/>
          <w:iCs/>
          <w:w w:val="99"/>
          <w:sz w:val="32"/>
          <w:szCs w:val="32"/>
        </w:rPr>
        <w:t>年</w:t>
      </w:r>
      <w:r>
        <w:rPr>
          <w:i/>
          <w:iCs/>
          <w:spacing w:val="-81"/>
          <w:sz w:val="32"/>
          <w:szCs w:val="32"/>
        </w:rPr>
        <w:t xml:space="preserve"> </w:t>
      </w:r>
      <w:r>
        <w:rPr>
          <w:rFonts w:ascii="Times New Roman" w:hAnsi="Times New Roman" w:eastAsia="Times New Roman"/>
          <w:iCs/>
          <w:w w:val="99"/>
          <w:sz w:val="32"/>
          <w:szCs w:val="32"/>
        </w:rPr>
        <w:t>5</w:t>
      </w:r>
      <w:r>
        <w:rPr>
          <w:rFonts w:ascii="Times New Roman" w:hAnsi="Times New Roman" w:eastAsia="Times New Roman"/>
          <w:iCs/>
          <w:sz w:val="32"/>
          <w:szCs w:val="32"/>
        </w:rPr>
        <w:t xml:space="preserve"> </w:t>
      </w:r>
      <w:r>
        <w:rPr>
          <w:i/>
          <w:iCs/>
          <w:w w:val="99"/>
          <w:sz w:val="32"/>
          <w:szCs w:val="32"/>
        </w:rPr>
        <w:t>月</w:t>
      </w:r>
      <w:r>
        <w:rPr>
          <w:i/>
          <w:iCs/>
          <w:spacing w:val="-79"/>
          <w:sz w:val="32"/>
          <w:szCs w:val="32"/>
        </w:rPr>
        <w:t xml:space="preserve"> </w:t>
      </w:r>
      <w:r>
        <w:rPr>
          <w:rFonts w:ascii="Times New Roman" w:hAnsi="Times New Roman" w:eastAsia="Times New Roman"/>
          <w:iCs/>
          <w:spacing w:val="1"/>
          <w:w w:val="99"/>
          <w:sz w:val="32"/>
          <w:szCs w:val="32"/>
        </w:rPr>
        <w:t>1</w:t>
      </w:r>
      <w:r>
        <w:rPr>
          <w:rFonts w:ascii="Times New Roman" w:hAnsi="Times New Roman" w:eastAsia="Times New Roman"/>
          <w:iCs/>
          <w:w w:val="99"/>
          <w:sz w:val="32"/>
          <w:szCs w:val="32"/>
        </w:rPr>
        <w:t>7</w:t>
      </w:r>
      <w:r>
        <w:rPr>
          <w:rFonts w:ascii="Times New Roman" w:hAnsi="Times New Roman" w:eastAsia="Times New Roman"/>
          <w:iCs/>
          <w:sz w:val="32"/>
          <w:szCs w:val="32"/>
        </w:rPr>
        <w:t xml:space="preserve"> </w:t>
      </w:r>
      <w:r>
        <w:rPr>
          <w:i/>
          <w:iCs/>
          <w:spacing w:val="-17"/>
          <w:w w:val="99"/>
          <w:sz w:val="32"/>
          <w:szCs w:val="32"/>
        </w:rPr>
        <w:t>日，《中共中央国务院关于新时代推进西部大</w:t>
      </w:r>
      <w:r>
        <w:rPr>
          <w:i/>
          <w:iCs/>
          <w:spacing w:val="-4"/>
          <w:w w:val="99"/>
          <w:sz w:val="32"/>
          <w:szCs w:val="32"/>
        </w:rPr>
        <w:t>开发形成新格局的指导意见》发布实施，指出充分发挥西部地区</w:t>
      </w:r>
      <w:r>
        <w:rPr>
          <w:i/>
          <w:iCs/>
          <w:spacing w:val="-1"/>
          <w:w w:val="99"/>
          <w:sz w:val="32"/>
          <w:szCs w:val="32"/>
        </w:rPr>
        <w:t>比较优势，构建现代化产业体系；以共建“一带一路”为引领，</w:t>
      </w:r>
      <w:r>
        <w:rPr>
          <w:i/>
          <w:iCs/>
          <w:w w:val="99"/>
          <w:sz w:val="32"/>
          <w:szCs w:val="32"/>
        </w:rPr>
        <w:t>加大西部开放力度，推动兰州－西宁、宁夏沿黄等城市群互动发展。支持陕甘宁、川陕等革命老区建立健全协同开放发展机制，金凤区要用好用足新时代西部大开发财税、金融、产业、土地等</w:t>
      </w:r>
      <w:r>
        <w:rPr>
          <w:i/>
          <w:iCs/>
          <w:spacing w:val="-3"/>
          <w:w w:val="99"/>
          <w:sz w:val="32"/>
          <w:szCs w:val="32"/>
        </w:rPr>
        <w:t>政策支持，积极发展大数据、人工智能和“智能</w:t>
      </w:r>
      <w:r>
        <w:rPr>
          <w:rFonts w:ascii="Times New Roman" w:hAnsi="Times New Roman" w:eastAsia="Times New Roman"/>
          <w:iCs/>
          <w:spacing w:val="2"/>
          <w:w w:val="99"/>
          <w:sz w:val="32"/>
          <w:szCs w:val="32"/>
        </w:rPr>
        <w:t>+</w:t>
      </w:r>
      <w:r>
        <w:rPr>
          <w:i/>
          <w:iCs/>
          <w:spacing w:val="-2"/>
          <w:w w:val="99"/>
          <w:sz w:val="32"/>
          <w:szCs w:val="32"/>
        </w:rPr>
        <w:t>”等数字产业，</w:t>
      </w:r>
      <w:r>
        <w:rPr>
          <w:i/>
          <w:iCs/>
          <w:spacing w:val="5"/>
          <w:w w:val="99"/>
          <w:sz w:val="32"/>
          <w:szCs w:val="32"/>
        </w:rPr>
        <w:t>进一步推动“互联网</w:t>
      </w:r>
      <w:r>
        <w:rPr>
          <w:rFonts w:ascii="Times New Roman" w:hAnsi="Times New Roman" w:eastAsia="Times New Roman"/>
          <w:iCs/>
          <w:spacing w:val="4"/>
          <w:w w:val="99"/>
          <w:sz w:val="32"/>
          <w:szCs w:val="32"/>
        </w:rPr>
        <w:t>+</w:t>
      </w:r>
      <w:r>
        <w:rPr>
          <w:i/>
          <w:iCs/>
          <w:spacing w:val="-19"/>
          <w:w w:val="99"/>
          <w:sz w:val="32"/>
          <w:szCs w:val="32"/>
        </w:rPr>
        <w:t>教育”“互联网</w:t>
      </w:r>
      <w:r>
        <w:rPr>
          <w:rFonts w:ascii="Times New Roman" w:hAnsi="Times New Roman" w:eastAsia="Times New Roman"/>
          <w:iCs/>
          <w:spacing w:val="2"/>
          <w:w w:val="99"/>
          <w:sz w:val="32"/>
          <w:szCs w:val="32"/>
        </w:rPr>
        <w:t>+</w:t>
      </w:r>
      <w:r>
        <w:rPr>
          <w:i/>
          <w:iCs/>
          <w:spacing w:val="4"/>
          <w:w w:val="99"/>
          <w:sz w:val="32"/>
          <w:szCs w:val="32"/>
        </w:rPr>
        <w:t>医疗”等新业态发展，形</w:t>
      </w:r>
      <w:r>
        <w:rPr>
          <w:i/>
          <w:iCs/>
          <w:w w:val="99"/>
          <w:sz w:val="32"/>
          <w:szCs w:val="32"/>
        </w:rPr>
        <w:t>成以现代服务业为主导的现代化产业体系，强化与周边区域的对接合作，在更大范围扩大开放、深化协作、配置资源，形成大保护、大开放、高质量发展的新格局。</w:t>
      </w:r>
    </w:p>
    <w:p w14:paraId="0928B1B4">
      <w:pPr>
        <w:spacing w:line="505" w:lineRule="exact"/>
        <w:ind w:left="754"/>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w w:val="95"/>
          <w:sz w:val="32"/>
          <w:szCs w:val="32"/>
        </w:rPr>
        <w:t>（五</w:t>
      </w:r>
      <w:r>
        <w:rPr>
          <w:rFonts w:ascii="Microsoft JhengHei" w:hAnsi="Microsoft JhengHei" w:eastAsia="Microsoft JhengHei" w:cs="Microsoft JhengHei"/>
          <w:b/>
          <w:bCs/>
          <w:spacing w:val="-159"/>
          <w:w w:val="95"/>
          <w:sz w:val="32"/>
          <w:szCs w:val="32"/>
        </w:rPr>
        <w:t>）</w:t>
      </w:r>
      <w:r>
        <w:rPr>
          <w:rFonts w:ascii="Microsoft JhengHei" w:hAnsi="Microsoft JhengHei" w:eastAsia="Microsoft JhengHei" w:cs="Microsoft JhengHei"/>
          <w:b/>
          <w:bCs/>
          <w:spacing w:val="2"/>
          <w:w w:val="95"/>
          <w:sz w:val="32"/>
          <w:szCs w:val="32"/>
        </w:rPr>
        <w:t>“</w:t>
      </w:r>
      <w:r>
        <w:rPr>
          <w:rFonts w:ascii="Microsoft JhengHei" w:hAnsi="Microsoft JhengHei" w:eastAsia="Microsoft JhengHei" w:cs="Microsoft JhengHei"/>
          <w:b/>
          <w:bCs/>
          <w:w w:val="95"/>
          <w:sz w:val="32"/>
          <w:szCs w:val="32"/>
        </w:rPr>
        <w:t>新基建”提速发展拓宽高质量发展新领</w:t>
      </w:r>
      <w:r>
        <w:rPr>
          <w:rFonts w:ascii="Microsoft JhengHei" w:hAnsi="Microsoft JhengHei" w:eastAsia="Microsoft JhengHei" w:cs="Microsoft JhengHei"/>
          <w:b/>
          <w:bCs/>
          <w:spacing w:val="-10"/>
          <w:w w:val="95"/>
          <w:sz w:val="32"/>
          <w:szCs w:val="32"/>
        </w:rPr>
        <w:t>域</w:t>
      </w:r>
    </w:p>
    <w:p w14:paraId="0FFC2F02">
      <w:pPr>
        <w:spacing w:line="505" w:lineRule="exact"/>
        <w:sectPr>
          <w:pgSz w:w="11910" w:h="16840"/>
          <w:pgMar w:top="1800" w:right="1200" w:bottom="1160" w:left="1360" w:header="0" w:footer="975" w:gutter="0"/>
          <w:cols w:space="720" w:num="1"/>
        </w:sectPr>
      </w:pPr>
    </w:p>
    <w:p w14:paraId="2715C771">
      <w:pPr>
        <w:spacing w:before="48" w:line="338" w:lineRule="auto"/>
        <w:ind w:left="113" w:right="192" w:firstLine="640"/>
        <w:jc w:val="both"/>
        <w:rPr>
          <w:i/>
          <w:iCs/>
          <w:sz w:val="32"/>
          <w:szCs w:val="32"/>
        </w:rPr>
      </w:pPr>
      <w:r>
        <w:rPr>
          <w:rFonts w:ascii="Times New Roman" w:eastAsia="Times New Roman"/>
          <w:iCs/>
          <w:spacing w:val="-2"/>
          <w:sz w:val="32"/>
          <w:szCs w:val="32"/>
        </w:rPr>
        <w:t>2020</w:t>
      </w:r>
      <w:r>
        <w:rPr>
          <w:rFonts w:ascii="Times New Roman" w:eastAsia="Times New Roman"/>
          <w:iCs/>
          <w:spacing w:val="-18"/>
          <w:sz w:val="32"/>
          <w:szCs w:val="32"/>
        </w:rPr>
        <w:t xml:space="preserve"> </w:t>
      </w:r>
      <w:r>
        <w:rPr>
          <w:i/>
          <w:iCs/>
          <w:spacing w:val="-20"/>
          <w:sz w:val="32"/>
          <w:szCs w:val="32"/>
        </w:rPr>
        <w:t xml:space="preserve">年 </w:t>
      </w:r>
      <w:r>
        <w:rPr>
          <w:rFonts w:ascii="Times New Roman" w:eastAsia="Times New Roman"/>
          <w:iCs/>
          <w:spacing w:val="-2"/>
          <w:sz w:val="32"/>
          <w:szCs w:val="32"/>
        </w:rPr>
        <w:t>3</w:t>
      </w:r>
      <w:r>
        <w:rPr>
          <w:rFonts w:ascii="Times New Roman" w:eastAsia="Times New Roman"/>
          <w:iCs/>
          <w:spacing w:val="-4"/>
          <w:sz w:val="32"/>
          <w:szCs w:val="32"/>
        </w:rPr>
        <w:t xml:space="preserve"> </w:t>
      </w:r>
      <w:r>
        <w:rPr>
          <w:i/>
          <w:iCs/>
          <w:spacing w:val="-2"/>
          <w:sz w:val="32"/>
          <w:szCs w:val="32"/>
        </w:rPr>
        <w:t>月，中共中央政治局常务委员会召开会议强调，要</w:t>
      </w:r>
      <w:r>
        <w:rPr>
          <w:i/>
          <w:iCs/>
          <w:sz w:val="32"/>
          <w:szCs w:val="32"/>
        </w:rPr>
        <w:t>加大公共卫生服务、应急物资保障领域投入</w:t>
      </w:r>
      <w:r>
        <w:rPr>
          <w:i/>
          <w:iCs/>
          <w:spacing w:val="-4"/>
          <w:sz w:val="32"/>
          <w:szCs w:val="32"/>
        </w:rPr>
        <w:t xml:space="preserve">，加快 </w:t>
      </w:r>
      <w:r>
        <w:rPr>
          <w:rFonts w:ascii="Times New Roman" w:eastAsia="Times New Roman"/>
          <w:iCs/>
          <w:sz w:val="32"/>
          <w:szCs w:val="32"/>
        </w:rPr>
        <w:t>5G</w:t>
      </w:r>
      <w:r>
        <w:rPr>
          <w:rFonts w:ascii="Times New Roman" w:eastAsia="Times New Roman"/>
          <w:iCs/>
          <w:spacing w:val="40"/>
          <w:sz w:val="32"/>
          <w:szCs w:val="32"/>
        </w:rPr>
        <w:t xml:space="preserve"> </w:t>
      </w:r>
      <w:r>
        <w:rPr>
          <w:i/>
          <w:iCs/>
          <w:sz w:val="32"/>
          <w:szCs w:val="32"/>
        </w:rPr>
        <w:t>网络、数据中心等新型基础设施建设进度。</w:t>
      </w:r>
      <w:r>
        <w:rPr>
          <w:rFonts w:ascii="Times New Roman" w:eastAsia="Times New Roman"/>
          <w:iCs/>
          <w:sz w:val="32"/>
          <w:szCs w:val="32"/>
        </w:rPr>
        <w:t>2020</w:t>
      </w:r>
      <w:r>
        <w:rPr>
          <w:rFonts w:ascii="Times New Roman" w:eastAsia="Times New Roman"/>
          <w:iCs/>
          <w:spacing w:val="-20"/>
          <w:sz w:val="32"/>
          <w:szCs w:val="32"/>
        </w:rPr>
        <w:t xml:space="preserve"> </w:t>
      </w:r>
      <w:r>
        <w:rPr>
          <w:i/>
          <w:iCs/>
          <w:sz w:val="32"/>
          <w:szCs w:val="32"/>
        </w:rPr>
        <w:t>年全国《政府工作报告》</w:t>
      </w:r>
      <w:r>
        <w:rPr>
          <w:i/>
          <w:iCs/>
          <w:spacing w:val="-2"/>
          <w:sz w:val="32"/>
          <w:szCs w:val="32"/>
        </w:rPr>
        <w:t>再次对加强新型基础设施建设作出重要部署。这是党中央在深刻洞察和把握世界科技与产业变迁大趋势基础上作出的战略抉择。当前，金凤区正加快推进互联网数字经济发展步伐，要抢抓国家</w:t>
      </w:r>
      <w:r>
        <w:rPr>
          <w:i/>
          <w:iCs/>
          <w:sz w:val="32"/>
          <w:szCs w:val="32"/>
        </w:rPr>
        <w:t>大力发展新型基础设施重大机遇，加</w:t>
      </w:r>
      <w:r>
        <w:rPr>
          <w:i/>
          <w:iCs/>
          <w:spacing w:val="-4"/>
          <w:sz w:val="32"/>
          <w:szCs w:val="32"/>
        </w:rPr>
        <w:t xml:space="preserve">快布局 </w:t>
      </w:r>
      <w:r>
        <w:rPr>
          <w:rFonts w:ascii="Times New Roman" w:eastAsia="Times New Roman"/>
          <w:iCs/>
          <w:sz w:val="32"/>
          <w:szCs w:val="32"/>
        </w:rPr>
        <w:t>5G</w:t>
      </w:r>
      <w:r>
        <w:rPr>
          <w:rFonts w:ascii="Times New Roman" w:eastAsia="Times New Roman"/>
          <w:iCs/>
          <w:spacing w:val="40"/>
          <w:sz w:val="32"/>
          <w:szCs w:val="32"/>
        </w:rPr>
        <w:t xml:space="preserve"> </w:t>
      </w:r>
      <w:r>
        <w:rPr>
          <w:i/>
          <w:iCs/>
          <w:sz w:val="32"/>
          <w:szCs w:val="32"/>
        </w:rPr>
        <w:t>基站，积极发展</w:t>
      </w:r>
      <w:r>
        <w:rPr>
          <w:i/>
          <w:iCs/>
          <w:spacing w:val="-2"/>
          <w:sz w:val="32"/>
          <w:szCs w:val="32"/>
        </w:rPr>
        <w:t>工业互联网、大数据、人工智能、云计算、区块链等新一代信息技术，全面推进经济数字化转型，推动高质量发展。</w:t>
      </w:r>
    </w:p>
    <w:p w14:paraId="09910AE7">
      <w:pPr>
        <w:spacing w:line="500" w:lineRule="exact"/>
        <w:ind w:left="754"/>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w w:val="95"/>
          <w:sz w:val="32"/>
          <w:szCs w:val="32"/>
        </w:rPr>
        <w:t>（六）国内国际双循环新发展格局指明发展新方</w:t>
      </w:r>
      <w:r>
        <w:rPr>
          <w:rFonts w:ascii="Microsoft JhengHei" w:hAnsi="Microsoft JhengHei" w:eastAsia="Microsoft JhengHei" w:cs="Microsoft JhengHei"/>
          <w:b/>
          <w:bCs/>
          <w:spacing w:val="-10"/>
          <w:w w:val="95"/>
          <w:sz w:val="32"/>
          <w:szCs w:val="32"/>
        </w:rPr>
        <w:t>向</w:t>
      </w:r>
    </w:p>
    <w:p w14:paraId="1C5BF306">
      <w:pPr>
        <w:spacing w:before="97" w:line="338" w:lineRule="auto"/>
        <w:ind w:left="113" w:right="114" w:firstLine="640"/>
        <w:rPr>
          <w:i/>
          <w:iCs/>
          <w:sz w:val="32"/>
          <w:szCs w:val="32"/>
        </w:rPr>
      </w:pPr>
      <w:r>
        <w:rPr>
          <w:i/>
          <w:iCs/>
          <w:w w:val="99"/>
          <w:sz w:val="32"/>
          <w:szCs w:val="32"/>
        </w:rPr>
        <w:t>当前，立足世界经济发展的形势和国内经济发展的阶段性特征，国家提出了逐步形成以国内大循环为主体、国内国际双循环相互促进的新发展格局的战略部署。随着内循环战略的实施，经济社会发展将迎来一轮要素重组、产业布局优化，这为金凤区紧</w:t>
      </w:r>
      <w:r>
        <w:rPr>
          <w:i/>
          <w:iCs/>
          <w:spacing w:val="-7"/>
          <w:w w:val="99"/>
          <w:sz w:val="32"/>
          <w:szCs w:val="32"/>
        </w:rPr>
        <w:t>盯“两新一重”、乡村振兴等政策重点，谋划储备产业发展、民</w:t>
      </w:r>
      <w:r>
        <w:rPr>
          <w:i/>
          <w:iCs/>
          <w:spacing w:val="-2"/>
          <w:w w:val="99"/>
          <w:sz w:val="32"/>
          <w:szCs w:val="32"/>
        </w:rPr>
        <w:t>生保障、基础设施等重大项目，着力抓好招商引资，引入优质市</w:t>
      </w:r>
      <w:r>
        <w:rPr>
          <w:i/>
          <w:iCs/>
          <w:spacing w:val="-13"/>
          <w:w w:val="99"/>
          <w:sz w:val="32"/>
          <w:szCs w:val="32"/>
        </w:rPr>
        <w:t>场主体，全面扩大开放促进形成大市场，推动供需更高水平平衡，</w:t>
      </w:r>
      <w:r>
        <w:rPr>
          <w:i/>
          <w:iCs/>
          <w:w w:val="99"/>
          <w:sz w:val="32"/>
          <w:szCs w:val="32"/>
        </w:rPr>
        <w:t>不断壮大经济规模和推进经济高质量发展带来了机遇。</w:t>
      </w:r>
    </w:p>
    <w:p w14:paraId="0E86DC03">
      <w:pPr>
        <w:spacing w:line="497" w:lineRule="exact"/>
        <w:ind w:left="754"/>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w w:val="95"/>
          <w:sz w:val="32"/>
          <w:szCs w:val="32"/>
        </w:rPr>
        <w:t>（七）实施乡村振兴战略激发“三农”发展新活</w:t>
      </w:r>
      <w:r>
        <w:rPr>
          <w:rFonts w:ascii="Microsoft JhengHei" w:hAnsi="Microsoft JhengHei" w:eastAsia="Microsoft JhengHei" w:cs="Microsoft JhengHei"/>
          <w:b/>
          <w:bCs/>
          <w:spacing w:val="-10"/>
          <w:w w:val="95"/>
          <w:sz w:val="32"/>
          <w:szCs w:val="32"/>
        </w:rPr>
        <w:t>力</w:t>
      </w:r>
    </w:p>
    <w:p w14:paraId="66B326B8">
      <w:pPr>
        <w:spacing w:before="98" w:line="338" w:lineRule="auto"/>
        <w:ind w:left="113" w:right="271" w:firstLine="640"/>
        <w:jc w:val="both"/>
        <w:rPr>
          <w:i/>
          <w:iCs/>
          <w:sz w:val="32"/>
          <w:szCs w:val="32"/>
        </w:rPr>
      </w:pPr>
      <w:r>
        <w:rPr>
          <w:i/>
          <w:iCs/>
          <w:w w:val="99"/>
          <w:sz w:val="32"/>
          <w:szCs w:val="32"/>
        </w:rPr>
        <w:t>党的十九大从党和国家事业全局出发，作出实施乡村振兴战</w:t>
      </w:r>
      <w:r>
        <w:rPr>
          <w:i/>
          <w:iCs/>
          <w:spacing w:val="-7"/>
          <w:w w:val="99"/>
          <w:sz w:val="32"/>
          <w:szCs w:val="32"/>
        </w:rPr>
        <w:t>略的重大部署，“十三五”实施的脱贫攻坚，全面改善了农村基</w:t>
      </w:r>
      <w:r>
        <w:rPr>
          <w:i/>
          <w:iCs/>
          <w:spacing w:val="-2"/>
          <w:w w:val="99"/>
          <w:sz w:val="32"/>
          <w:szCs w:val="32"/>
        </w:rPr>
        <w:t>础设施条件，全面提升了农民社会保障水平，为乡村振兴奠定了</w:t>
      </w:r>
      <w:r>
        <w:rPr>
          <w:i/>
          <w:iCs/>
          <w:spacing w:val="-7"/>
          <w:w w:val="99"/>
          <w:sz w:val="32"/>
          <w:szCs w:val="32"/>
        </w:rPr>
        <w:t>坚实基础。“十四五”期间，随着乡村振兴战略的深入实施，将</w:t>
      </w:r>
    </w:p>
    <w:p w14:paraId="726A6597">
      <w:pPr>
        <w:spacing w:line="338" w:lineRule="auto"/>
        <w:jc w:val="both"/>
        <w:sectPr>
          <w:pgSz w:w="11910" w:h="16840"/>
          <w:pgMar w:top="1780" w:right="1200" w:bottom="1160" w:left="1360" w:header="0" w:footer="975" w:gutter="0"/>
          <w:cols w:space="720" w:num="1"/>
        </w:sectPr>
      </w:pPr>
    </w:p>
    <w:p w14:paraId="3C4F724F">
      <w:pPr>
        <w:spacing w:before="28" w:line="340" w:lineRule="auto"/>
        <w:ind w:left="113" w:right="114"/>
        <w:rPr>
          <w:i/>
          <w:iCs/>
          <w:sz w:val="32"/>
          <w:szCs w:val="32"/>
        </w:rPr>
      </w:pPr>
      <w:r>
        <w:rPr>
          <w:i/>
          <w:iCs/>
          <w:w w:val="99"/>
          <w:sz w:val="32"/>
          <w:szCs w:val="32"/>
        </w:rPr>
        <w:t>推动资金、技术、人才等资源要素下乡，助推金凤区现代都市农业、乡村旅游、农村电商等新产业新业态新模式发展，为推进区</w:t>
      </w:r>
      <w:r>
        <w:rPr>
          <w:i/>
          <w:iCs/>
          <w:spacing w:val="-13"/>
          <w:w w:val="99"/>
          <w:sz w:val="32"/>
          <w:szCs w:val="32"/>
        </w:rPr>
        <w:t>域三产融合发展、城乡融合发展、农业全面升级、农村全面进步、</w:t>
      </w:r>
      <w:r>
        <w:rPr>
          <w:i/>
          <w:iCs/>
          <w:spacing w:val="-2"/>
          <w:w w:val="99"/>
          <w:sz w:val="32"/>
          <w:szCs w:val="32"/>
        </w:rPr>
        <w:t>农民全面发展，解决农民就业增收问题，缩小城乡收入差距实现</w:t>
      </w:r>
      <w:r>
        <w:rPr>
          <w:i/>
          <w:iCs/>
          <w:w w:val="99"/>
          <w:sz w:val="32"/>
          <w:szCs w:val="32"/>
        </w:rPr>
        <w:t>城乡协调发展注入强大动力。</w:t>
      </w:r>
    </w:p>
    <w:p w14:paraId="4EE126FA">
      <w:pPr>
        <w:spacing w:line="384" w:lineRule="exact"/>
        <w:ind w:left="754"/>
        <w:rPr>
          <w:rFonts w:ascii="黑体" w:eastAsia="黑体"/>
          <w:sz w:val="32"/>
        </w:rPr>
      </w:pPr>
      <w:r>
        <w:rPr>
          <w:rFonts w:ascii="黑体" w:eastAsia="黑体"/>
          <w:w w:val="95"/>
          <w:sz w:val="32"/>
        </w:rPr>
        <w:t>二、面临的挑战与短</w:t>
      </w:r>
      <w:r>
        <w:rPr>
          <w:rFonts w:ascii="黑体" w:eastAsia="黑体"/>
          <w:spacing w:val="-10"/>
          <w:w w:val="95"/>
          <w:sz w:val="32"/>
        </w:rPr>
        <w:t>板</w:t>
      </w:r>
    </w:p>
    <w:p w14:paraId="2EA13357">
      <w:pPr>
        <w:spacing w:before="166" w:line="338" w:lineRule="auto"/>
        <w:ind w:left="113" w:right="266" w:firstLine="640"/>
        <w:jc w:val="both"/>
        <w:rPr>
          <w:i/>
          <w:iCs/>
          <w:sz w:val="32"/>
          <w:szCs w:val="32"/>
        </w:rPr>
      </w:pPr>
      <w:r>
        <w:rPr>
          <w:i/>
          <w:iCs/>
          <w:w w:val="99"/>
          <w:sz w:val="32"/>
          <w:szCs w:val="32"/>
        </w:rPr>
        <w:t>在充分认识发展机遇的同时，必须清醒把握发展不足、结构不优、质量不高、创新不够的区情，必须清醒意识到面临一系列</w:t>
      </w:r>
      <w:r>
        <w:rPr>
          <w:i/>
          <w:iCs/>
          <w:spacing w:val="-2"/>
          <w:w w:val="99"/>
          <w:sz w:val="32"/>
          <w:szCs w:val="32"/>
        </w:rPr>
        <w:t>问题与挑战，主要表现为</w:t>
      </w:r>
      <w:r>
        <w:rPr>
          <w:b/>
          <w:i/>
          <w:iCs/>
          <w:spacing w:val="-2"/>
          <w:w w:val="99"/>
          <w:sz w:val="32"/>
          <w:szCs w:val="32"/>
        </w:rPr>
        <w:t>五个并存：一是高质量发展与疫情影响</w:t>
      </w:r>
      <w:r>
        <w:rPr>
          <w:b/>
          <w:i/>
          <w:iCs/>
          <w:w w:val="99"/>
          <w:sz w:val="32"/>
          <w:szCs w:val="32"/>
        </w:rPr>
        <w:t>压力持续并存。</w:t>
      </w:r>
      <w:r>
        <w:rPr>
          <w:i/>
          <w:iCs/>
          <w:spacing w:val="-2"/>
          <w:w w:val="99"/>
          <w:sz w:val="32"/>
          <w:szCs w:val="32"/>
        </w:rPr>
        <w:t>从宏观经济看，受全球疫情冲击，世界经济严重</w:t>
      </w:r>
      <w:r>
        <w:rPr>
          <w:i/>
          <w:iCs/>
          <w:w w:val="99"/>
          <w:sz w:val="32"/>
          <w:szCs w:val="32"/>
        </w:rPr>
        <w:t>衰退，产业链供应链循环受阻，对世界经济复苏带来了新的不确定性，中美贸易摩擦对我国产业链安全影响逐渐加深，经济下行压力持续加大。宁夏作为经济小省区，也是资源驱动型省区，经济抗压能力偏弱，实现更高质量发展难度大。银川市作为自治区 “头部”城市，经济总量占据全区半壁江山。作为首府核心区，金凤区引领全区、全市高质量发展的使命艰巨。从辖区内部看，地区生产总值、社会消费品零售总额等指标增速都还未恢复至疫情前水平，经济形势依然严峻，受国际国内经济增速下降的“双碰头”及疫情后市场缓慢复苏的巨大冲击影响，发展压力依然很</w:t>
      </w:r>
      <w:r>
        <w:rPr>
          <w:i/>
          <w:iCs/>
          <w:spacing w:val="-26"/>
          <w:w w:val="99"/>
          <w:sz w:val="32"/>
          <w:szCs w:val="32"/>
        </w:rPr>
        <w:t>大。</w:t>
      </w:r>
      <w:r>
        <w:rPr>
          <w:b/>
          <w:i/>
          <w:iCs/>
          <w:spacing w:val="-2"/>
          <w:w w:val="99"/>
          <w:sz w:val="32"/>
          <w:szCs w:val="32"/>
        </w:rPr>
        <w:t>二是经济质效总体不高与发展质量不优并存。</w:t>
      </w:r>
      <w:r>
        <w:rPr>
          <w:rFonts w:ascii="Times New Roman" w:hAnsi="Times New Roman" w:eastAsia="Times New Roman"/>
          <w:iCs/>
          <w:spacing w:val="1"/>
          <w:w w:val="99"/>
          <w:sz w:val="32"/>
          <w:szCs w:val="32"/>
        </w:rPr>
        <w:t>202</w:t>
      </w:r>
      <w:r>
        <w:rPr>
          <w:rFonts w:ascii="Times New Roman" w:hAnsi="Times New Roman" w:eastAsia="Times New Roman"/>
          <w:iCs/>
          <w:w w:val="99"/>
          <w:sz w:val="32"/>
          <w:szCs w:val="32"/>
        </w:rPr>
        <w:t>0</w:t>
      </w:r>
      <w:r>
        <w:rPr>
          <w:rFonts w:ascii="Times New Roman" w:hAnsi="Times New Roman" w:eastAsia="Times New Roman"/>
          <w:iCs/>
          <w:spacing w:val="-2"/>
          <w:sz w:val="32"/>
          <w:szCs w:val="32"/>
        </w:rPr>
        <w:t xml:space="preserve"> </w:t>
      </w:r>
      <w:r>
        <w:rPr>
          <w:i/>
          <w:iCs/>
          <w:w w:val="99"/>
          <w:sz w:val="32"/>
          <w:szCs w:val="32"/>
        </w:rPr>
        <w:t xml:space="preserve">年金凤区 </w:t>
      </w:r>
      <w:r>
        <w:rPr>
          <w:rFonts w:ascii="Times New Roman" w:hAnsi="Times New Roman" w:eastAsia="Times New Roman"/>
          <w:iCs/>
          <w:w w:val="99"/>
          <w:sz w:val="32"/>
          <w:szCs w:val="32"/>
        </w:rPr>
        <w:t>GDP</w:t>
      </w:r>
      <w:r>
        <w:rPr>
          <w:rFonts w:ascii="Times New Roman" w:hAnsi="Times New Roman" w:eastAsia="Times New Roman"/>
          <w:iCs/>
          <w:spacing w:val="9"/>
          <w:sz w:val="32"/>
          <w:szCs w:val="32"/>
        </w:rPr>
        <w:t xml:space="preserve"> </w:t>
      </w:r>
      <w:r>
        <w:rPr>
          <w:i/>
          <w:iCs/>
          <w:spacing w:val="4"/>
          <w:w w:val="99"/>
          <w:sz w:val="32"/>
          <w:szCs w:val="32"/>
        </w:rPr>
        <w:t>总量为</w:t>
      </w:r>
      <w:r>
        <w:rPr>
          <w:i/>
          <w:iCs/>
          <w:spacing w:val="-71"/>
          <w:sz w:val="32"/>
          <w:szCs w:val="32"/>
        </w:rPr>
        <w:t xml:space="preserve"> </w:t>
      </w:r>
      <w:r>
        <w:rPr>
          <w:rFonts w:ascii="Times New Roman" w:hAnsi="Times New Roman" w:eastAsia="Times New Roman"/>
          <w:iCs/>
          <w:spacing w:val="1"/>
          <w:w w:val="99"/>
          <w:sz w:val="32"/>
          <w:szCs w:val="32"/>
        </w:rPr>
        <w:t>30</w:t>
      </w:r>
      <w:r>
        <w:rPr>
          <w:rFonts w:ascii="Times New Roman" w:hAnsi="Times New Roman" w:eastAsia="Times New Roman"/>
          <w:iCs/>
          <w:spacing w:val="-2"/>
          <w:w w:val="99"/>
          <w:sz w:val="32"/>
          <w:szCs w:val="32"/>
        </w:rPr>
        <w:t>1</w:t>
      </w:r>
      <w:r>
        <w:rPr>
          <w:rFonts w:ascii="Times New Roman" w:hAnsi="Times New Roman" w:eastAsia="Times New Roman"/>
          <w:iCs/>
          <w:spacing w:val="-1"/>
          <w:w w:val="99"/>
          <w:sz w:val="32"/>
          <w:szCs w:val="32"/>
        </w:rPr>
        <w:t>.</w:t>
      </w:r>
      <w:r>
        <w:rPr>
          <w:rFonts w:ascii="Times New Roman" w:hAnsi="Times New Roman" w:eastAsia="Times New Roman"/>
          <w:iCs/>
          <w:spacing w:val="1"/>
          <w:w w:val="99"/>
          <w:sz w:val="32"/>
          <w:szCs w:val="32"/>
        </w:rPr>
        <w:t>6</w:t>
      </w:r>
      <w:r>
        <w:rPr>
          <w:rFonts w:ascii="Times New Roman" w:hAnsi="Times New Roman" w:eastAsia="Times New Roman"/>
          <w:iCs/>
          <w:w w:val="99"/>
          <w:sz w:val="32"/>
          <w:szCs w:val="32"/>
        </w:rPr>
        <w:t>6</w:t>
      </w:r>
      <w:r>
        <w:rPr>
          <w:rFonts w:ascii="Times New Roman" w:hAnsi="Times New Roman" w:eastAsia="Times New Roman"/>
          <w:iCs/>
          <w:spacing w:val="7"/>
          <w:sz w:val="32"/>
          <w:szCs w:val="32"/>
        </w:rPr>
        <w:t xml:space="preserve"> </w:t>
      </w:r>
      <w:r>
        <w:rPr>
          <w:i/>
          <w:iCs/>
          <w:spacing w:val="6"/>
          <w:w w:val="99"/>
          <w:sz w:val="32"/>
          <w:szCs w:val="32"/>
        </w:rPr>
        <w:t>亿元，在自治区市辖五区中排名第三，占全市</w:t>
      </w:r>
      <w:r>
        <w:rPr>
          <w:i/>
          <w:iCs/>
          <w:spacing w:val="-74"/>
          <w:sz w:val="32"/>
          <w:szCs w:val="32"/>
        </w:rPr>
        <w:t xml:space="preserve"> </w:t>
      </w:r>
      <w:r>
        <w:rPr>
          <w:rFonts w:ascii="Times New Roman" w:hAnsi="Times New Roman" w:eastAsia="Times New Roman"/>
          <w:iCs/>
          <w:w w:val="99"/>
          <w:sz w:val="32"/>
          <w:szCs w:val="32"/>
        </w:rPr>
        <w:t>GDP</w:t>
      </w:r>
      <w:r>
        <w:rPr>
          <w:rFonts w:ascii="Times New Roman" w:hAnsi="Times New Roman" w:eastAsia="Times New Roman"/>
          <w:iCs/>
          <w:spacing w:val="9"/>
          <w:sz w:val="32"/>
          <w:szCs w:val="32"/>
        </w:rPr>
        <w:t xml:space="preserve"> </w:t>
      </w:r>
      <w:r>
        <w:rPr>
          <w:i/>
          <w:iCs/>
          <w:spacing w:val="4"/>
          <w:w w:val="99"/>
          <w:sz w:val="32"/>
          <w:szCs w:val="32"/>
        </w:rPr>
        <w:t>比重为</w:t>
      </w:r>
      <w:r>
        <w:rPr>
          <w:i/>
          <w:iCs/>
          <w:spacing w:val="-74"/>
          <w:sz w:val="32"/>
          <w:szCs w:val="32"/>
        </w:rPr>
        <w:t xml:space="preserve"> </w:t>
      </w:r>
      <w:r>
        <w:rPr>
          <w:rFonts w:ascii="Times New Roman" w:hAnsi="Times New Roman" w:eastAsia="Times New Roman"/>
          <w:iCs/>
          <w:spacing w:val="-2"/>
          <w:w w:val="99"/>
          <w:sz w:val="32"/>
          <w:szCs w:val="32"/>
        </w:rPr>
        <w:t>1</w:t>
      </w:r>
      <w:r>
        <w:rPr>
          <w:rFonts w:ascii="Times New Roman" w:hAnsi="Times New Roman" w:eastAsia="Times New Roman"/>
          <w:iCs/>
          <w:spacing w:val="1"/>
          <w:w w:val="99"/>
          <w:sz w:val="32"/>
          <w:szCs w:val="32"/>
        </w:rPr>
        <w:t>5</w:t>
      </w:r>
      <w:r>
        <w:rPr>
          <w:rFonts w:ascii="Times New Roman" w:hAnsi="Times New Roman" w:eastAsia="Times New Roman"/>
          <w:iCs/>
          <w:spacing w:val="-1"/>
          <w:w w:val="99"/>
          <w:sz w:val="32"/>
          <w:szCs w:val="32"/>
        </w:rPr>
        <w:t>.</w:t>
      </w:r>
      <w:r>
        <w:rPr>
          <w:rFonts w:ascii="Times New Roman" w:hAnsi="Times New Roman" w:eastAsia="Times New Roman"/>
          <w:iCs/>
          <w:spacing w:val="1"/>
          <w:w w:val="99"/>
          <w:sz w:val="32"/>
          <w:szCs w:val="32"/>
        </w:rPr>
        <w:t>4</w:t>
      </w:r>
      <w:r>
        <w:rPr>
          <w:rFonts w:ascii="Times New Roman" w:hAnsi="Times New Roman" w:eastAsia="Times New Roman"/>
          <w:iCs/>
          <w:spacing w:val="5"/>
          <w:w w:val="99"/>
          <w:sz w:val="32"/>
          <w:szCs w:val="32"/>
        </w:rPr>
        <w:t>%</w:t>
      </w:r>
      <w:r>
        <w:rPr>
          <w:i/>
          <w:iCs/>
          <w:spacing w:val="4"/>
          <w:w w:val="99"/>
          <w:sz w:val="32"/>
          <w:szCs w:val="32"/>
        </w:rPr>
        <w:t>，分别低于兴庆区和西夏区</w:t>
      </w:r>
      <w:r>
        <w:rPr>
          <w:i/>
          <w:iCs/>
          <w:spacing w:val="-71"/>
          <w:sz w:val="32"/>
          <w:szCs w:val="32"/>
        </w:rPr>
        <w:t xml:space="preserve"> </w:t>
      </w:r>
      <w:r>
        <w:rPr>
          <w:rFonts w:ascii="Times New Roman" w:hAnsi="Times New Roman" w:eastAsia="Times New Roman"/>
          <w:iCs/>
          <w:spacing w:val="1"/>
          <w:w w:val="99"/>
          <w:sz w:val="32"/>
          <w:szCs w:val="32"/>
        </w:rPr>
        <w:t>12</w:t>
      </w:r>
      <w:r>
        <w:rPr>
          <w:rFonts w:ascii="Times New Roman" w:hAnsi="Times New Roman" w:eastAsia="Times New Roman"/>
          <w:iCs/>
          <w:spacing w:val="-1"/>
          <w:w w:val="99"/>
          <w:sz w:val="32"/>
          <w:szCs w:val="32"/>
        </w:rPr>
        <w:t>.</w:t>
      </w:r>
      <w:r>
        <w:rPr>
          <w:rFonts w:ascii="Times New Roman" w:hAnsi="Times New Roman" w:eastAsia="Times New Roman"/>
          <w:iCs/>
          <w:w w:val="99"/>
          <w:sz w:val="32"/>
          <w:szCs w:val="32"/>
        </w:rPr>
        <w:t>7</w:t>
      </w:r>
      <w:r>
        <w:rPr>
          <w:rFonts w:ascii="Times New Roman" w:hAnsi="Times New Roman" w:eastAsia="Times New Roman"/>
          <w:iCs/>
          <w:spacing w:val="5"/>
          <w:sz w:val="32"/>
          <w:szCs w:val="32"/>
        </w:rPr>
        <w:t xml:space="preserve"> </w:t>
      </w:r>
      <w:r>
        <w:rPr>
          <w:i/>
          <w:iCs/>
          <w:spacing w:val="5"/>
          <w:w w:val="99"/>
          <w:sz w:val="32"/>
          <w:szCs w:val="32"/>
        </w:rPr>
        <w:t>个百分点和</w:t>
      </w:r>
      <w:r>
        <w:rPr>
          <w:i/>
          <w:iCs/>
          <w:spacing w:val="-79"/>
          <w:sz w:val="32"/>
          <w:szCs w:val="32"/>
        </w:rPr>
        <w:t xml:space="preserve"> </w:t>
      </w:r>
      <w:r>
        <w:rPr>
          <w:rFonts w:ascii="Times New Roman" w:hAnsi="Times New Roman" w:eastAsia="Times New Roman"/>
          <w:iCs/>
          <w:spacing w:val="1"/>
          <w:w w:val="99"/>
          <w:sz w:val="32"/>
          <w:szCs w:val="32"/>
        </w:rPr>
        <w:t>10</w:t>
      </w:r>
      <w:r>
        <w:rPr>
          <w:rFonts w:ascii="Times New Roman" w:hAnsi="Times New Roman" w:eastAsia="Times New Roman"/>
          <w:iCs/>
          <w:spacing w:val="-1"/>
          <w:w w:val="99"/>
          <w:sz w:val="32"/>
          <w:szCs w:val="32"/>
        </w:rPr>
        <w:t>.</w:t>
      </w:r>
      <w:r>
        <w:rPr>
          <w:rFonts w:ascii="Times New Roman" w:hAnsi="Times New Roman" w:eastAsia="Times New Roman"/>
          <w:iCs/>
          <w:w w:val="99"/>
          <w:sz w:val="32"/>
          <w:szCs w:val="32"/>
        </w:rPr>
        <w:t>0</w:t>
      </w:r>
      <w:r>
        <w:rPr>
          <w:rFonts w:ascii="Times New Roman" w:hAnsi="Times New Roman" w:eastAsia="Times New Roman"/>
          <w:iCs/>
          <w:spacing w:val="-2"/>
          <w:sz w:val="32"/>
          <w:szCs w:val="32"/>
        </w:rPr>
        <w:t xml:space="preserve"> </w:t>
      </w:r>
      <w:r>
        <w:rPr>
          <w:i/>
          <w:iCs/>
          <w:spacing w:val="-8"/>
          <w:w w:val="99"/>
          <w:sz w:val="32"/>
          <w:szCs w:val="32"/>
        </w:rPr>
        <w:t>个百分点，差距较大。受辖区有限的土地资源、城市核心</w:t>
      </w:r>
    </w:p>
    <w:p w14:paraId="6BD72E3F">
      <w:pPr>
        <w:spacing w:line="338" w:lineRule="auto"/>
        <w:jc w:val="both"/>
        <w:sectPr>
          <w:pgSz w:w="11910" w:h="16840"/>
          <w:pgMar w:top="1800" w:right="1200" w:bottom="1160" w:left="1360" w:header="0" w:footer="975" w:gutter="0"/>
          <w:cols w:space="720" w:num="1"/>
        </w:sectPr>
      </w:pPr>
    </w:p>
    <w:p w14:paraId="76F98E63">
      <w:pPr>
        <w:spacing w:before="28" w:line="338" w:lineRule="auto"/>
        <w:ind w:left="113" w:right="246"/>
        <w:jc w:val="both"/>
        <w:rPr>
          <w:i/>
          <w:iCs/>
          <w:sz w:val="32"/>
          <w:szCs w:val="32"/>
        </w:rPr>
      </w:pPr>
      <w:r>
        <w:rPr>
          <w:i/>
          <w:iCs/>
          <w:w w:val="99"/>
          <w:sz w:val="32"/>
          <w:szCs w:val="32"/>
        </w:rPr>
        <w:t>区的功能定位、环境承载等因素影响，农业、工业发展受限，服</w:t>
      </w:r>
      <w:r>
        <w:rPr>
          <w:i/>
          <w:iCs/>
          <w:spacing w:val="1"/>
          <w:w w:val="99"/>
          <w:sz w:val="32"/>
          <w:szCs w:val="32"/>
        </w:rPr>
        <w:t>务业总体规模偏小，仅为兴庆区的</w:t>
      </w:r>
      <w:r>
        <w:rPr>
          <w:i/>
          <w:iCs/>
          <w:spacing w:val="-79"/>
          <w:sz w:val="32"/>
          <w:szCs w:val="32"/>
        </w:rPr>
        <w:t xml:space="preserve"> </w:t>
      </w:r>
      <w:r>
        <w:rPr>
          <w:rFonts w:ascii="Times New Roman" w:eastAsia="Times New Roman"/>
          <w:iCs/>
          <w:spacing w:val="1"/>
          <w:w w:val="99"/>
          <w:sz w:val="32"/>
          <w:szCs w:val="32"/>
        </w:rPr>
        <w:t>50</w:t>
      </w:r>
      <w:r>
        <w:rPr>
          <w:rFonts w:ascii="Times New Roman" w:eastAsia="Times New Roman"/>
          <w:iCs/>
          <w:spacing w:val="-1"/>
          <w:w w:val="99"/>
          <w:sz w:val="32"/>
          <w:szCs w:val="32"/>
        </w:rPr>
        <w:t>.</w:t>
      </w:r>
      <w:r>
        <w:rPr>
          <w:rFonts w:ascii="Times New Roman" w:eastAsia="Times New Roman"/>
          <w:iCs/>
          <w:spacing w:val="1"/>
          <w:w w:val="99"/>
          <w:sz w:val="32"/>
          <w:szCs w:val="32"/>
        </w:rPr>
        <w:t>5</w:t>
      </w:r>
      <w:r>
        <w:rPr>
          <w:rFonts w:ascii="Times New Roman" w:eastAsia="Times New Roman"/>
          <w:iCs/>
          <w:w w:val="99"/>
          <w:sz w:val="32"/>
          <w:szCs w:val="32"/>
        </w:rPr>
        <w:t>%</w:t>
      </w:r>
      <w:r>
        <w:rPr>
          <w:i/>
          <w:iCs/>
          <w:spacing w:val="1"/>
          <w:w w:val="99"/>
          <w:sz w:val="32"/>
          <w:szCs w:val="32"/>
        </w:rPr>
        <w:t>；阅海湾中央商务区和</w:t>
      </w:r>
      <w:r>
        <w:rPr>
          <w:i/>
          <w:iCs/>
          <w:w w:val="99"/>
          <w:sz w:val="32"/>
          <w:szCs w:val="32"/>
        </w:rPr>
        <w:t>丝路经济园支撑带动作用不够明显，服务业发展对房地产业依赖</w:t>
      </w:r>
      <w:r>
        <w:rPr>
          <w:i/>
          <w:iCs/>
          <w:spacing w:val="-3"/>
          <w:w w:val="99"/>
          <w:sz w:val="32"/>
          <w:szCs w:val="32"/>
        </w:rPr>
        <w:t>程度较高，传统服务行业占比高达</w:t>
      </w:r>
      <w:r>
        <w:rPr>
          <w:i/>
          <w:iCs/>
          <w:spacing w:val="-79"/>
          <w:sz w:val="32"/>
          <w:szCs w:val="32"/>
        </w:rPr>
        <w:t xml:space="preserve"> </w:t>
      </w:r>
      <w:r>
        <w:rPr>
          <w:rFonts w:ascii="Times New Roman" w:eastAsia="Times New Roman"/>
          <w:iCs/>
          <w:spacing w:val="1"/>
          <w:w w:val="99"/>
          <w:sz w:val="32"/>
          <w:szCs w:val="32"/>
        </w:rPr>
        <w:t>7</w:t>
      </w:r>
      <w:r>
        <w:rPr>
          <w:rFonts w:ascii="Times New Roman" w:eastAsia="Times New Roman"/>
          <w:iCs/>
          <w:spacing w:val="-2"/>
          <w:w w:val="99"/>
          <w:sz w:val="32"/>
          <w:szCs w:val="32"/>
        </w:rPr>
        <w:t>0</w:t>
      </w:r>
      <w:r>
        <w:rPr>
          <w:rFonts w:ascii="Times New Roman" w:eastAsia="Times New Roman"/>
          <w:iCs/>
          <w:w w:val="99"/>
          <w:sz w:val="32"/>
          <w:szCs w:val="32"/>
        </w:rPr>
        <w:t>%</w:t>
      </w:r>
      <w:r>
        <w:rPr>
          <w:i/>
          <w:iCs/>
          <w:spacing w:val="-3"/>
          <w:w w:val="99"/>
          <w:sz w:val="32"/>
          <w:szCs w:val="32"/>
        </w:rPr>
        <w:t>左右，新兴服务业发展不</w:t>
      </w:r>
      <w:r>
        <w:rPr>
          <w:i/>
          <w:iCs/>
          <w:spacing w:val="-4"/>
          <w:w w:val="99"/>
          <w:sz w:val="32"/>
          <w:szCs w:val="32"/>
        </w:rPr>
        <w:t>足，服务业内部结构还需进一步优化。</w:t>
      </w:r>
      <w:r>
        <w:rPr>
          <w:b/>
          <w:i/>
          <w:iCs/>
          <w:w w:val="99"/>
          <w:sz w:val="32"/>
          <w:szCs w:val="32"/>
        </w:rPr>
        <w:t>三是统筹发展协调不够与社会治理水平不高并存。</w:t>
      </w:r>
      <w:r>
        <w:rPr>
          <w:i/>
          <w:iCs/>
          <w:spacing w:val="-1"/>
          <w:w w:val="99"/>
          <w:sz w:val="32"/>
          <w:szCs w:val="32"/>
        </w:rPr>
        <w:t>城乡之间不平衡不充分问题突出，城乡</w:t>
      </w:r>
      <w:r>
        <w:rPr>
          <w:i/>
          <w:iCs/>
          <w:spacing w:val="-4"/>
          <w:w w:val="99"/>
          <w:sz w:val="32"/>
          <w:szCs w:val="32"/>
        </w:rPr>
        <w:t>居民收入差距过大，城乡居民收入比为</w:t>
      </w:r>
      <w:r>
        <w:rPr>
          <w:i/>
          <w:iCs/>
          <w:spacing w:val="-81"/>
          <w:sz w:val="32"/>
          <w:szCs w:val="32"/>
        </w:rPr>
        <w:t xml:space="preserve"> </w:t>
      </w:r>
      <w:r>
        <w:rPr>
          <w:rFonts w:ascii="Times New Roman" w:eastAsia="Times New Roman"/>
          <w:iCs/>
          <w:spacing w:val="1"/>
          <w:w w:val="99"/>
          <w:sz w:val="32"/>
          <w:szCs w:val="32"/>
        </w:rPr>
        <w:t>2</w:t>
      </w:r>
      <w:r>
        <w:rPr>
          <w:rFonts w:ascii="Times New Roman" w:eastAsia="Times New Roman"/>
          <w:iCs/>
          <w:spacing w:val="-1"/>
          <w:w w:val="99"/>
          <w:sz w:val="32"/>
          <w:szCs w:val="32"/>
        </w:rPr>
        <w:t>.</w:t>
      </w:r>
      <w:r>
        <w:rPr>
          <w:rFonts w:ascii="Times New Roman" w:eastAsia="Times New Roman"/>
          <w:iCs/>
          <w:spacing w:val="1"/>
          <w:w w:val="99"/>
          <w:sz w:val="32"/>
          <w:szCs w:val="32"/>
        </w:rPr>
        <w:t>9</w:t>
      </w:r>
      <w:r>
        <w:rPr>
          <w:rFonts w:ascii="Times New Roman" w:eastAsia="Times New Roman"/>
          <w:iCs/>
          <w:w w:val="99"/>
          <w:sz w:val="32"/>
          <w:szCs w:val="32"/>
        </w:rPr>
        <w:t>:</w:t>
      </w:r>
      <w:r>
        <w:rPr>
          <w:rFonts w:ascii="Times New Roman" w:eastAsia="Times New Roman"/>
          <w:iCs/>
          <w:spacing w:val="-2"/>
          <w:w w:val="99"/>
          <w:sz w:val="32"/>
          <w:szCs w:val="32"/>
        </w:rPr>
        <w:t>1</w:t>
      </w:r>
      <w:r>
        <w:rPr>
          <w:i/>
          <w:iCs/>
          <w:spacing w:val="-8"/>
          <w:w w:val="99"/>
          <w:sz w:val="32"/>
          <w:szCs w:val="32"/>
        </w:rPr>
        <w:t>，高于全国、自治区</w:t>
      </w:r>
      <w:r>
        <w:rPr>
          <w:i/>
          <w:iCs/>
          <w:spacing w:val="-2"/>
          <w:w w:val="99"/>
          <w:sz w:val="32"/>
          <w:szCs w:val="32"/>
        </w:rPr>
        <w:t>和银川市平均水平。生态基础仍然薄弱，随着人口数量的大量增</w:t>
      </w:r>
      <w:r>
        <w:rPr>
          <w:i/>
          <w:iCs/>
          <w:w w:val="99"/>
          <w:sz w:val="32"/>
          <w:szCs w:val="32"/>
        </w:rPr>
        <w:t>加，势必对城区基础设施、公共服务、生态资源环境带来压力。金凤区城市建设步伐不断加快，征地拆迁、旧城改造过程中存在项目补偿款不到位、拆迁回建安置工作滞后、被搬迁户安置不及时等问题，引发的社会矛盾业日益增多，基层治理依然薄弱，政</w:t>
      </w:r>
      <w:r>
        <w:rPr>
          <w:i/>
          <w:iCs/>
          <w:spacing w:val="-1"/>
          <w:w w:val="99"/>
          <w:sz w:val="32"/>
          <w:szCs w:val="32"/>
        </w:rPr>
        <w:t>府社会管理职能有待强化，部分干部依法行政能力需要进一步提</w:t>
      </w:r>
      <w:r>
        <w:rPr>
          <w:i/>
          <w:iCs/>
          <w:spacing w:val="-7"/>
          <w:w w:val="99"/>
          <w:sz w:val="32"/>
          <w:szCs w:val="32"/>
        </w:rPr>
        <w:t>高。</w:t>
      </w:r>
      <w:r>
        <w:rPr>
          <w:b/>
          <w:i/>
          <w:iCs/>
          <w:spacing w:val="-1"/>
          <w:w w:val="99"/>
          <w:sz w:val="32"/>
          <w:szCs w:val="32"/>
        </w:rPr>
        <w:t>四是财政收支矛盾凸显与金融支持力度不够并存。</w:t>
      </w:r>
      <w:r>
        <w:rPr>
          <w:i/>
          <w:iCs/>
          <w:w w:val="99"/>
          <w:sz w:val="32"/>
          <w:szCs w:val="32"/>
        </w:rPr>
        <w:t>受经济下行、新冠肺炎疫情造成经济低位运行和结构性减税降费持续推进影响，全区可用财力持续增长的难度增大。本级财力主要用于保工资、保运转、保民生，干事创业资金有限，尤其是政府实施旧城改造、美丽乡村建设、棚户区建设项目垫付大量资金，资金压力较大。同时，地方政府承担着与其财力极不相匹配的事权，财政对城市建设和民生投入的支出显著增加，公共服务、教育、科技、医疗卫生等领域的一般公共预算缺口扩大，但创新融资、开拓财源的办法还不多。</w:t>
      </w:r>
      <w:r>
        <w:rPr>
          <w:b/>
          <w:i/>
          <w:iCs/>
          <w:w w:val="99"/>
          <w:sz w:val="32"/>
          <w:szCs w:val="32"/>
        </w:rPr>
        <w:t>五是城市能级偏弱与区域竞争加剧并存。</w:t>
      </w:r>
      <w:r>
        <w:rPr>
          <w:i/>
          <w:iCs/>
          <w:w w:val="99"/>
          <w:sz w:val="32"/>
          <w:szCs w:val="32"/>
        </w:rPr>
        <w:t>金凤区城市服务能级总体水平还不高，缺乏具有国内影响力、高</w:t>
      </w:r>
    </w:p>
    <w:p w14:paraId="6EFA1F15">
      <w:pPr>
        <w:spacing w:line="338" w:lineRule="auto"/>
        <w:jc w:val="both"/>
        <w:sectPr>
          <w:pgSz w:w="11910" w:h="16840"/>
          <w:pgMar w:top="1800" w:right="1200" w:bottom="1160" w:left="1360" w:header="0" w:footer="975" w:gutter="0"/>
          <w:cols w:space="720" w:num="1"/>
        </w:sectPr>
      </w:pPr>
    </w:p>
    <w:p w14:paraId="2C3F6776">
      <w:pPr>
        <w:spacing w:before="28" w:line="338" w:lineRule="auto"/>
        <w:ind w:left="113" w:right="110"/>
        <w:rPr>
          <w:i/>
          <w:iCs/>
          <w:sz w:val="32"/>
          <w:szCs w:val="32"/>
        </w:rPr>
      </w:pPr>
      <w:r>
        <w:rPr>
          <w:i/>
          <w:iCs/>
          <w:w w:val="99"/>
          <w:sz w:val="32"/>
          <w:szCs w:val="32"/>
        </w:rPr>
        <w:t>附加值的高端服务业，科技、教育、医疗等功能尚不完善，高端人才严重短缺。金凤区在区内相对优越的区位、资源优势与西北各省会核心区相比优势并不明显，吸引外来资投资能力偏弱，辖</w:t>
      </w:r>
      <w:r>
        <w:rPr>
          <w:i/>
          <w:iCs/>
          <w:spacing w:val="-1"/>
          <w:w w:val="99"/>
          <w:sz w:val="32"/>
          <w:szCs w:val="32"/>
        </w:rPr>
        <w:t>区也尚未形成全国知名的强大产业链条，吸引产业集聚发展能力</w:t>
      </w:r>
      <w:r>
        <w:rPr>
          <w:i/>
          <w:iCs/>
          <w:w w:val="99"/>
          <w:sz w:val="32"/>
          <w:szCs w:val="32"/>
        </w:rPr>
        <w:t>偏弱。与此同时，随着区域一体化进程加速推进，西安、太原、呼和浩特等周边城市优质医疗、教育、基础设施资源高度聚集产</w:t>
      </w:r>
      <w:r>
        <w:rPr>
          <w:i/>
          <w:iCs/>
          <w:spacing w:val="-12"/>
          <w:w w:val="99"/>
          <w:sz w:val="32"/>
          <w:szCs w:val="32"/>
        </w:rPr>
        <w:t>生的“虹吸效应”圈层不断外扩。特别是黄河“几”字弯都市圈、</w:t>
      </w:r>
      <w:r>
        <w:rPr>
          <w:i/>
          <w:iCs/>
          <w:spacing w:val="-2"/>
          <w:w w:val="99"/>
          <w:sz w:val="32"/>
          <w:szCs w:val="32"/>
        </w:rPr>
        <w:t>全面建成小康社会的加快推进，银川各个城区发展也进入决战攻</w:t>
      </w:r>
      <w:r>
        <w:rPr>
          <w:i/>
          <w:iCs/>
          <w:w w:val="99"/>
          <w:sz w:val="32"/>
          <w:szCs w:val="32"/>
        </w:rPr>
        <w:t>坚期，城区之间竞争态势将更加激烈，在一定程度上削弱了金凤区的发展优势。</w:t>
      </w:r>
    </w:p>
    <w:p w14:paraId="1770DF67">
      <w:pPr>
        <w:spacing w:before="43" w:line="357" w:lineRule="auto"/>
        <w:ind w:left="113" w:right="114" w:firstLine="640"/>
        <w:rPr>
          <w:i/>
          <w:iCs/>
          <w:sz w:val="32"/>
          <w:szCs w:val="32"/>
        </w:rPr>
      </w:pPr>
      <w:r>
        <w:rPr>
          <w:i/>
          <w:iCs/>
          <w:spacing w:val="-7"/>
          <w:w w:val="99"/>
          <w:sz w:val="32"/>
          <w:szCs w:val="32"/>
        </w:rPr>
        <w:t>综合形势判断，“十四五”时期，金凤仍处于重要战略机遇</w:t>
      </w:r>
      <w:r>
        <w:rPr>
          <w:i/>
          <w:iCs/>
          <w:spacing w:val="-4"/>
          <w:w w:val="99"/>
          <w:sz w:val="32"/>
          <w:szCs w:val="32"/>
        </w:rPr>
        <w:t>期，同时也面临矛盾叠加、风险隐患增多的严峻挑战，但外部机</w:t>
      </w:r>
      <w:r>
        <w:rPr>
          <w:i/>
          <w:iCs/>
          <w:spacing w:val="-1"/>
          <w:w w:val="99"/>
          <w:sz w:val="32"/>
          <w:szCs w:val="32"/>
        </w:rPr>
        <w:t>遇大于挑战。必须立足新发展阶段，贯彻新发展理念，构建新发</w:t>
      </w:r>
      <w:r>
        <w:rPr>
          <w:i/>
          <w:iCs/>
          <w:w w:val="99"/>
          <w:sz w:val="32"/>
          <w:szCs w:val="32"/>
        </w:rPr>
        <w:t>展格局，增强机遇意识和风险意识，保持战略定力，认识和把握</w:t>
      </w:r>
      <w:r>
        <w:rPr>
          <w:i/>
          <w:iCs/>
          <w:spacing w:val="-13"/>
          <w:w w:val="99"/>
          <w:sz w:val="32"/>
          <w:szCs w:val="32"/>
        </w:rPr>
        <w:t>发展规律，发扬斗争精神，树立底线思维，准确识变、科学应变、</w:t>
      </w:r>
      <w:r>
        <w:rPr>
          <w:i/>
          <w:iCs/>
          <w:spacing w:val="-2"/>
          <w:w w:val="99"/>
          <w:sz w:val="32"/>
          <w:szCs w:val="32"/>
        </w:rPr>
        <w:t>主动求变，善于在危机中育先机、于变局中开新局，抓住机遇，</w:t>
      </w:r>
      <w:r>
        <w:rPr>
          <w:i/>
          <w:iCs/>
          <w:w w:val="99"/>
          <w:sz w:val="32"/>
          <w:szCs w:val="32"/>
        </w:rPr>
        <w:t>应对挑战，趋利避害，奋勇前进。</w:t>
      </w:r>
    </w:p>
    <w:p w14:paraId="6357CDD5">
      <w:pPr>
        <w:spacing w:line="357" w:lineRule="auto"/>
        <w:sectPr>
          <w:pgSz w:w="11910" w:h="16840"/>
          <w:pgMar w:top="1800" w:right="1200" w:bottom="1160" w:left="1360" w:header="0" w:footer="975" w:gutter="0"/>
          <w:cols w:space="720" w:num="1"/>
        </w:sectPr>
      </w:pPr>
    </w:p>
    <w:p w14:paraId="41F16E9E">
      <w:pPr>
        <w:tabs>
          <w:tab w:val="left" w:pos="2427"/>
        </w:tabs>
        <w:spacing w:line="615" w:lineRule="exact"/>
        <w:ind w:left="982"/>
        <w:rPr>
          <w:rFonts w:ascii="方正小标宋简体" w:eastAsia="方正小标宋简体"/>
          <w:b/>
          <w:sz w:val="36"/>
        </w:rPr>
      </w:pPr>
      <w:r>
        <w:rPr>
          <w:rFonts w:hint="eastAsia" w:ascii="方正小标宋简体" w:eastAsia="方正小标宋简体"/>
          <w:b/>
          <w:w w:val="95"/>
          <w:sz w:val="36"/>
        </w:rPr>
        <w:t>第二</w:t>
      </w:r>
      <w:r>
        <w:rPr>
          <w:rFonts w:hint="eastAsia" w:ascii="方正小标宋简体" w:eastAsia="方正小标宋简体"/>
          <w:b/>
          <w:spacing w:val="-10"/>
          <w:w w:val="95"/>
          <w:sz w:val="36"/>
        </w:rPr>
        <w:t>篇</w:t>
      </w:r>
      <w:r>
        <w:rPr>
          <w:rFonts w:hint="eastAsia" w:ascii="方正小标宋简体" w:eastAsia="方正小标宋简体"/>
          <w:b/>
          <w:sz w:val="36"/>
        </w:rPr>
        <w:tab/>
      </w:r>
      <w:r>
        <w:rPr>
          <w:rFonts w:hint="eastAsia" w:ascii="方正小标宋简体" w:eastAsia="方正小标宋简体"/>
          <w:b/>
          <w:w w:val="95"/>
          <w:sz w:val="36"/>
        </w:rPr>
        <w:t>总体谋划部署，绘制未来发展新蓝</w:t>
      </w:r>
      <w:r>
        <w:rPr>
          <w:rFonts w:hint="eastAsia" w:ascii="方正小标宋简体" w:eastAsia="方正小标宋简体"/>
          <w:b/>
          <w:spacing w:val="-10"/>
          <w:w w:val="95"/>
          <w:sz w:val="36"/>
        </w:rPr>
        <w:t>图</w:t>
      </w:r>
    </w:p>
    <w:p w14:paraId="662D7F2F">
      <w:pPr>
        <w:spacing w:before="5"/>
        <w:rPr>
          <w:rFonts w:ascii="方正小标宋简体"/>
          <w:b/>
          <w:iCs/>
          <w:sz w:val="35"/>
          <w:szCs w:val="32"/>
        </w:rPr>
      </w:pPr>
    </w:p>
    <w:p w14:paraId="7A751B77">
      <w:pPr>
        <w:ind w:left="953"/>
        <w:rPr>
          <w:rFonts w:ascii="宋体" w:eastAsia="宋体"/>
          <w:b/>
          <w:sz w:val="30"/>
        </w:rPr>
      </w:pPr>
      <w:r>
        <w:rPr>
          <w:rFonts w:hint="eastAsia" w:ascii="宋体" w:eastAsia="宋体"/>
          <w:b/>
          <w:sz w:val="30"/>
        </w:rPr>
        <w:t>第二章</w:t>
      </w:r>
      <w:r>
        <w:rPr>
          <w:rFonts w:hint="eastAsia" w:ascii="宋体" w:eastAsia="宋体"/>
          <w:b/>
          <w:spacing w:val="58"/>
          <w:w w:val="150"/>
          <w:sz w:val="30"/>
        </w:rPr>
        <w:t xml:space="preserve"> </w:t>
      </w:r>
      <w:r>
        <w:rPr>
          <w:rFonts w:hint="eastAsia" w:ascii="宋体" w:eastAsia="宋体"/>
          <w:b/>
          <w:sz w:val="30"/>
        </w:rPr>
        <w:t>总体要</w:t>
      </w:r>
      <w:r>
        <w:rPr>
          <w:rFonts w:hint="eastAsia" w:ascii="宋体" w:eastAsia="宋体"/>
          <w:b/>
          <w:spacing w:val="-10"/>
          <w:sz w:val="30"/>
        </w:rPr>
        <w:t>求</w:t>
      </w:r>
    </w:p>
    <w:p w14:paraId="79ABABEC">
      <w:pPr>
        <w:spacing w:before="9"/>
        <w:rPr>
          <w:rFonts w:ascii="宋体"/>
          <w:b/>
          <w:iCs/>
          <w:sz w:val="31"/>
          <w:szCs w:val="32"/>
        </w:rPr>
      </w:pPr>
    </w:p>
    <w:p w14:paraId="49EF7B23">
      <w:pPr>
        <w:spacing w:before="1"/>
        <w:ind w:left="1539" w:right="1699"/>
        <w:jc w:val="center"/>
        <w:outlineLvl w:val="0"/>
        <w:rPr>
          <w:rFonts w:ascii="宋体" w:hAnsi="Microsoft JhengHei" w:eastAsia="宋体" w:cs="Microsoft JhengHei"/>
          <w:b/>
          <w:bCs/>
          <w:sz w:val="32"/>
          <w:szCs w:val="32"/>
        </w:rPr>
      </w:pPr>
      <w:r>
        <w:rPr>
          <w:rFonts w:hint="eastAsia" w:ascii="宋体" w:hAnsi="Microsoft JhengHei" w:eastAsia="宋体" w:cs="Microsoft JhengHei"/>
          <w:b/>
          <w:bCs/>
          <w:sz w:val="32"/>
          <w:szCs w:val="32"/>
        </w:rPr>
        <w:t>第一</w:t>
      </w:r>
      <w:r>
        <w:rPr>
          <w:rFonts w:hint="eastAsia" w:ascii="宋体" w:hAnsi="Microsoft JhengHei" w:eastAsia="宋体" w:cs="Microsoft JhengHei"/>
          <w:b/>
          <w:bCs/>
          <w:spacing w:val="50"/>
          <w:sz w:val="32"/>
          <w:szCs w:val="32"/>
        </w:rPr>
        <w:t>节 指</w:t>
      </w:r>
      <w:r>
        <w:rPr>
          <w:rFonts w:hint="eastAsia" w:ascii="宋体" w:hAnsi="Microsoft JhengHei" w:eastAsia="宋体" w:cs="Microsoft JhengHei"/>
          <w:b/>
          <w:bCs/>
          <w:sz w:val="32"/>
          <w:szCs w:val="32"/>
        </w:rPr>
        <w:t>导思</w:t>
      </w:r>
      <w:r>
        <w:rPr>
          <w:rFonts w:hint="eastAsia" w:ascii="宋体" w:hAnsi="Microsoft JhengHei" w:eastAsia="宋体" w:cs="Microsoft JhengHei"/>
          <w:b/>
          <w:bCs/>
          <w:spacing w:val="-10"/>
          <w:sz w:val="32"/>
          <w:szCs w:val="32"/>
        </w:rPr>
        <w:t>想</w:t>
      </w:r>
    </w:p>
    <w:p w14:paraId="0353D80B">
      <w:pPr>
        <w:spacing w:before="262" w:line="338" w:lineRule="auto"/>
        <w:ind w:left="113" w:right="126" w:firstLine="684"/>
        <w:rPr>
          <w:i/>
          <w:iCs/>
          <w:sz w:val="32"/>
          <w:szCs w:val="32"/>
        </w:rPr>
      </w:pPr>
      <w:r>
        <w:rPr>
          <w:b/>
          <w:i/>
          <w:iCs/>
          <w:spacing w:val="23"/>
          <w:w w:val="99"/>
          <w:sz w:val="32"/>
          <w:szCs w:val="32"/>
        </w:rPr>
        <w:t>“十四五”时期，金凤区经济社会发展的指导思想是：</w:t>
      </w:r>
      <w:r>
        <w:rPr>
          <w:i/>
          <w:iCs/>
          <w:spacing w:val="23"/>
          <w:w w:val="99"/>
          <w:sz w:val="32"/>
          <w:szCs w:val="32"/>
        </w:rPr>
        <w:t>高举中国特色社会主义伟大旗帜，深入贯彻党的十九大和十九届二中、三中、四中、五中全会精神，坚持以马克思列宁</w:t>
      </w:r>
      <w:r>
        <w:rPr>
          <w:i/>
          <w:iCs/>
          <w:spacing w:val="16"/>
          <w:w w:val="99"/>
          <w:sz w:val="32"/>
          <w:szCs w:val="32"/>
        </w:rPr>
        <w:t>主义、毛泽东思想、邓小平理论</w:t>
      </w:r>
      <w:r>
        <w:rPr>
          <w:i/>
          <w:iCs/>
          <w:w w:val="99"/>
          <w:sz w:val="32"/>
          <w:szCs w:val="32"/>
        </w:rPr>
        <w:t>、“三个代表”重要思想、科</w:t>
      </w:r>
      <w:r>
        <w:rPr>
          <w:i/>
          <w:iCs/>
          <w:spacing w:val="23"/>
          <w:w w:val="99"/>
          <w:sz w:val="32"/>
          <w:szCs w:val="32"/>
        </w:rPr>
        <w:t>学发展观、习近平新时代中国特色社会主义思想为指导，以习近平总书记视察宁夏重要讲话精神为统揽，统筹推进“五位一体”总体布局，协调推进“四个全面”战略布局，坚持和加强党的全面领导，贯彻新发展理念，坚持稳中求进工作</w:t>
      </w:r>
      <w:r>
        <w:rPr>
          <w:i/>
          <w:iCs/>
          <w:spacing w:val="11"/>
          <w:w w:val="99"/>
          <w:sz w:val="32"/>
          <w:szCs w:val="32"/>
        </w:rPr>
        <w:t>总基调，以推动高质量发展为主题，以改革创新为根本动力，</w:t>
      </w:r>
      <w:r>
        <w:rPr>
          <w:i/>
          <w:iCs/>
          <w:spacing w:val="23"/>
          <w:w w:val="99"/>
          <w:sz w:val="32"/>
          <w:szCs w:val="32"/>
        </w:rPr>
        <w:t>以满足人民日益增长的美好生活需要为根本目的，统筹发展和安全，积极融入新发展格局，加快建设现代化经济体系，扎实推进基层治理体系和治理能力现代化，坚决守好促进民</w:t>
      </w:r>
      <w:r>
        <w:rPr>
          <w:i/>
          <w:iCs/>
          <w:spacing w:val="4"/>
          <w:w w:val="99"/>
          <w:sz w:val="32"/>
          <w:szCs w:val="32"/>
        </w:rPr>
        <w:t xml:space="preserve">族团结、维护政治安全、改善生态环境“三条生命线”，围绕 </w:t>
      </w:r>
      <w:r>
        <w:rPr>
          <w:i/>
          <w:iCs/>
          <w:spacing w:val="23"/>
          <w:w w:val="99"/>
          <w:sz w:val="32"/>
          <w:szCs w:val="32"/>
        </w:rPr>
        <w:t>“一高三化”目标要求，全面提升金凤区中心城区首位度，在黄河流域生态保护和高质量发展先行区建设中走在前、做</w:t>
      </w:r>
      <w:r>
        <w:rPr>
          <w:i/>
          <w:iCs/>
          <w:spacing w:val="20"/>
          <w:w w:val="99"/>
          <w:sz w:val="32"/>
          <w:szCs w:val="32"/>
        </w:rPr>
        <w:t>表率，开启全面建设社会主义现代化的金凤新征程。</w:t>
      </w:r>
    </w:p>
    <w:p w14:paraId="4293C7CE">
      <w:pPr>
        <w:spacing w:before="230"/>
        <w:ind w:left="1518" w:right="1699"/>
        <w:jc w:val="center"/>
        <w:outlineLvl w:val="0"/>
        <w:rPr>
          <w:rFonts w:ascii="宋体" w:hAnsi="Microsoft JhengHei" w:eastAsia="宋体" w:cs="Microsoft JhengHei"/>
          <w:b/>
          <w:bCs/>
          <w:sz w:val="32"/>
          <w:szCs w:val="32"/>
        </w:rPr>
      </w:pPr>
      <w:r>
        <w:rPr>
          <w:rFonts w:hint="eastAsia" w:ascii="宋体" w:hAnsi="Microsoft JhengHei" w:eastAsia="宋体" w:cs="Microsoft JhengHei"/>
          <w:b/>
          <w:bCs/>
          <w:spacing w:val="24"/>
          <w:sz w:val="32"/>
          <w:szCs w:val="32"/>
        </w:rPr>
        <w:t>第二</w:t>
      </w:r>
      <w:r>
        <w:rPr>
          <w:rFonts w:hint="eastAsia" w:ascii="宋体" w:hAnsi="Microsoft JhengHei" w:eastAsia="宋体" w:cs="Microsoft JhengHei"/>
          <w:b/>
          <w:bCs/>
          <w:spacing w:val="76"/>
          <w:sz w:val="32"/>
          <w:szCs w:val="32"/>
        </w:rPr>
        <w:t>节 基</w:t>
      </w:r>
      <w:r>
        <w:rPr>
          <w:rFonts w:hint="eastAsia" w:ascii="宋体" w:hAnsi="Microsoft JhengHei" w:eastAsia="宋体" w:cs="Microsoft JhengHei"/>
          <w:b/>
          <w:bCs/>
          <w:spacing w:val="24"/>
          <w:sz w:val="32"/>
          <w:szCs w:val="32"/>
        </w:rPr>
        <w:t>本原</w:t>
      </w:r>
      <w:r>
        <w:rPr>
          <w:rFonts w:hint="eastAsia" w:ascii="宋体" w:hAnsi="Microsoft JhengHei" w:eastAsia="宋体" w:cs="Microsoft JhengHei"/>
          <w:b/>
          <w:bCs/>
          <w:spacing w:val="-10"/>
          <w:sz w:val="32"/>
          <w:szCs w:val="32"/>
        </w:rPr>
        <w:t>则</w:t>
      </w:r>
    </w:p>
    <w:p w14:paraId="3A651151">
      <w:pPr>
        <w:spacing w:before="262"/>
        <w:ind w:left="797"/>
        <w:rPr>
          <w:b/>
          <w:i/>
          <w:sz w:val="32"/>
        </w:rPr>
      </w:pPr>
      <w:r>
        <w:rPr>
          <w:b/>
          <w:i/>
          <w:spacing w:val="24"/>
          <w:w w:val="95"/>
          <w:sz w:val="32"/>
        </w:rPr>
        <w:t>“十四五”时期，金凤区经济社会发展的基本原则是</w:t>
      </w:r>
      <w:r>
        <w:rPr>
          <w:b/>
          <w:i/>
          <w:spacing w:val="-10"/>
          <w:w w:val="95"/>
          <w:sz w:val="32"/>
        </w:rPr>
        <w:t>：</w:t>
      </w:r>
    </w:p>
    <w:p w14:paraId="4F062487">
      <w:pPr>
        <w:rPr>
          <w:sz w:val="32"/>
        </w:rPr>
        <w:sectPr>
          <w:pgSz w:w="11910" w:h="16840"/>
          <w:pgMar w:top="1760" w:right="1200" w:bottom="1160" w:left="1360" w:header="0" w:footer="975" w:gutter="0"/>
          <w:cols w:space="720" w:num="1"/>
        </w:sectPr>
      </w:pPr>
    </w:p>
    <w:p w14:paraId="4B6FE91A">
      <w:pPr>
        <w:spacing w:before="48" w:line="338" w:lineRule="auto"/>
        <w:ind w:left="113" w:right="293" w:firstLine="684"/>
        <w:jc w:val="both"/>
        <w:rPr>
          <w:i/>
          <w:iCs/>
          <w:sz w:val="32"/>
          <w:szCs w:val="32"/>
        </w:rPr>
      </w:pPr>
      <w:r>
        <w:rPr>
          <w:rFonts w:ascii="Times New Roman" w:hAnsi="Times New Roman" w:eastAsia="Times New Roman"/>
          <w:b/>
          <w:iCs/>
          <w:spacing w:val="12"/>
          <w:w w:val="99"/>
          <w:sz w:val="32"/>
          <w:szCs w:val="32"/>
        </w:rPr>
        <w:t>——</w:t>
      </w:r>
      <w:r>
        <w:rPr>
          <w:b/>
          <w:i/>
          <w:iCs/>
          <w:spacing w:val="26"/>
          <w:w w:val="99"/>
          <w:sz w:val="32"/>
          <w:szCs w:val="32"/>
        </w:rPr>
        <w:t>坚持党的全面领导。</w:t>
      </w:r>
      <w:r>
        <w:rPr>
          <w:i/>
          <w:iCs/>
          <w:spacing w:val="24"/>
          <w:w w:val="99"/>
          <w:sz w:val="32"/>
          <w:szCs w:val="32"/>
        </w:rPr>
        <w:t>坚持和完善党领导经济社会发</w:t>
      </w:r>
      <w:r>
        <w:rPr>
          <w:i/>
          <w:iCs/>
          <w:spacing w:val="23"/>
          <w:w w:val="99"/>
          <w:sz w:val="32"/>
          <w:szCs w:val="32"/>
        </w:rPr>
        <w:t>展的体制机制，坚持和完善中国特色社会主义制度，不断提高贯彻新发展理念、构建新发展格局能力和水平，为实现高</w:t>
      </w:r>
      <w:r>
        <w:rPr>
          <w:i/>
          <w:iCs/>
          <w:spacing w:val="19"/>
          <w:w w:val="99"/>
          <w:sz w:val="32"/>
          <w:szCs w:val="32"/>
        </w:rPr>
        <w:t>质量发展提供根本保证。</w:t>
      </w:r>
    </w:p>
    <w:p w14:paraId="1F4E7752">
      <w:pPr>
        <w:spacing w:before="8" w:line="340" w:lineRule="auto"/>
        <w:ind w:left="113" w:right="293" w:firstLine="684"/>
        <w:jc w:val="both"/>
        <w:rPr>
          <w:i/>
          <w:iCs/>
          <w:sz w:val="32"/>
          <w:szCs w:val="32"/>
        </w:rPr>
      </w:pPr>
      <w:r>
        <w:rPr>
          <w:rFonts w:ascii="Times New Roman" w:hAnsi="Times New Roman" w:eastAsia="Times New Roman"/>
          <w:b/>
          <w:iCs/>
          <w:spacing w:val="12"/>
          <w:w w:val="99"/>
          <w:sz w:val="32"/>
          <w:szCs w:val="32"/>
        </w:rPr>
        <w:t>——</w:t>
      </w:r>
      <w:r>
        <w:rPr>
          <w:b/>
          <w:i/>
          <w:iCs/>
          <w:spacing w:val="26"/>
          <w:w w:val="99"/>
          <w:sz w:val="32"/>
          <w:szCs w:val="32"/>
        </w:rPr>
        <w:t>坚持以人民为中心。</w:t>
      </w:r>
      <w:r>
        <w:rPr>
          <w:i/>
          <w:iCs/>
          <w:spacing w:val="24"/>
          <w:w w:val="99"/>
          <w:sz w:val="32"/>
          <w:szCs w:val="32"/>
        </w:rPr>
        <w:t>坚持人民主体地位，把牢共同</w:t>
      </w:r>
      <w:r>
        <w:rPr>
          <w:i/>
          <w:iCs/>
          <w:spacing w:val="23"/>
          <w:w w:val="99"/>
          <w:sz w:val="32"/>
          <w:szCs w:val="32"/>
        </w:rPr>
        <w:t>富裕方向，始终做到发展为了人民、发展依靠人民、发展成果由人民共享，维护人民根本利益，激发全体人民积极性、主动性、创造性，促进社会公平，增进民生福祉，不断实现</w:t>
      </w:r>
      <w:r>
        <w:rPr>
          <w:i/>
          <w:iCs/>
          <w:spacing w:val="19"/>
          <w:w w:val="99"/>
          <w:sz w:val="32"/>
          <w:szCs w:val="32"/>
        </w:rPr>
        <w:t>人民对美好生活的向往。</w:t>
      </w:r>
    </w:p>
    <w:p w14:paraId="20443558">
      <w:pPr>
        <w:spacing w:line="338" w:lineRule="auto"/>
        <w:ind w:left="113" w:right="295" w:firstLine="684"/>
        <w:jc w:val="both"/>
        <w:rPr>
          <w:i/>
          <w:iCs/>
          <w:sz w:val="32"/>
          <w:szCs w:val="32"/>
        </w:rPr>
      </w:pPr>
      <w:r>
        <w:rPr>
          <w:rFonts w:ascii="Times New Roman" w:hAnsi="Times New Roman" w:eastAsia="Times New Roman"/>
          <w:b/>
          <w:iCs/>
          <w:spacing w:val="12"/>
          <w:w w:val="99"/>
          <w:sz w:val="32"/>
          <w:szCs w:val="32"/>
        </w:rPr>
        <w:t>——</w:t>
      </w:r>
      <w:r>
        <w:rPr>
          <w:b/>
          <w:i/>
          <w:iCs/>
          <w:spacing w:val="26"/>
          <w:w w:val="99"/>
          <w:sz w:val="32"/>
          <w:szCs w:val="32"/>
        </w:rPr>
        <w:t>坚持新发展理念。</w:t>
      </w:r>
      <w:r>
        <w:rPr>
          <w:i/>
          <w:iCs/>
          <w:spacing w:val="24"/>
          <w:w w:val="99"/>
          <w:sz w:val="32"/>
          <w:szCs w:val="32"/>
        </w:rPr>
        <w:t>把新发展理念贯穿发展全过程和</w:t>
      </w:r>
      <w:r>
        <w:rPr>
          <w:i/>
          <w:iCs/>
          <w:spacing w:val="23"/>
          <w:w w:val="99"/>
          <w:sz w:val="32"/>
          <w:szCs w:val="32"/>
        </w:rPr>
        <w:t>各领域，构建新发展格局，切实转变发展方式，推动质量变革、效率变革、动力变革，实现更高质量、更有效率、更加</w:t>
      </w:r>
      <w:r>
        <w:rPr>
          <w:i/>
          <w:iCs/>
          <w:spacing w:val="19"/>
          <w:w w:val="99"/>
          <w:sz w:val="32"/>
          <w:szCs w:val="32"/>
        </w:rPr>
        <w:t>公平、更可持续、更为安全的发展。</w:t>
      </w:r>
    </w:p>
    <w:p w14:paraId="73BF3F6A">
      <w:pPr>
        <w:spacing w:line="340" w:lineRule="auto"/>
        <w:ind w:left="113" w:right="293" w:firstLine="684"/>
        <w:jc w:val="both"/>
        <w:rPr>
          <w:i/>
          <w:iCs/>
          <w:sz w:val="32"/>
          <w:szCs w:val="32"/>
        </w:rPr>
      </w:pPr>
      <w:r>
        <w:rPr>
          <w:rFonts w:ascii="Times New Roman" w:hAnsi="Times New Roman" w:eastAsia="Times New Roman"/>
          <w:b/>
          <w:iCs/>
          <w:spacing w:val="12"/>
          <w:w w:val="99"/>
          <w:sz w:val="32"/>
          <w:szCs w:val="32"/>
        </w:rPr>
        <w:t>——</w:t>
      </w:r>
      <w:r>
        <w:rPr>
          <w:b/>
          <w:i/>
          <w:iCs/>
          <w:spacing w:val="26"/>
          <w:w w:val="99"/>
          <w:sz w:val="32"/>
          <w:szCs w:val="32"/>
        </w:rPr>
        <w:t>坚持深化改革开放。</w:t>
      </w:r>
      <w:r>
        <w:rPr>
          <w:i/>
          <w:iCs/>
          <w:spacing w:val="24"/>
          <w:w w:val="99"/>
          <w:sz w:val="32"/>
          <w:szCs w:val="32"/>
        </w:rPr>
        <w:t>坚定不移推进改革，坚定不移</w:t>
      </w:r>
      <w:r>
        <w:rPr>
          <w:i/>
          <w:iCs/>
          <w:spacing w:val="23"/>
          <w:w w:val="99"/>
          <w:sz w:val="32"/>
          <w:szCs w:val="32"/>
        </w:rPr>
        <w:t>扩大开放，加强治理体系和治理能力现代化建设，破除制约高质量发展、高品质生活的体制机制障碍，强化有利于提高资源配置效率、有利于调动全社会积极性的重大改革开放举</w:t>
      </w:r>
      <w:r>
        <w:rPr>
          <w:i/>
          <w:iCs/>
          <w:spacing w:val="19"/>
          <w:w w:val="99"/>
          <w:sz w:val="32"/>
          <w:szCs w:val="32"/>
        </w:rPr>
        <w:t>措，持续增强发展动力和活力。</w:t>
      </w:r>
    </w:p>
    <w:p w14:paraId="0AF0CC88">
      <w:pPr>
        <w:spacing w:line="340" w:lineRule="auto"/>
        <w:ind w:left="113" w:right="295" w:firstLine="684"/>
        <w:jc w:val="both"/>
        <w:rPr>
          <w:i/>
          <w:iCs/>
          <w:sz w:val="32"/>
          <w:szCs w:val="32"/>
        </w:rPr>
      </w:pPr>
      <w:r>
        <w:rPr>
          <w:rFonts w:ascii="Times New Roman" w:hAnsi="Times New Roman" w:eastAsia="Times New Roman"/>
          <w:b/>
          <w:iCs/>
          <w:spacing w:val="12"/>
          <w:w w:val="99"/>
          <w:sz w:val="32"/>
          <w:szCs w:val="32"/>
        </w:rPr>
        <w:t>——</w:t>
      </w:r>
      <w:r>
        <w:rPr>
          <w:b/>
          <w:i/>
          <w:iCs/>
          <w:spacing w:val="26"/>
          <w:w w:val="99"/>
          <w:sz w:val="32"/>
          <w:szCs w:val="32"/>
        </w:rPr>
        <w:t>坚持系统观念。</w:t>
      </w:r>
      <w:r>
        <w:rPr>
          <w:i/>
          <w:iCs/>
          <w:spacing w:val="24"/>
          <w:w w:val="99"/>
          <w:sz w:val="32"/>
          <w:szCs w:val="32"/>
        </w:rPr>
        <w:t>加强前瞻性思考、全局性谋划、战</w:t>
      </w:r>
      <w:r>
        <w:rPr>
          <w:i/>
          <w:iCs/>
          <w:spacing w:val="23"/>
          <w:w w:val="99"/>
          <w:sz w:val="32"/>
          <w:szCs w:val="32"/>
        </w:rPr>
        <w:t>略性布局、整体性推进，统筹两国内国际个大局，办好发展和安全两件大事，着力固根基、扬优势、补短板、强弱项，注重防范化解重大风险挑战，实现发展质量、结构、规模、</w:t>
      </w:r>
      <w:r>
        <w:rPr>
          <w:i/>
          <w:iCs/>
          <w:spacing w:val="19"/>
          <w:w w:val="99"/>
          <w:sz w:val="32"/>
          <w:szCs w:val="32"/>
        </w:rPr>
        <w:t>速度、效益、安全相统一。</w:t>
      </w:r>
    </w:p>
    <w:p w14:paraId="3F3D4583">
      <w:pPr>
        <w:spacing w:line="340" w:lineRule="auto"/>
        <w:jc w:val="both"/>
        <w:sectPr>
          <w:pgSz w:w="11910" w:h="16840"/>
          <w:pgMar w:top="1720" w:right="1200" w:bottom="1160" w:left="1360" w:header="0" w:footer="975" w:gutter="0"/>
          <w:cols w:space="720" w:num="1"/>
        </w:sectPr>
      </w:pPr>
    </w:p>
    <w:p w14:paraId="72AE8A90">
      <w:pPr>
        <w:spacing w:before="31"/>
        <w:ind w:left="1518" w:right="1699"/>
        <w:jc w:val="center"/>
        <w:outlineLvl w:val="0"/>
        <w:rPr>
          <w:rFonts w:ascii="宋体" w:hAnsi="Microsoft JhengHei" w:eastAsia="宋体" w:cs="Microsoft JhengHei"/>
          <w:b/>
          <w:bCs/>
          <w:sz w:val="32"/>
          <w:szCs w:val="32"/>
        </w:rPr>
      </w:pPr>
      <w:r>
        <w:rPr>
          <w:rFonts w:hint="eastAsia" w:ascii="宋体" w:hAnsi="Microsoft JhengHei" w:eastAsia="宋体" w:cs="Microsoft JhengHei"/>
          <w:b/>
          <w:bCs/>
          <w:spacing w:val="24"/>
          <w:sz w:val="32"/>
          <w:szCs w:val="32"/>
        </w:rPr>
        <w:t>第三</w:t>
      </w:r>
      <w:r>
        <w:rPr>
          <w:rFonts w:hint="eastAsia" w:ascii="宋体" w:hAnsi="Microsoft JhengHei" w:eastAsia="宋体" w:cs="Microsoft JhengHei"/>
          <w:b/>
          <w:bCs/>
          <w:spacing w:val="76"/>
          <w:sz w:val="32"/>
          <w:szCs w:val="32"/>
        </w:rPr>
        <w:t>节 战</w:t>
      </w:r>
      <w:r>
        <w:rPr>
          <w:rFonts w:hint="eastAsia" w:ascii="宋体" w:hAnsi="Microsoft JhengHei" w:eastAsia="宋体" w:cs="Microsoft JhengHei"/>
          <w:b/>
          <w:bCs/>
          <w:spacing w:val="24"/>
          <w:sz w:val="32"/>
          <w:szCs w:val="32"/>
        </w:rPr>
        <w:t>略定</w:t>
      </w:r>
      <w:r>
        <w:rPr>
          <w:rFonts w:hint="eastAsia" w:ascii="宋体" w:hAnsi="Microsoft JhengHei" w:eastAsia="宋体" w:cs="Microsoft JhengHei"/>
          <w:b/>
          <w:bCs/>
          <w:spacing w:val="-10"/>
          <w:sz w:val="32"/>
          <w:szCs w:val="32"/>
        </w:rPr>
        <w:t>位</w:t>
      </w:r>
    </w:p>
    <w:p w14:paraId="2D069E64">
      <w:pPr>
        <w:rPr>
          <w:rFonts w:ascii="宋体"/>
          <w:b/>
          <w:iCs/>
          <w:sz w:val="24"/>
          <w:szCs w:val="32"/>
        </w:rPr>
      </w:pPr>
    </w:p>
    <w:p w14:paraId="71F72157">
      <w:pPr>
        <w:spacing w:line="328" w:lineRule="auto"/>
        <w:ind w:left="113" w:right="126" w:firstLine="684"/>
        <w:rPr>
          <w:i/>
          <w:iCs/>
          <w:sz w:val="32"/>
          <w:szCs w:val="32"/>
        </w:rPr>
      </w:pPr>
      <w:r>
        <w:rPr>
          <w:i/>
          <w:iCs/>
          <w:spacing w:val="20"/>
          <w:w w:val="99"/>
          <w:sz w:val="32"/>
          <w:szCs w:val="32"/>
        </w:rPr>
        <w:t>“十四五”期间，围绕开启全面建设社会主义现代化金凤新征程，结合金凤区基础条件、发展实际，从黄河流域、自治区、银川市三个维度提出了建设黄河流域生态保护和高</w:t>
      </w:r>
      <w:r>
        <w:rPr>
          <w:i/>
          <w:iCs/>
          <w:spacing w:val="12"/>
          <w:w w:val="99"/>
          <w:sz w:val="32"/>
          <w:szCs w:val="32"/>
        </w:rPr>
        <w:t>质量发展先行区的引领区、银川“一高三化”发展的示范区、</w:t>
      </w:r>
      <w:r>
        <w:rPr>
          <w:i/>
          <w:iCs/>
          <w:spacing w:val="20"/>
          <w:w w:val="99"/>
          <w:sz w:val="32"/>
          <w:szCs w:val="32"/>
        </w:rPr>
        <w:t>西北地区重要中心城市的核心区的战略定位。着力优化营商环境、人居环境、政务环境，坚持创新驱动发展，深化改革开放，提升城市发展品质，提高中心城区首位度，全面促进产业现代化升级。进一步优化创新创业服务，推进城市治理</w:t>
      </w:r>
      <w:r>
        <w:rPr>
          <w:i/>
          <w:iCs/>
          <w:spacing w:val="6"/>
          <w:w w:val="99"/>
          <w:sz w:val="32"/>
          <w:szCs w:val="32"/>
        </w:rPr>
        <w:t>体系和治理能力现代化。加快建设“创新之城”，打造产业转</w:t>
      </w:r>
      <w:r>
        <w:rPr>
          <w:i/>
          <w:iCs/>
          <w:spacing w:val="3"/>
          <w:w w:val="99"/>
          <w:sz w:val="32"/>
          <w:szCs w:val="32"/>
        </w:rPr>
        <w:t xml:space="preserve">型升级示范区；加快建设“品质之城”，打造新型城镇化样板区；加快建设“生态之城”，打造人居环境最优区；加快建设 </w:t>
      </w:r>
      <w:r>
        <w:rPr>
          <w:i/>
          <w:iCs/>
          <w:spacing w:val="-2"/>
          <w:w w:val="99"/>
          <w:sz w:val="32"/>
          <w:szCs w:val="32"/>
        </w:rPr>
        <w:t>“开放之城”，打造改革开放先行区；加快建设“幸福之城”，</w:t>
      </w:r>
      <w:r>
        <w:rPr>
          <w:i/>
          <w:iCs/>
          <w:spacing w:val="20"/>
          <w:w w:val="99"/>
          <w:sz w:val="32"/>
          <w:szCs w:val="32"/>
        </w:rPr>
        <w:t>打造民生共建共享区，实现“五城五区”建设再升级，增创发展新优势，奋力开启金凤二次创业新征程，推进高质量发</w:t>
      </w:r>
      <w:r>
        <w:rPr>
          <w:i/>
          <w:iCs/>
          <w:spacing w:val="16"/>
          <w:w w:val="99"/>
          <w:sz w:val="32"/>
          <w:szCs w:val="32"/>
        </w:rPr>
        <w:t>展再出发。</w:t>
      </w:r>
    </w:p>
    <w:p w14:paraId="30C6FD98">
      <w:pPr>
        <w:spacing w:line="338" w:lineRule="auto"/>
        <w:ind w:left="113" w:right="122" w:firstLine="643"/>
        <w:rPr>
          <w:i/>
          <w:iCs/>
          <w:sz w:val="32"/>
          <w:szCs w:val="32"/>
        </w:rPr>
      </w:pPr>
      <w:r>
        <w:rPr>
          <w:rFonts w:ascii="Times New Roman" w:hAnsi="Times New Roman" w:eastAsia="Times New Roman"/>
          <w:b/>
          <w:iCs/>
          <w:spacing w:val="12"/>
          <w:w w:val="99"/>
          <w:sz w:val="32"/>
          <w:szCs w:val="32"/>
        </w:rPr>
        <w:t>——</w:t>
      </w:r>
      <w:r>
        <w:rPr>
          <w:b/>
          <w:i/>
          <w:iCs/>
          <w:spacing w:val="27"/>
          <w:w w:val="99"/>
          <w:sz w:val="32"/>
          <w:szCs w:val="32"/>
        </w:rPr>
        <w:t>黄河流域生态保护和高质量发展先行区的引领区。</w:t>
      </w:r>
      <w:r>
        <w:rPr>
          <w:i/>
          <w:iCs/>
          <w:spacing w:val="31"/>
          <w:w w:val="99"/>
          <w:sz w:val="32"/>
          <w:szCs w:val="32"/>
        </w:rPr>
        <w:t>抢抓习近平总书记视察宁夏时提出</w:t>
      </w:r>
      <w:r>
        <w:rPr>
          <w:rFonts w:ascii="Times New Roman" w:hAnsi="Times New Roman" w:eastAsia="Times New Roman"/>
          <w:iCs/>
          <w:spacing w:val="21"/>
          <w:w w:val="99"/>
          <w:sz w:val="32"/>
          <w:szCs w:val="32"/>
        </w:rPr>
        <w:t>“</w:t>
      </w:r>
      <w:r>
        <w:rPr>
          <w:i/>
          <w:iCs/>
          <w:spacing w:val="27"/>
          <w:w w:val="99"/>
          <w:sz w:val="32"/>
          <w:szCs w:val="32"/>
        </w:rPr>
        <w:t>要努力建设黄河流域生</w:t>
      </w:r>
      <w:r>
        <w:rPr>
          <w:i/>
          <w:iCs/>
          <w:spacing w:val="21"/>
          <w:w w:val="99"/>
          <w:sz w:val="32"/>
          <w:szCs w:val="32"/>
        </w:rPr>
        <w:t>态保护和高质量发展先行区</w:t>
      </w:r>
      <w:r>
        <w:rPr>
          <w:rFonts w:ascii="Times New Roman" w:hAnsi="Times New Roman" w:eastAsia="Times New Roman"/>
          <w:iCs/>
          <w:spacing w:val="12"/>
          <w:w w:val="99"/>
          <w:sz w:val="32"/>
          <w:szCs w:val="32"/>
        </w:rPr>
        <w:t>”</w:t>
      </w:r>
      <w:r>
        <w:rPr>
          <w:i/>
          <w:iCs/>
          <w:spacing w:val="12"/>
          <w:w w:val="99"/>
          <w:sz w:val="32"/>
          <w:szCs w:val="32"/>
        </w:rPr>
        <w:t>的重大机遇，全面参与和加强黄</w:t>
      </w:r>
      <w:r>
        <w:rPr>
          <w:i/>
          <w:iCs/>
          <w:spacing w:val="23"/>
          <w:w w:val="99"/>
          <w:sz w:val="32"/>
          <w:szCs w:val="32"/>
        </w:rPr>
        <w:t>河流域生态保护与治理，</w:t>
      </w:r>
      <w:r>
        <w:rPr>
          <w:i/>
          <w:iCs/>
          <w:spacing w:val="-131"/>
          <w:sz w:val="32"/>
          <w:szCs w:val="32"/>
        </w:rPr>
        <w:t xml:space="preserve"> </w:t>
      </w:r>
      <w:r>
        <w:rPr>
          <w:i/>
          <w:iCs/>
          <w:spacing w:val="25"/>
          <w:w w:val="99"/>
          <w:sz w:val="32"/>
          <w:szCs w:val="32"/>
        </w:rPr>
        <w:t>融入自治区</w:t>
      </w:r>
      <w:r>
        <w:rPr>
          <w:rFonts w:ascii="Times New Roman" w:hAnsi="Times New Roman" w:eastAsia="Times New Roman"/>
          <w:iCs/>
          <w:spacing w:val="14"/>
          <w:w w:val="99"/>
          <w:sz w:val="32"/>
          <w:szCs w:val="32"/>
        </w:rPr>
        <w:t>“</w:t>
      </w:r>
      <w:r>
        <w:rPr>
          <w:i/>
          <w:iCs/>
          <w:spacing w:val="26"/>
          <w:w w:val="99"/>
          <w:sz w:val="32"/>
          <w:szCs w:val="32"/>
        </w:rPr>
        <w:t>一带三区</w:t>
      </w:r>
      <w:r>
        <w:rPr>
          <w:rFonts w:ascii="Times New Roman" w:hAnsi="Times New Roman" w:eastAsia="Times New Roman"/>
          <w:iCs/>
          <w:spacing w:val="14"/>
          <w:w w:val="99"/>
          <w:sz w:val="32"/>
          <w:szCs w:val="32"/>
        </w:rPr>
        <w:t>”</w:t>
      </w:r>
      <w:r>
        <w:rPr>
          <w:i/>
          <w:iCs/>
          <w:spacing w:val="17"/>
          <w:w w:val="99"/>
          <w:sz w:val="32"/>
          <w:szCs w:val="32"/>
        </w:rPr>
        <w:t>建设，</w:t>
      </w:r>
      <w:r>
        <w:rPr>
          <w:i/>
          <w:iCs/>
          <w:spacing w:val="-131"/>
          <w:sz w:val="32"/>
          <w:szCs w:val="32"/>
        </w:rPr>
        <w:t xml:space="preserve"> </w:t>
      </w:r>
      <w:r>
        <w:rPr>
          <w:i/>
          <w:iCs/>
          <w:spacing w:val="13"/>
          <w:w w:val="99"/>
          <w:sz w:val="32"/>
          <w:szCs w:val="32"/>
        </w:rPr>
        <w:t>遵循</w:t>
      </w:r>
      <w:r>
        <w:rPr>
          <w:i/>
          <w:iCs/>
          <w:spacing w:val="10"/>
          <w:w w:val="99"/>
          <w:sz w:val="32"/>
          <w:szCs w:val="32"/>
        </w:rPr>
        <w:t>以水定城、以水定地、以水定人、以水定产，在产业生态化、</w:t>
      </w:r>
      <w:r>
        <w:rPr>
          <w:i/>
          <w:iCs/>
          <w:spacing w:val="23"/>
          <w:w w:val="99"/>
          <w:sz w:val="32"/>
          <w:szCs w:val="32"/>
        </w:rPr>
        <w:t>生态产业化上先行示范，探索创新生态产品价值实现路径，</w:t>
      </w:r>
      <w:r>
        <w:rPr>
          <w:i/>
          <w:iCs/>
          <w:spacing w:val="14"/>
          <w:w w:val="99"/>
          <w:sz w:val="32"/>
          <w:szCs w:val="32"/>
        </w:rPr>
        <w:t>促进</w:t>
      </w:r>
      <w:r>
        <w:rPr>
          <w:i/>
          <w:iCs/>
          <w:spacing w:val="-47"/>
          <w:sz w:val="32"/>
          <w:szCs w:val="32"/>
        </w:rPr>
        <w:t xml:space="preserve"> </w:t>
      </w:r>
      <w:r>
        <w:rPr>
          <w:rFonts w:ascii="Times New Roman" w:hAnsi="Times New Roman" w:eastAsia="Times New Roman"/>
          <w:iCs/>
          <w:spacing w:val="7"/>
          <w:w w:val="99"/>
          <w:sz w:val="32"/>
          <w:szCs w:val="32"/>
        </w:rPr>
        <w:t>G</w:t>
      </w:r>
      <w:r>
        <w:rPr>
          <w:rFonts w:ascii="Times New Roman" w:hAnsi="Times New Roman" w:eastAsia="Times New Roman"/>
          <w:iCs/>
          <w:spacing w:val="11"/>
          <w:w w:val="99"/>
          <w:sz w:val="32"/>
          <w:szCs w:val="32"/>
        </w:rPr>
        <w:t>E</w:t>
      </w:r>
      <w:r>
        <w:rPr>
          <w:rFonts w:ascii="Times New Roman" w:hAnsi="Times New Roman" w:eastAsia="Times New Roman"/>
          <w:iCs/>
          <w:w w:val="99"/>
          <w:sz w:val="32"/>
          <w:szCs w:val="32"/>
        </w:rPr>
        <w:t>P</w:t>
      </w:r>
      <w:r>
        <w:rPr>
          <w:rFonts w:ascii="Times New Roman" w:hAnsi="Times New Roman" w:eastAsia="Times New Roman"/>
          <w:iCs/>
          <w:spacing w:val="28"/>
          <w:sz w:val="32"/>
          <w:szCs w:val="32"/>
        </w:rPr>
        <w:t xml:space="preserve"> </w:t>
      </w:r>
      <w:r>
        <w:rPr>
          <w:i/>
          <w:iCs/>
          <w:w w:val="99"/>
          <w:sz w:val="32"/>
          <w:szCs w:val="32"/>
        </w:rPr>
        <w:t>和</w:t>
      </w:r>
      <w:r>
        <w:rPr>
          <w:i/>
          <w:iCs/>
          <w:spacing w:val="-47"/>
          <w:sz w:val="32"/>
          <w:szCs w:val="32"/>
        </w:rPr>
        <w:t xml:space="preserve"> </w:t>
      </w:r>
      <w:r>
        <w:rPr>
          <w:rFonts w:ascii="Times New Roman" w:hAnsi="Times New Roman" w:eastAsia="Times New Roman"/>
          <w:iCs/>
          <w:spacing w:val="7"/>
          <w:w w:val="99"/>
          <w:sz w:val="32"/>
          <w:szCs w:val="32"/>
        </w:rPr>
        <w:t>G</w:t>
      </w:r>
      <w:r>
        <w:rPr>
          <w:rFonts w:ascii="Times New Roman" w:hAnsi="Times New Roman" w:eastAsia="Times New Roman"/>
          <w:iCs/>
          <w:spacing w:val="12"/>
          <w:w w:val="99"/>
          <w:sz w:val="32"/>
          <w:szCs w:val="32"/>
        </w:rPr>
        <w:t>D</w:t>
      </w:r>
      <w:r>
        <w:rPr>
          <w:rFonts w:ascii="Times New Roman" w:hAnsi="Times New Roman" w:eastAsia="Times New Roman"/>
          <w:iCs/>
          <w:w w:val="99"/>
          <w:sz w:val="32"/>
          <w:szCs w:val="32"/>
        </w:rPr>
        <w:t>P</w:t>
      </w:r>
      <w:r>
        <w:rPr>
          <w:rFonts w:ascii="Times New Roman" w:hAnsi="Times New Roman" w:eastAsia="Times New Roman"/>
          <w:iCs/>
          <w:spacing w:val="28"/>
          <w:sz w:val="32"/>
          <w:szCs w:val="32"/>
        </w:rPr>
        <w:t xml:space="preserve"> </w:t>
      </w:r>
      <w:r>
        <w:rPr>
          <w:i/>
          <w:iCs/>
          <w:spacing w:val="25"/>
          <w:w w:val="99"/>
          <w:sz w:val="32"/>
          <w:szCs w:val="32"/>
        </w:rPr>
        <w:t>量的稳定增长和质的稳步提升，努力打造</w:t>
      </w:r>
    </w:p>
    <w:p w14:paraId="13402109">
      <w:pPr>
        <w:spacing w:line="338" w:lineRule="auto"/>
        <w:sectPr>
          <w:pgSz w:w="11910" w:h="16840"/>
          <w:pgMar w:top="1780" w:right="1200" w:bottom="1160" w:left="1360" w:header="0" w:footer="975" w:gutter="0"/>
          <w:cols w:space="720" w:num="1"/>
        </w:sectPr>
      </w:pPr>
    </w:p>
    <w:p w14:paraId="35BBD7DA">
      <w:pPr>
        <w:spacing w:before="28" w:line="338" w:lineRule="auto"/>
        <w:ind w:left="113" w:right="295"/>
        <w:jc w:val="both"/>
        <w:rPr>
          <w:i/>
          <w:iCs/>
          <w:sz w:val="32"/>
          <w:szCs w:val="32"/>
        </w:rPr>
      </w:pPr>
      <w:r>
        <w:rPr>
          <w:i/>
          <w:iCs/>
          <w:spacing w:val="23"/>
          <w:w w:val="99"/>
          <w:sz w:val="32"/>
          <w:szCs w:val="32"/>
        </w:rPr>
        <w:t>区域现代服务业中心、区域消费引领中心、区域特色产业研发创新高地，在黄河流域生态保护和高质量发展先行区建设</w:t>
      </w:r>
      <w:r>
        <w:rPr>
          <w:i/>
          <w:iCs/>
          <w:spacing w:val="18"/>
          <w:w w:val="99"/>
          <w:sz w:val="32"/>
          <w:szCs w:val="32"/>
        </w:rPr>
        <w:t>中走在前、做表率。</w:t>
      </w:r>
    </w:p>
    <w:p w14:paraId="02548CB5">
      <w:pPr>
        <w:spacing w:before="5" w:line="338" w:lineRule="auto"/>
        <w:ind w:left="113" w:right="122" w:firstLine="684"/>
        <w:rPr>
          <w:i/>
          <w:iCs/>
          <w:sz w:val="32"/>
          <w:szCs w:val="32"/>
        </w:rPr>
      </w:pPr>
      <w:r>
        <w:rPr>
          <w:rFonts w:ascii="Times New Roman" w:hAnsi="Times New Roman" w:eastAsia="Times New Roman"/>
          <w:b/>
          <w:iCs/>
          <w:spacing w:val="14"/>
          <w:w w:val="99"/>
          <w:sz w:val="32"/>
          <w:szCs w:val="32"/>
        </w:rPr>
        <w:t>——</w:t>
      </w:r>
      <w:r>
        <w:rPr>
          <w:b/>
          <w:i/>
          <w:iCs/>
          <w:spacing w:val="29"/>
          <w:w w:val="99"/>
          <w:sz w:val="32"/>
          <w:szCs w:val="32"/>
        </w:rPr>
        <w:t>银川</w:t>
      </w:r>
      <w:r>
        <w:rPr>
          <w:rFonts w:ascii="Times New Roman" w:hAnsi="Times New Roman" w:eastAsia="Times New Roman"/>
          <w:b/>
          <w:iCs/>
          <w:spacing w:val="15"/>
          <w:w w:val="99"/>
          <w:sz w:val="32"/>
          <w:szCs w:val="32"/>
        </w:rPr>
        <w:t>“</w:t>
      </w:r>
      <w:r>
        <w:rPr>
          <w:b/>
          <w:i/>
          <w:iCs/>
          <w:spacing w:val="29"/>
          <w:w w:val="99"/>
          <w:sz w:val="32"/>
          <w:szCs w:val="32"/>
        </w:rPr>
        <w:t>一高三化</w:t>
      </w:r>
      <w:r>
        <w:rPr>
          <w:rFonts w:ascii="Times New Roman" w:hAnsi="Times New Roman" w:eastAsia="Times New Roman"/>
          <w:b/>
          <w:iCs/>
          <w:spacing w:val="15"/>
          <w:w w:val="99"/>
          <w:sz w:val="32"/>
          <w:szCs w:val="32"/>
        </w:rPr>
        <w:t>”</w:t>
      </w:r>
      <w:r>
        <w:rPr>
          <w:b/>
          <w:i/>
          <w:iCs/>
          <w:spacing w:val="28"/>
          <w:w w:val="99"/>
          <w:sz w:val="32"/>
          <w:szCs w:val="32"/>
        </w:rPr>
        <w:t>发展的示范区。</w:t>
      </w:r>
      <w:r>
        <w:rPr>
          <w:i/>
          <w:iCs/>
          <w:spacing w:val="27"/>
          <w:w w:val="99"/>
          <w:sz w:val="32"/>
          <w:szCs w:val="32"/>
        </w:rPr>
        <w:t>紧扣</w:t>
      </w:r>
      <w:r>
        <w:rPr>
          <w:rFonts w:ascii="Times New Roman" w:hAnsi="Times New Roman" w:eastAsia="Times New Roman"/>
          <w:iCs/>
          <w:spacing w:val="16"/>
          <w:w w:val="99"/>
          <w:sz w:val="32"/>
          <w:szCs w:val="32"/>
        </w:rPr>
        <w:t>“</w:t>
      </w:r>
      <w:r>
        <w:rPr>
          <w:i/>
          <w:iCs/>
          <w:spacing w:val="26"/>
          <w:w w:val="99"/>
          <w:sz w:val="32"/>
          <w:szCs w:val="32"/>
        </w:rPr>
        <w:t>一高三化</w:t>
      </w:r>
      <w:r>
        <w:rPr>
          <w:rFonts w:ascii="Times New Roman" w:hAnsi="Times New Roman" w:eastAsia="Times New Roman"/>
          <w:iCs/>
          <w:spacing w:val="14"/>
          <w:w w:val="99"/>
          <w:sz w:val="32"/>
          <w:szCs w:val="32"/>
        </w:rPr>
        <w:t>”</w:t>
      </w:r>
      <w:r>
        <w:rPr>
          <w:i/>
          <w:iCs/>
          <w:w w:val="99"/>
          <w:sz w:val="32"/>
          <w:szCs w:val="32"/>
        </w:rPr>
        <w:t>目</w:t>
      </w:r>
      <w:r>
        <w:rPr>
          <w:i/>
          <w:iCs/>
          <w:spacing w:val="12"/>
          <w:w w:val="99"/>
          <w:sz w:val="32"/>
          <w:szCs w:val="32"/>
        </w:rPr>
        <w:t>标要求，强化服务区域功能，联动兴庆区、西夏区、经开区、</w:t>
      </w:r>
      <w:r>
        <w:rPr>
          <w:i/>
          <w:iCs/>
          <w:spacing w:val="23"/>
          <w:w w:val="99"/>
          <w:sz w:val="32"/>
          <w:szCs w:val="32"/>
        </w:rPr>
        <w:t>商务区四区发展，以高端化、融合化、集群化为方向，加快推进动力变革，优化服务业内部结构，加快轻资产投资和要</w:t>
      </w:r>
      <w:r>
        <w:rPr>
          <w:i/>
          <w:iCs/>
          <w:spacing w:val="8"/>
          <w:w w:val="99"/>
          <w:sz w:val="32"/>
          <w:szCs w:val="32"/>
        </w:rPr>
        <w:t>素资源驱动，推进效率变革，到</w:t>
      </w:r>
      <w:r>
        <w:rPr>
          <w:rFonts w:ascii="Times New Roman" w:hAnsi="Times New Roman" w:eastAsia="Times New Roman"/>
          <w:iCs/>
          <w:spacing w:val="12"/>
          <w:w w:val="99"/>
          <w:sz w:val="32"/>
          <w:szCs w:val="32"/>
        </w:rPr>
        <w:t>“</w:t>
      </w:r>
      <w:r>
        <w:rPr>
          <w:i/>
          <w:iCs/>
          <w:spacing w:val="21"/>
          <w:w w:val="99"/>
          <w:sz w:val="32"/>
          <w:szCs w:val="32"/>
        </w:rPr>
        <w:t>十四五</w:t>
      </w:r>
      <w:r>
        <w:rPr>
          <w:rFonts w:ascii="Times New Roman" w:hAnsi="Times New Roman" w:eastAsia="Times New Roman"/>
          <w:iCs/>
          <w:spacing w:val="12"/>
          <w:w w:val="99"/>
          <w:sz w:val="32"/>
          <w:szCs w:val="32"/>
        </w:rPr>
        <w:t>”</w:t>
      </w:r>
      <w:r>
        <w:rPr>
          <w:i/>
          <w:iCs/>
          <w:spacing w:val="-15"/>
          <w:w w:val="99"/>
          <w:sz w:val="32"/>
          <w:szCs w:val="32"/>
        </w:rPr>
        <w:t>末，</w:t>
      </w:r>
      <w:r>
        <w:rPr>
          <w:rFonts w:ascii="Times New Roman" w:hAnsi="Times New Roman" w:eastAsia="Times New Roman"/>
          <w:iCs/>
          <w:spacing w:val="7"/>
          <w:w w:val="99"/>
          <w:sz w:val="32"/>
          <w:szCs w:val="32"/>
        </w:rPr>
        <w:t>G</w:t>
      </w:r>
      <w:r>
        <w:rPr>
          <w:rFonts w:ascii="Times New Roman" w:hAnsi="Times New Roman" w:eastAsia="Times New Roman"/>
          <w:iCs/>
          <w:spacing w:val="12"/>
          <w:w w:val="99"/>
          <w:sz w:val="32"/>
          <w:szCs w:val="32"/>
        </w:rPr>
        <w:t>D</w:t>
      </w:r>
      <w:r>
        <w:rPr>
          <w:rFonts w:ascii="Times New Roman" w:hAnsi="Times New Roman" w:eastAsia="Times New Roman"/>
          <w:iCs/>
          <w:w w:val="99"/>
          <w:sz w:val="32"/>
          <w:szCs w:val="32"/>
        </w:rPr>
        <w:t>P</w:t>
      </w:r>
      <w:r>
        <w:rPr>
          <w:rFonts w:ascii="Times New Roman" w:hAnsi="Times New Roman" w:eastAsia="Times New Roman"/>
          <w:iCs/>
          <w:spacing w:val="21"/>
          <w:sz w:val="32"/>
          <w:szCs w:val="32"/>
        </w:rPr>
        <w:t xml:space="preserve"> </w:t>
      </w:r>
      <w:r>
        <w:rPr>
          <w:i/>
          <w:iCs/>
          <w:spacing w:val="14"/>
          <w:w w:val="99"/>
          <w:sz w:val="32"/>
          <w:szCs w:val="32"/>
        </w:rPr>
        <w:t>总量超</w:t>
      </w:r>
      <w:r>
        <w:rPr>
          <w:i/>
          <w:iCs/>
          <w:spacing w:val="-52"/>
          <w:sz w:val="32"/>
          <w:szCs w:val="32"/>
        </w:rPr>
        <w:t xml:space="preserve"> </w:t>
      </w:r>
      <w:r>
        <w:rPr>
          <w:rFonts w:ascii="Times New Roman" w:hAnsi="Times New Roman" w:eastAsia="Times New Roman"/>
          <w:iCs/>
          <w:spacing w:val="8"/>
          <w:w w:val="99"/>
          <w:sz w:val="32"/>
          <w:szCs w:val="32"/>
        </w:rPr>
        <w:t>4</w:t>
      </w:r>
      <w:r>
        <w:rPr>
          <w:rFonts w:ascii="Times New Roman" w:hAnsi="Times New Roman" w:eastAsia="Times New Roman"/>
          <w:iCs/>
          <w:spacing w:val="15"/>
          <w:w w:val="99"/>
          <w:sz w:val="32"/>
          <w:szCs w:val="32"/>
        </w:rPr>
        <w:t>0</w:t>
      </w:r>
      <w:r>
        <w:rPr>
          <w:rFonts w:ascii="Times New Roman" w:hAnsi="Times New Roman" w:eastAsia="Times New Roman"/>
          <w:iCs/>
          <w:w w:val="99"/>
          <w:sz w:val="32"/>
          <w:szCs w:val="32"/>
        </w:rPr>
        <w:t>0</w:t>
      </w:r>
      <w:r>
        <w:rPr>
          <w:i/>
          <w:iCs/>
          <w:spacing w:val="14"/>
          <w:w w:val="99"/>
          <w:sz w:val="32"/>
          <w:szCs w:val="32"/>
        </w:rPr>
        <w:t>亿元，每平方公里</w:t>
      </w:r>
      <w:r>
        <w:rPr>
          <w:i/>
          <w:iCs/>
          <w:spacing w:val="-52"/>
          <w:sz w:val="32"/>
          <w:szCs w:val="32"/>
        </w:rPr>
        <w:t xml:space="preserve"> </w:t>
      </w:r>
      <w:r>
        <w:rPr>
          <w:rFonts w:ascii="Times New Roman" w:hAnsi="Times New Roman" w:eastAsia="Times New Roman"/>
          <w:iCs/>
          <w:spacing w:val="7"/>
          <w:w w:val="99"/>
          <w:sz w:val="32"/>
          <w:szCs w:val="32"/>
        </w:rPr>
        <w:t>G</w:t>
      </w:r>
      <w:r>
        <w:rPr>
          <w:rFonts w:ascii="Times New Roman" w:hAnsi="Times New Roman" w:eastAsia="Times New Roman"/>
          <w:iCs/>
          <w:spacing w:val="12"/>
          <w:w w:val="99"/>
          <w:sz w:val="32"/>
          <w:szCs w:val="32"/>
        </w:rPr>
        <w:t>D</w:t>
      </w:r>
      <w:r>
        <w:rPr>
          <w:rFonts w:ascii="Times New Roman" w:hAnsi="Times New Roman" w:eastAsia="Times New Roman"/>
          <w:iCs/>
          <w:w w:val="99"/>
          <w:sz w:val="32"/>
          <w:szCs w:val="32"/>
        </w:rPr>
        <w:t>P</w:t>
      </w:r>
      <w:r>
        <w:rPr>
          <w:rFonts w:ascii="Times New Roman" w:hAnsi="Times New Roman" w:eastAsia="Times New Roman"/>
          <w:iCs/>
          <w:spacing w:val="20"/>
          <w:sz w:val="32"/>
          <w:szCs w:val="32"/>
        </w:rPr>
        <w:t xml:space="preserve"> </w:t>
      </w:r>
      <w:r>
        <w:rPr>
          <w:i/>
          <w:iCs/>
          <w:w w:val="99"/>
          <w:sz w:val="32"/>
          <w:szCs w:val="32"/>
        </w:rPr>
        <w:t>超</w:t>
      </w:r>
      <w:r>
        <w:rPr>
          <w:i/>
          <w:iCs/>
          <w:spacing w:val="-52"/>
          <w:sz w:val="32"/>
          <w:szCs w:val="32"/>
        </w:rPr>
        <w:t xml:space="preserve"> </w:t>
      </w:r>
      <w:r>
        <w:rPr>
          <w:rFonts w:ascii="Times New Roman" w:hAnsi="Times New Roman" w:eastAsia="Times New Roman"/>
          <w:iCs/>
          <w:w w:val="99"/>
          <w:sz w:val="32"/>
          <w:szCs w:val="32"/>
        </w:rPr>
        <w:t>1</w:t>
      </w:r>
      <w:r>
        <w:rPr>
          <w:rFonts w:ascii="Times New Roman" w:hAnsi="Times New Roman" w:eastAsia="Times New Roman"/>
          <w:iCs/>
          <w:spacing w:val="17"/>
          <w:sz w:val="32"/>
          <w:szCs w:val="32"/>
        </w:rPr>
        <w:t xml:space="preserve"> </w:t>
      </w:r>
      <w:r>
        <w:rPr>
          <w:i/>
          <w:iCs/>
          <w:spacing w:val="13"/>
          <w:w w:val="99"/>
          <w:sz w:val="32"/>
          <w:szCs w:val="32"/>
        </w:rPr>
        <w:t>亿元，经济发展更加高质量。强</w:t>
      </w:r>
      <w:r>
        <w:rPr>
          <w:i/>
          <w:iCs/>
          <w:spacing w:val="23"/>
          <w:w w:val="99"/>
          <w:sz w:val="32"/>
          <w:szCs w:val="32"/>
        </w:rPr>
        <w:t>化城市综合服务功能，提高城市国际化品质，营造国际化营商环境，全方位深化开放合作，打造国际化精品新城区，巩固金凤区区市窗口名片地位。统筹推进林地、湖泊、城市、</w:t>
      </w:r>
      <w:r>
        <w:rPr>
          <w:i/>
          <w:iCs/>
          <w:spacing w:val="10"/>
          <w:w w:val="99"/>
          <w:sz w:val="32"/>
          <w:szCs w:val="32"/>
        </w:rPr>
        <w:t>农田、流域五大生态系统治理，推动国家生态园林城市创建，</w:t>
      </w:r>
      <w:r>
        <w:rPr>
          <w:i/>
          <w:iCs/>
          <w:spacing w:val="23"/>
          <w:w w:val="99"/>
          <w:sz w:val="32"/>
          <w:szCs w:val="32"/>
        </w:rPr>
        <w:t>建设生态园林化样板区。强化基层治理、智慧社区建设和智慧综合执法改革，推动治理能力和治理体系现代化，形成广</w:t>
      </w:r>
      <w:r>
        <w:rPr>
          <w:i/>
          <w:iCs/>
          <w:spacing w:val="19"/>
          <w:w w:val="99"/>
          <w:sz w:val="32"/>
          <w:szCs w:val="32"/>
        </w:rPr>
        <w:t>泛推广的治理经验，建成治理现代化模范区。</w:t>
      </w:r>
    </w:p>
    <w:p w14:paraId="00A6AC50">
      <w:pPr>
        <w:spacing w:before="26" w:line="338" w:lineRule="auto"/>
        <w:ind w:left="113" w:right="293" w:firstLine="684"/>
        <w:jc w:val="both"/>
        <w:rPr>
          <w:i/>
          <w:iCs/>
          <w:sz w:val="32"/>
          <w:szCs w:val="32"/>
        </w:rPr>
      </w:pPr>
      <w:r>
        <w:rPr>
          <w:rFonts w:ascii="Times New Roman" w:hAnsi="Times New Roman" w:eastAsia="Times New Roman"/>
          <w:b/>
          <w:iCs/>
          <w:spacing w:val="12"/>
          <w:w w:val="99"/>
          <w:sz w:val="32"/>
          <w:szCs w:val="32"/>
        </w:rPr>
        <w:t>——</w:t>
      </w:r>
      <w:r>
        <w:rPr>
          <w:b/>
          <w:i/>
          <w:iCs/>
          <w:spacing w:val="26"/>
          <w:w w:val="99"/>
          <w:sz w:val="32"/>
          <w:szCs w:val="32"/>
        </w:rPr>
        <w:t>西北地区重要中心城市的核心区。</w:t>
      </w:r>
      <w:r>
        <w:rPr>
          <w:i/>
          <w:iCs/>
          <w:spacing w:val="21"/>
          <w:w w:val="99"/>
          <w:sz w:val="32"/>
          <w:szCs w:val="32"/>
        </w:rPr>
        <w:t>围绕银川市打造</w:t>
      </w:r>
      <w:r>
        <w:rPr>
          <w:i/>
          <w:iCs/>
          <w:spacing w:val="23"/>
          <w:w w:val="99"/>
          <w:sz w:val="32"/>
          <w:szCs w:val="32"/>
        </w:rPr>
        <w:t>西北地区重要中心城市的战略定位，树立国际化现代城市发展视野，突出金凤区在区域发展中的经济、政治、文化、科技、商务、金融、教育、医疗、人才中心等优势，提升城市综合承载能力，吸引人口和生产要素集聚，建设高能级现代产业体系，提高开放型经济发展水平，力争经济总量、人口</w:t>
      </w:r>
      <w:r>
        <w:rPr>
          <w:i/>
          <w:iCs/>
          <w:spacing w:val="26"/>
          <w:w w:val="99"/>
          <w:sz w:val="32"/>
          <w:szCs w:val="32"/>
        </w:rPr>
        <w:t>规模在区市比重再上新台阶，到</w:t>
      </w:r>
      <w:r>
        <w:rPr>
          <w:rFonts w:ascii="Times New Roman" w:hAnsi="Times New Roman" w:eastAsia="Times New Roman"/>
          <w:iCs/>
          <w:spacing w:val="14"/>
          <w:w w:val="99"/>
          <w:sz w:val="32"/>
          <w:szCs w:val="32"/>
        </w:rPr>
        <w:t>“</w:t>
      </w:r>
      <w:r>
        <w:rPr>
          <w:i/>
          <w:iCs/>
          <w:spacing w:val="27"/>
          <w:w w:val="99"/>
          <w:sz w:val="32"/>
          <w:szCs w:val="32"/>
        </w:rPr>
        <w:t>十四五</w:t>
      </w:r>
      <w:r>
        <w:rPr>
          <w:rFonts w:ascii="Times New Roman" w:hAnsi="Times New Roman" w:eastAsia="Times New Roman"/>
          <w:iCs/>
          <w:spacing w:val="14"/>
          <w:w w:val="99"/>
          <w:sz w:val="32"/>
          <w:szCs w:val="32"/>
        </w:rPr>
        <w:t>”</w:t>
      </w:r>
      <w:r>
        <w:rPr>
          <w:i/>
          <w:iCs/>
          <w:spacing w:val="22"/>
          <w:w w:val="99"/>
          <w:sz w:val="32"/>
          <w:szCs w:val="32"/>
        </w:rPr>
        <w:t>末，经济总量占全</w:t>
      </w:r>
    </w:p>
    <w:p w14:paraId="7DA4A363">
      <w:pPr>
        <w:spacing w:before="48" w:line="338" w:lineRule="auto"/>
        <w:ind w:left="233" w:right="270"/>
        <w:jc w:val="both"/>
        <w:rPr>
          <w:sz w:val="32"/>
          <w:szCs w:val="32"/>
        </w:rPr>
      </w:pPr>
      <w:r>
        <w:rPr>
          <w:w w:val="99"/>
          <w:sz w:val="32"/>
          <w:szCs w:val="32"/>
        </w:rPr>
        <w:t>市</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w:t>
      </w:r>
      <w:r>
        <w:rPr>
          <w:rFonts w:ascii="Times New Roman" w:hAnsi="Times New Roman" w:eastAsia="Times New Roman"/>
          <w:spacing w:val="15"/>
          <w:w w:val="99"/>
          <w:sz w:val="32"/>
          <w:szCs w:val="32"/>
        </w:rPr>
        <w:t>%</w:t>
      </w:r>
      <w:r>
        <w:rPr>
          <w:spacing w:val="8"/>
          <w:w w:val="99"/>
          <w:sz w:val="32"/>
          <w:szCs w:val="32"/>
        </w:rPr>
        <w:t>以上，人口占全区</w:t>
      </w:r>
      <w:r>
        <w:rPr>
          <w:spacing w:val="-50"/>
          <w:sz w:val="32"/>
          <w:szCs w:val="32"/>
        </w:rPr>
        <w:t xml:space="preserve"> </w:t>
      </w:r>
      <w:r>
        <w:rPr>
          <w:rFonts w:ascii="Times New Roman" w:hAnsi="Times New Roman" w:eastAsia="Times New Roman"/>
          <w:spacing w:val="8"/>
          <w:w w:val="99"/>
          <w:sz w:val="32"/>
          <w:szCs w:val="32"/>
        </w:rPr>
        <w:t>8</w:t>
      </w:r>
      <w:r>
        <w:rPr>
          <w:rFonts w:ascii="Times New Roman" w:hAnsi="Times New Roman" w:eastAsia="Times New Roman"/>
          <w:spacing w:val="12"/>
          <w:w w:val="99"/>
          <w:sz w:val="32"/>
          <w:szCs w:val="32"/>
        </w:rPr>
        <w:t>%</w:t>
      </w:r>
      <w:r>
        <w:rPr>
          <w:spacing w:val="13"/>
          <w:w w:val="99"/>
          <w:sz w:val="32"/>
          <w:szCs w:val="32"/>
        </w:rPr>
        <w:t>以上，全面提升金凤区在西北地</w:t>
      </w:r>
      <w:r>
        <w:rPr>
          <w:spacing w:val="26"/>
          <w:w w:val="99"/>
          <w:sz w:val="32"/>
          <w:szCs w:val="32"/>
        </w:rPr>
        <w:t>区重要中心城市建设中的贡献度，增强对黄河</w:t>
      </w:r>
      <w:r>
        <w:rPr>
          <w:rFonts w:ascii="Times New Roman" w:hAnsi="Times New Roman" w:eastAsia="Times New Roman"/>
          <w:spacing w:val="14"/>
          <w:w w:val="99"/>
          <w:sz w:val="32"/>
          <w:szCs w:val="32"/>
        </w:rPr>
        <w:t>“</w:t>
      </w:r>
      <w:r>
        <w:rPr>
          <w:spacing w:val="26"/>
          <w:w w:val="99"/>
          <w:sz w:val="32"/>
          <w:szCs w:val="32"/>
        </w:rPr>
        <w:t>几</w:t>
      </w:r>
      <w:r>
        <w:rPr>
          <w:rFonts w:ascii="Times New Roman" w:hAnsi="Times New Roman" w:eastAsia="Times New Roman"/>
          <w:spacing w:val="16"/>
          <w:w w:val="99"/>
          <w:sz w:val="32"/>
          <w:szCs w:val="32"/>
        </w:rPr>
        <w:t>”</w:t>
      </w:r>
      <w:r>
        <w:rPr>
          <w:spacing w:val="19"/>
          <w:w w:val="99"/>
          <w:sz w:val="32"/>
          <w:szCs w:val="32"/>
        </w:rPr>
        <w:t>字弯都市</w:t>
      </w:r>
      <w:r>
        <w:rPr>
          <w:spacing w:val="23"/>
          <w:w w:val="99"/>
          <w:sz w:val="32"/>
          <w:szCs w:val="32"/>
        </w:rPr>
        <w:t>圈的核心引领带动能力、经济辐射作用、资源聚集效应和服</w:t>
      </w:r>
      <w:r>
        <w:rPr>
          <w:spacing w:val="15"/>
          <w:w w:val="99"/>
          <w:sz w:val="32"/>
          <w:szCs w:val="32"/>
        </w:rPr>
        <w:t>务功能。</w:t>
      </w:r>
    </w:p>
    <w:p w14:paraId="301D0DEB">
      <w:pPr>
        <w:spacing w:before="147"/>
        <w:ind w:left="3322" w:right="3363"/>
        <w:jc w:val="center"/>
        <w:outlineLvl w:val="0"/>
        <w:rPr>
          <w:rFonts w:ascii="宋体" w:hAnsi="宋体" w:eastAsia="宋体" w:cs="宋体"/>
          <w:b/>
          <w:bCs/>
          <w:sz w:val="32"/>
          <w:szCs w:val="32"/>
        </w:rPr>
      </w:pPr>
      <w:r>
        <w:rPr>
          <w:rFonts w:ascii="宋体" w:hAnsi="宋体" w:eastAsia="宋体" w:cs="宋体"/>
          <w:b/>
          <w:bCs/>
          <w:spacing w:val="24"/>
          <w:sz w:val="32"/>
          <w:szCs w:val="32"/>
        </w:rPr>
        <w:t>第四</w:t>
      </w:r>
      <w:r>
        <w:rPr>
          <w:rFonts w:ascii="宋体" w:hAnsi="宋体" w:eastAsia="宋体" w:cs="宋体"/>
          <w:b/>
          <w:bCs/>
          <w:spacing w:val="76"/>
          <w:sz w:val="32"/>
          <w:szCs w:val="32"/>
        </w:rPr>
        <w:t>节 空</w:t>
      </w:r>
      <w:r>
        <w:rPr>
          <w:rFonts w:ascii="宋体" w:hAnsi="宋体" w:eastAsia="宋体" w:cs="宋体"/>
          <w:b/>
          <w:bCs/>
          <w:spacing w:val="24"/>
          <w:sz w:val="32"/>
          <w:szCs w:val="32"/>
        </w:rPr>
        <w:t>间布</w:t>
      </w:r>
      <w:r>
        <w:rPr>
          <w:rFonts w:ascii="宋体" w:hAnsi="宋体" w:eastAsia="宋体" w:cs="宋体"/>
          <w:b/>
          <w:bCs/>
          <w:spacing w:val="-10"/>
          <w:sz w:val="32"/>
          <w:szCs w:val="32"/>
        </w:rPr>
        <w:t>局</w:t>
      </w:r>
    </w:p>
    <w:p w14:paraId="65ABBB13">
      <w:pPr>
        <w:spacing w:before="2"/>
        <w:rPr>
          <w:rFonts w:ascii="宋体"/>
          <w:b/>
          <w:sz w:val="25"/>
          <w:szCs w:val="32"/>
        </w:rPr>
      </w:pPr>
    </w:p>
    <w:p w14:paraId="0834A56B">
      <w:pPr>
        <w:spacing w:line="340" w:lineRule="auto"/>
        <w:ind w:left="233" w:right="106" w:firstLine="684"/>
        <w:rPr>
          <w:sz w:val="32"/>
          <w:szCs w:val="32"/>
        </w:rPr>
      </w:pPr>
      <w:r>
        <w:rPr>
          <w:spacing w:val="23"/>
          <w:w w:val="99"/>
          <w:sz w:val="32"/>
          <w:szCs w:val="32"/>
        </w:rPr>
        <w:t>突出首府核心区优势，围绕现代服务业高端发展、工业转型升级，农业提质增效，加速产业聚集，强化与兴庆区、</w:t>
      </w:r>
      <w:r>
        <w:rPr>
          <w:spacing w:val="11"/>
          <w:w w:val="99"/>
          <w:sz w:val="32"/>
          <w:szCs w:val="32"/>
        </w:rPr>
        <w:t>西夏区、经开区和阅海湾中央商务区的互动融合，联动发展，</w:t>
      </w:r>
      <w:r>
        <w:rPr>
          <w:spacing w:val="24"/>
          <w:w w:val="99"/>
          <w:sz w:val="32"/>
          <w:szCs w:val="32"/>
        </w:rPr>
        <w:t>促进产城融合，构建</w:t>
      </w:r>
      <w:r>
        <w:rPr>
          <w:b/>
          <w:i/>
          <w:spacing w:val="24"/>
          <w:w w:val="99"/>
          <w:sz w:val="32"/>
          <w:szCs w:val="32"/>
        </w:rPr>
        <w:t>“一极、两带、双引擎、六大商圈”</w:t>
      </w:r>
      <w:r>
        <w:rPr>
          <w:w w:val="99"/>
          <w:sz w:val="32"/>
          <w:szCs w:val="32"/>
        </w:rPr>
        <w:t>的</w:t>
      </w:r>
      <w:r>
        <w:rPr>
          <w:spacing w:val="21"/>
          <w:w w:val="99"/>
          <w:sz w:val="32"/>
          <w:szCs w:val="32"/>
        </w:rPr>
        <w:t>空间格局（</w:t>
      </w:r>
      <w:r>
        <w:rPr>
          <w:spacing w:val="22"/>
          <w:w w:val="99"/>
          <w:sz w:val="32"/>
          <w:szCs w:val="32"/>
        </w:rPr>
        <w:t>见附图</w:t>
      </w:r>
      <w:r>
        <w:rPr>
          <w:spacing w:val="24"/>
          <w:w w:val="99"/>
          <w:sz w:val="32"/>
          <w:szCs w:val="32"/>
        </w:rPr>
        <w:t>）</w:t>
      </w:r>
      <w:r>
        <w:rPr>
          <w:w w:val="99"/>
          <w:sz w:val="32"/>
          <w:szCs w:val="32"/>
        </w:rPr>
        <w:t>。</w:t>
      </w:r>
    </w:p>
    <w:p w14:paraId="66BAA15B">
      <w:pPr>
        <w:spacing w:line="384" w:lineRule="exact"/>
        <w:ind w:left="917"/>
        <w:rPr>
          <w:sz w:val="32"/>
        </w:rPr>
      </w:pPr>
      <w:r>
        <w:rPr>
          <w:rFonts w:ascii="Times New Roman" w:hAnsi="Times New Roman" w:eastAsia="Times New Roman"/>
          <w:b/>
          <w:spacing w:val="9"/>
          <w:w w:val="95"/>
          <w:sz w:val="32"/>
        </w:rPr>
        <w:t>——</w:t>
      </w:r>
      <w:r>
        <w:rPr>
          <w:b/>
          <w:i/>
          <w:spacing w:val="26"/>
          <w:w w:val="95"/>
          <w:sz w:val="32"/>
        </w:rPr>
        <w:t>一</w:t>
      </w:r>
      <w:r>
        <w:rPr>
          <w:b/>
          <w:i/>
          <w:spacing w:val="29"/>
          <w:w w:val="95"/>
          <w:sz w:val="32"/>
        </w:rPr>
        <w:t>极。</w:t>
      </w:r>
      <w:r>
        <w:rPr>
          <w:b/>
          <w:i/>
          <w:spacing w:val="26"/>
          <w:w w:val="95"/>
          <w:sz w:val="32"/>
        </w:rPr>
        <w:t>阅海经</w:t>
      </w:r>
      <w:r>
        <w:rPr>
          <w:b/>
          <w:i/>
          <w:spacing w:val="29"/>
          <w:w w:val="95"/>
          <w:sz w:val="32"/>
        </w:rPr>
        <w:t>济区</w:t>
      </w:r>
      <w:r>
        <w:rPr>
          <w:b/>
          <w:i/>
          <w:spacing w:val="26"/>
          <w:w w:val="95"/>
          <w:sz w:val="32"/>
        </w:rPr>
        <w:t>黄金增长极。</w:t>
      </w:r>
      <w:r>
        <w:rPr>
          <w:spacing w:val="26"/>
          <w:w w:val="95"/>
          <w:sz w:val="32"/>
        </w:rPr>
        <w:t>阅海经济区</w:t>
      </w:r>
      <w:r>
        <w:rPr>
          <w:spacing w:val="13"/>
          <w:w w:val="95"/>
          <w:sz w:val="32"/>
        </w:rPr>
        <w:t>位于银</w:t>
      </w:r>
    </w:p>
    <w:p w14:paraId="20CD15B3">
      <w:pPr>
        <w:spacing w:before="149" w:line="328" w:lineRule="auto"/>
        <w:ind w:left="233" w:right="274"/>
        <w:jc w:val="both"/>
        <w:rPr>
          <w:sz w:val="32"/>
          <w:szCs w:val="32"/>
        </w:rPr>
      </w:pPr>
      <w:r>
        <w:rPr>
          <w:spacing w:val="23"/>
          <w:w w:val="99"/>
          <w:sz w:val="32"/>
          <w:szCs w:val="32"/>
        </w:rPr>
        <w:t>川市中北部，北至北环高速，南至贺兰山中路，西至包兰铁</w:t>
      </w:r>
      <w:r>
        <w:rPr>
          <w:spacing w:val="13"/>
          <w:w w:val="99"/>
          <w:sz w:val="32"/>
          <w:szCs w:val="32"/>
        </w:rPr>
        <w:t>路，东至唐徕渠，规划总面积约</w:t>
      </w:r>
      <w:r>
        <w:rPr>
          <w:spacing w:val="-52"/>
          <w:sz w:val="32"/>
          <w:szCs w:val="32"/>
        </w:rPr>
        <w:t xml:space="preserve"> </w:t>
      </w:r>
      <w:r>
        <w:rPr>
          <w:rFonts w:ascii="Times New Roman" w:hAnsi="Times New Roman" w:eastAsia="Times New Roman"/>
          <w:spacing w:val="8"/>
          <w:w w:val="99"/>
          <w:sz w:val="32"/>
          <w:szCs w:val="32"/>
        </w:rPr>
        <w:t>7</w:t>
      </w:r>
      <w:r>
        <w:rPr>
          <w:rFonts w:ascii="Times New Roman" w:hAnsi="Times New Roman" w:eastAsia="Times New Roman"/>
          <w:w w:val="99"/>
          <w:sz w:val="32"/>
          <w:szCs w:val="32"/>
        </w:rPr>
        <w:t>9</w:t>
      </w:r>
      <w:r>
        <w:rPr>
          <w:rFonts w:ascii="Times New Roman" w:hAnsi="Times New Roman" w:eastAsia="Times New Roman"/>
          <w:spacing w:val="19"/>
          <w:sz w:val="32"/>
          <w:szCs w:val="32"/>
        </w:rPr>
        <w:t xml:space="preserve"> </w:t>
      </w:r>
      <w:r>
        <w:rPr>
          <w:spacing w:val="14"/>
          <w:w w:val="99"/>
          <w:sz w:val="32"/>
          <w:szCs w:val="32"/>
        </w:rPr>
        <w:t>平方公里。规划建设现代</w:t>
      </w:r>
      <w:r>
        <w:rPr>
          <w:spacing w:val="20"/>
          <w:w w:val="99"/>
          <w:sz w:val="32"/>
          <w:szCs w:val="32"/>
        </w:rPr>
        <w:t>服务与国际交流功能区、</w:t>
      </w:r>
      <w:r>
        <w:rPr>
          <w:rFonts w:ascii="Times New Roman" w:hAnsi="Times New Roman" w:eastAsia="Times New Roman"/>
          <w:spacing w:val="8"/>
          <w:w w:val="99"/>
          <w:sz w:val="32"/>
          <w:szCs w:val="32"/>
        </w:rPr>
        <w:t>C</w:t>
      </w:r>
      <w:r>
        <w:rPr>
          <w:rFonts w:ascii="Times New Roman" w:hAnsi="Times New Roman" w:eastAsia="Times New Roman"/>
          <w:spacing w:val="12"/>
          <w:w w:val="99"/>
          <w:sz w:val="32"/>
          <w:szCs w:val="32"/>
        </w:rPr>
        <w:t>B</w:t>
      </w:r>
      <w:r>
        <w:rPr>
          <w:rFonts w:ascii="Times New Roman" w:hAnsi="Times New Roman" w:eastAsia="Times New Roman"/>
          <w:w w:val="99"/>
          <w:sz w:val="32"/>
          <w:szCs w:val="32"/>
        </w:rPr>
        <w:t>D</w:t>
      </w:r>
      <w:r>
        <w:rPr>
          <w:rFonts w:ascii="Times New Roman" w:hAnsi="Times New Roman" w:eastAsia="Times New Roman"/>
          <w:spacing w:val="20"/>
          <w:sz w:val="32"/>
          <w:szCs w:val="32"/>
        </w:rPr>
        <w:t xml:space="preserve"> </w:t>
      </w:r>
      <w:r>
        <w:rPr>
          <w:spacing w:val="16"/>
          <w:w w:val="99"/>
          <w:sz w:val="32"/>
          <w:szCs w:val="32"/>
        </w:rPr>
        <w:t>拓展功能区、丝路经济园、特</w:t>
      </w:r>
      <w:r>
        <w:rPr>
          <w:spacing w:val="23"/>
          <w:w w:val="99"/>
          <w:sz w:val="32"/>
          <w:szCs w:val="32"/>
        </w:rPr>
        <w:t>色生态宜居区、元宝湖产业小镇和环阅海度假功能区六大产业功能区，打造以现代服务为核心，以数字经济和国际交流为特色，以文化旅游和品质生活为支撑的现代产业体系。建设面向“一带一路”沿线国家的国际交往中心，实现数字经济、总部经济、非公经济等经济集群创新发展，现代金融、文化旅游、健康医养等现代服务业集聚统筹发展，努力打造</w:t>
      </w:r>
      <w:r>
        <w:rPr>
          <w:spacing w:val="19"/>
          <w:w w:val="99"/>
          <w:sz w:val="32"/>
          <w:szCs w:val="32"/>
        </w:rPr>
        <w:t>西北地区产城融合发展新型样板区。</w:t>
      </w:r>
    </w:p>
    <w:p w14:paraId="76C62E3E">
      <w:pPr>
        <w:spacing w:line="340" w:lineRule="auto"/>
        <w:ind w:left="233" w:right="270" w:firstLine="684"/>
        <w:jc w:val="both"/>
        <w:rPr>
          <w:sz w:val="32"/>
        </w:rPr>
      </w:pPr>
      <w:r>
        <w:rPr>
          <w:b/>
          <w:i/>
          <w:spacing w:val="24"/>
          <w:sz w:val="32"/>
        </w:rPr>
        <w:t>现代服务</w:t>
      </w:r>
      <w:r>
        <w:rPr>
          <w:b/>
          <w:i/>
          <w:spacing w:val="26"/>
          <w:sz w:val="32"/>
        </w:rPr>
        <w:t>与</w:t>
      </w:r>
      <w:r>
        <w:rPr>
          <w:b/>
          <w:i/>
          <w:spacing w:val="24"/>
          <w:sz w:val="32"/>
        </w:rPr>
        <w:t>国际交流功能区</w:t>
      </w:r>
      <w:r>
        <w:rPr>
          <w:b/>
          <w:i/>
          <w:spacing w:val="-103"/>
          <w:sz w:val="32"/>
        </w:rPr>
        <w:t>：</w:t>
      </w:r>
      <w:r>
        <w:rPr>
          <w:spacing w:val="-6"/>
          <w:sz w:val="32"/>
        </w:rPr>
        <w:t xml:space="preserve">依托 </w:t>
      </w:r>
      <w:r>
        <w:rPr>
          <w:rFonts w:ascii="Times New Roman" w:eastAsia="Times New Roman"/>
          <w:sz w:val="32"/>
        </w:rPr>
        <w:t>CBD</w:t>
      </w:r>
      <w:r>
        <w:rPr>
          <w:rFonts w:ascii="Times New Roman" w:eastAsia="Times New Roman"/>
          <w:spacing w:val="-20"/>
          <w:sz w:val="32"/>
        </w:rPr>
        <w:t xml:space="preserve"> </w:t>
      </w:r>
      <w:r>
        <w:rPr>
          <w:spacing w:val="21"/>
          <w:sz w:val="32"/>
        </w:rPr>
        <w:t>已有产业</w:t>
      </w:r>
      <w:r>
        <w:rPr>
          <w:spacing w:val="24"/>
          <w:sz w:val="32"/>
        </w:rPr>
        <w:t>基础</w:t>
      </w:r>
      <w:r>
        <w:rPr>
          <w:sz w:val="32"/>
        </w:rPr>
        <w:t>与</w:t>
      </w:r>
      <w:r>
        <w:rPr>
          <w:spacing w:val="24"/>
          <w:w w:val="95"/>
          <w:sz w:val="32"/>
        </w:rPr>
        <w:t>宁夏国际</w:t>
      </w:r>
      <w:r>
        <w:rPr>
          <w:spacing w:val="26"/>
          <w:w w:val="95"/>
          <w:sz w:val="32"/>
        </w:rPr>
        <w:t>会堂</w:t>
      </w:r>
      <w:r>
        <w:rPr>
          <w:spacing w:val="24"/>
          <w:w w:val="95"/>
          <w:sz w:val="32"/>
        </w:rPr>
        <w:t>的窗口</w:t>
      </w:r>
      <w:r>
        <w:rPr>
          <w:spacing w:val="26"/>
          <w:w w:val="95"/>
          <w:sz w:val="32"/>
        </w:rPr>
        <w:t>优势</w:t>
      </w:r>
      <w:r>
        <w:rPr>
          <w:spacing w:val="24"/>
          <w:w w:val="95"/>
          <w:sz w:val="32"/>
        </w:rPr>
        <w:t>，进一</w:t>
      </w:r>
      <w:r>
        <w:rPr>
          <w:spacing w:val="26"/>
          <w:w w:val="95"/>
          <w:sz w:val="32"/>
        </w:rPr>
        <w:t>步发</w:t>
      </w:r>
      <w:r>
        <w:rPr>
          <w:spacing w:val="24"/>
          <w:w w:val="95"/>
          <w:sz w:val="32"/>
        </w:rPr>
        <w:t>展总部</w:t>
      </w:r>
      <w:r>
        <w:rPr>
          <w:spacing w:val="26"/>
          <w:w w:val="95"/>
          <w:sz w:val="32"/>
        </w:rPr>
        <w:t>经济</w:t>
      </w:r>
      <w:r>
        <w:rPr>
          <w:spacing w:val="17"/>
          <w:w w:val="95"/>
          <w:sz w:val="32"/>
        </w:rPr>
        <w:t>产业与国际</w:t>
      </w:r>
    </w:p>
    <w:p w14:paraId="437A50C3">
      <w:pPr>
        <w:spacing w:line="340" w:lineRule="auto"/>
        <w:jc w:val="both"/>
        <w:rPr>
          <w:sz w:val="32"/>
        </w:rPr>
        <w:sectPr>
          <w:footerReference r:id="rId14" w:type="default"/>
          <w:footerReference r:id="rId15" w:type="even"/>
          <w:pgSz w:w="11910" w:h="16840"/>
          <w:pgMar w:top="1780" w:right="1220" w:bottom="1160" w:left="1240" w:header="0" w:footer="975" w:gutter="0"/>
          <w:pgNumType w:start="23"/>
          <w:cols w:space="720" w:num="1"/>
        </w:sectPr>
      </w:pPr>
    </w:p>
    <w:p w14:paraId="25940852">
      <w:pPr>
        <w:spacing w:before="28" w:line="338" w:lineRule="auto"/>
        <w:ind w:left="233" w:right="275"/>
        <w:jc w:val="both"/>
        <w:rPr>
          <w:sz w:val="32"/>
          <w:szCs w:val="32"/>
        </w:rPr>
      </w:pPr>
      <w:r>
        <w:rPr>
          <w:spacing w:val="23"/>
          <w:w w:val="99"/>
          <w:sz w:val="32"/>
          <w:szCs w:val="32"/>
        </w:rPr>
        <w:t>交流产业，并利用国际交往优势，吸引国际企业入驻规划范围，培育国际化企业和人才，形成总部经济与国际商务交往</w:t>
      </w:r>
      <w:r>
        <w:rPr>
          <w:spacing w:val="19"/>
          <w:w w:val="99"/>
          <w:sz w:val="32"/>
          <w:szCs w:val="32"/>
        </w:rPr>
        <w:t>产业相互促进的产业体系。</w:t>
      </w:r>
    </w:p>
    <w:p w14:paraId="3B0FFB5F">
      <w:pPr>
        <w:spacing w:before="5" w:line="340" w:lineRule="auto"/>
        <w:ind w:left="233" w:right="270" w:firstLine="684"/>
        <w:jc w:val="both"/>
        <w:rPr>
          <w:sz w:val="32"/>
          <w:szCs w:val="32"/>
        </w:rPr>
      </w:pPr>
      <w:r>
        <w:rPr>
          <w:rFonts w:ascii="Times New Roman" w:eastAsia="Times New Roman"/>
          <w:b/>
          <w:spacing w:val="7"/>
          <w:w w:val="99"/>
          <w:sz w:val="32"/>
          <w:szCs w:val="32"/>
        </w:rPr>
        <w:t>C</w:t>
      </w:r>
      <w:r>
        <w:rPr>
          <w:rFonts w:ascii="Times New Roman" w:eastAsia="Times New Roman"/>
          <w:b/>
          <w:spacing w:val="12"/>
          <w:w w:val="99"/>
          <w:sz w:val="32"/>
          <w:szCs w:val="32"/>
        </w:rPr>
        <w:t>B</w:t>
      </w:r>
      <w:r>
        <w:rPr>
          <w:rFonts w:ascii="Times New Roman" w:eastAsia="Times New Roman"/>
          <w:b/>
          <w:w w:val="99"/>
          <w:sz w:val="32"/>
          <w:szCs w:val="32"/>
        </w:rPr>
        <w:t>D</w:t>
      </w:r>
      <w:r>
        <w:rPr>
          <w:rFonts w:ascii="Times New Roman" w:eastAsia="Times New Roman"/>
          <w:b/>
          <w:spacing w:val="25"/>
          <w:sz w:val="32"/>
          <w:szCs w:val="32"/>
        </w:rPr>
        <w:t xml:space="preserve"> </w:t>
      </w:r>
      <w:r>
        <w:rPr>
          <w:b/>
          <w:i/>
          <w:spacing w:val="24"/>
          <w:w w:val="99"/>
          <w:sz w:val="32"/>
          <w:szCs w:val="32"/>
        </w:rPr>
        <w:t>拓展功能区：</w:t>
      </w:r>
      <w:r>
        <w:rPr>
          <w:b/>
          <w:i/>
          <w:spacing w:val="-130"/>
          <w:sz w:val="32"/>
          <w:szCs w:val="32"/>
        </w:rPr>
        <w:t xml:space="preserve"> </w:t>
      </w:r>
      <w:r>
        <w:rPr>
          <w:spacing w:val="14"/>
          <w:w w:val="99"/>
          <w:sz w:val="32"/>
          <w:szCs w:val="32"/>
        </w:rPr>
        <w:t>遵循</w:t>
      </w:r>
      <w:r>
        <w:rPr>
          <w:spacing w:val="-47"/>
          <w:sz w:val="32"/>
          <w:szCs w:val="32"/>
        </w:rPr>
        <w:t xml:space="preserve"> </w:t>
      </w:r>
      <w:r>
        <w:rPr>
          <w:rFonts w:ascii="Times New Roman" w:eastAsia="Times New Roman"/>
          <w:spacing w:val="8"/>
          <w:w w:val="99"/>
          <w:sz w:val="32"/>
          <w:szCs w:val="32"/>
        </w:rPr>
        <w:t>C</w:t>
      </w:r>
      <w:r>
        <w:rPr>
          <w:rFonts w:ascii="Times New Roman" w:eastAsia="Times New Roman"/>
          <w:spacing w:val="12"/>
          <w:w w:val="99"/>
          <w:sz w:val="32"/>
          <w:szCs w:val="32"/>
        </w:rPr>
        <w:t>B</w:t>
      </w:r>
      <w:r>
        <w:rPr>
          <w:rFonts w:ascii="Times New Roman" w:eastAsia="Times New Roman"/>
          <w:w w:val="99"/>
          <w:sz w:val="32"/>
          <w:szCs w:val="32"/>
        </w:rPr>
        <w:t>D</w:t>
      </w:r>
      <w:r>
        <w:rPr>
          <w:rFonts w:ascii="Times New Roman" w:eastAsia="Times New Roman"/>
          <w:spacing w:val="28"/>
          <w:sz w:val="32"/>
          <w:szCs w:val="32"/>
        </w:rPr>
        <w:t xml:space="preserve"> </w:t>
      </w:r>
      <w:r>
        <w:rPr>
          <w:spacing w:val="24"/>
          <w:w w:val="99"/>
          <w:sz w:val="32"/>
          <w:szCs w:val="32"/>
        </w:rPr>
        <w:t>总部经济未来发展趋势，</w:t>
      </w:r>
      <w:r>
        <w:rPr>
          <w:spacing w:val="12"/>
          <w:w w:val="99"/>
          <w:sz w:val="32"/>
          <w:szCs w:val="32"/>
        </w:rPr>
        <w:t>对原</w:t>
      </w:r>
      <w:r>
        <w:rPr>
          <w:spacing w:val="-52"/>
          <w:sz w:val="32"/>
          <w:szCs w:val="32"/>
        </w:rPr>
        <w:t xml:space="preserve"> </w:t>
      </w:r>
      <w:r>
        <w:rPr>
          <w:rFonts w:ascii="Times New Roman" w:eastAsia="Times New Roman"/>
          <w:spacing w:val="8"/>
          <w:w w:val="99"/>
          <w:sz w:val="32"/>
          <w:szCs w:val="32"/>
        </w:rPr>
        <w:t>C</w:t>
      </w:r>
      <w:r>
        <w:rPr>
          <w:rFonts w:ascii="Times New Roman" w:eastAsia="Times New Roman"/>
          <w:spacing w:val="10"/>
          <w:w w:val="99"/>
          <w:sz w:val="32"/>
          <w:szCs w:val="32"/>
        </w:rPr>
        <w:t>B</w:t>
      </w:r>
      <w:r>
        <w:rPr>
          <w:rFonts w:ascii="Times New Roman" w:eastAsia="Times New Roman"/>
          <w:w w:val="99"/>
          <w:sz w:val="32"/>
          <w:szCs w:val="32"/>
        </w:rPr>
        <w:t>D</w:t>
      </w:r>
      <w:r>
        <w:rPr>
          <w:rFonts w:ascii="Times New Roman" w:eastAsia="Times New Roman"/>
          <w:spacing w:val="20"/>
          <w:sz w:val="32"/>
          <w:szCs w:val="32"/>
        </w:rPr>
        <w:t xml:space="preserve"> </w:t>
      </w:r>
      <w:r>
        <w:rPr>
          <w:spacing w:val="14"/>
          <w:w w:val="99"/>
          <w:sz w:val="32"/>
          <w:szCs w:val="32"/>
        </w:rPr>
        <w:t>总部经济与国际会展功能进行存量优化与拓展，发</w:t>
      </w:r>
      <w:r>
        <w:rPr>
          <w:spacing w:val="23"/>
          <w:w w:val="99"/>
          <w:sz w:val="32"/>
          <w:szCs w:val="32"/>
        </w:rPr>
        <w:t>展与其相关的生产服务业，包括金融、咨询、科技、研发、</w:t>
      </w:r>
      <w:r>
        <w:rPr>
          <w:spacing w:val="12"/>
          <w:w w:val="99"/>
          <w:sz w:val="32"/>
          <w:szCs w:val="32"/>
        </w:rPr>
        <w:t>会展、健康、教育等产业门类，促进</w:t>
      </w:r>
      <w:r>
        <w:rPr>
          <w:spacing w:val="-55"/>
          <w:sz w:val="32"/>
          <w:szCs w:val="32"/>
        </w:rPr>
        <w:t xml:space="preserve"> </w:t>
      </w:r>
      <w:r>
        <w:rPr>
          <w:rFonts w:ascii="Times New Roman" w:eastAsia="Times New Roman"/>
          <w:spacing w:val="8"/>
          <w:w w:val="99"/>
          <w:sz w:val="32"/>
          <w:szCs w:val="32"/>
        </w:rPr>
        <w:t>C</w:t>
      </w:r>
      <w:r>
        <w:rPr>
          <w:rFonts w:ascii="Times New Roman" w:eastAsia="Times New Roman"/>
          <w:spacing w:val="12"/>
          <w:w w:val="99"/>
          <w:sz w:val="32"/>
          <w:szCs w:val="32"/>
        </w:rPr>
        <w:t>B</w:t>
      </w:r>
      <w:r>
        <w:rPr>
          <w:rFonts w:ascii="Times New Roman" w:eastAsia="Times New Roman"/>
          <w:w w:val="99"/>
          <w:sz w:val="32"/>
          <w:szCs w:val="32"/>
        </w:rPr>
        <w:t>D</w:t>
      </w:r>
      <w:r>
        <w:rPr>
          <w:rFonts w:ascii="Times New Roman" w:eastAsia="Times New Roman"/>
          <w:spacing w:val="20"/>
          <w:sz w:val="32"/>
          <w:szCs w:val="32"/>
        </w:rPr>
        <w:t xml:space="preserve"> </w:t>
      </w:r>
      <w:r>
        <w:rPr>
          <w:spacing w:val="14"/>
          <w:w w:val="99"/>
          <w:sz w:val="32"/>
          <w:szCs w:val="32"/>
        </w:rPr>
        <w:t>产业发展。在该分</w:t>
      </w:r>
      <w:r>
        <w:rPr>
          <w:spacing w:val="20"/>
          <w:w w:val="99"/>
          <w:sz w:val="32"/>
          <w:szCs w:val="32"/>
        </w:rPr>
        <w:t>区内设置经济拓展、科技服务、丝路康养三个组团。</w:t>
      </w:r>
    </w:p>
    <w:p w14:paraId="6F2B2D39">
      <w:pPr>
        <w:spacing w:line="340" w:lineRule="auto"/>
        <w:ind w:left="233" w:right="273" w:firstLine="684"/>
        <w:jc w:val="both"/>
        <w:rPr>
          <w:sz w:val="32"/>
          <w:szCs w:val="32"/>
        </w:rPr>
      </w:pPr>
      <w:r>
        <w:rPr>
          <w:b/>
          <w:i/>
          <w:spacing w:val="26"/>
          <w:w w:val="99"/>
          <w:sz w:val="32"/>
          <w:szCs w:val="32"/>
        </w:rPr>
        <w:t>丝路经济园：</w:t>
      </w:r>
      <w:r>
        <w:rPr>
          <w:spacing w:val="22"/>
          <w:w w:val="99"/>
          <w:sz w:val="32"/>
          <w:szCs w:val="32"/>
        </w:rPr>
        <w:t>加快构筑宁夏跨境跨域开放合作平台，建</w:t>
      </w:r>
      <w:r>
        <w:rPr>
          <w:spacing w:val="23"/>
          <w:w w:val="99"/>
          <w:sz w:val="32"/>
          <w:szCs w:val="32"/>
        </w:rPr>
        <w:t>设非公经济集群等特色板块，重点发展生产服务业、信息技术产业门类，吸引中小企业与外资企业入驻，形成规划范围新的产业发展核心。从空间布局来讲，丝路经济园的南部为核心区，聚集非公产业，分为西侧的信息技术组团和东侧的</w:t>
      </w:r>
      <w:r>
        <w:rPr>
          <w:spacing w:val="18"/>
          <w:w w:val="99"/>
          <w:sz w:val="32"/>
          <w:szCs w:val="32"/>
        </w:rPr>
        <w:t>生产服务组团。</w:t>
      </w:r>
    </w:p>
    <w:p w14:paraId="6672C902">
      <w:pPr>
        <w:spacing w:line="361" w:lineRule="exact"/>
        <w:ind w:left="917"/>
        <w:rPr>
          <w:sz w:val="32"/>
        </w:rPr>
      </w:pPr>
      <w:r>
        <w:rPr>
          <w:b/>
          <w:i/>
          <w:spacing w:val="26"/>
          <w:w w:val="95"/>
          <w:sz w:val="32"/>
        </w:rPr>
        <w:t>特色生态宜居</w:t>
      </w:r>
      <w:r>
        <w:rPr>
          <w:b/>
          <w:i/>
          <w:spacing w:val="27"/>
          <w:w w:val="95"/>
          <w:sz w:val="32"/>
        </w:rPr>
        <w:t>区：</w:t>
      </w:r>
      <w:r>
        <w:rPr>
          <w:spacing w:val="24"/>
          <w:w w:val="95"/>
          <w:sz w:val="32"/>
        </w:rPr>
        <w:t>以贺兰水源地保护</w:t>
      </w:r>
      <w:r>
        <w:rPr>
          <w:spacing w:val="26"/>
          <w:w w:val="95"/>
          <w:sz w:val="32"/>
        </w:rPr>
        <w:t>为重</w:t>
      </w:r>
      <w:r>
        <w:rPr>
          <w:spacing w:val="18"/>
          <w:w w:val="95"/>
          <w:sz w:val="32"/>
        </w:rPr>
        <w:t>点，加强湖泊</w:t>
      </w:r>
    </w:p>
    <w:p w14:paraId="5C9641BE">
      <w:pPr>
        <w:spacing w:before="202" w:line="364" w:lineRule="auto"/>
        <w:ind w:left="233" w:right="275"/>
        <w:jc w:val="both"/>
        <w:rPr>
          <w:sz w:val="32"/>
          <w:szCs w:val="32"/>
        </w:rPr>
      </w:pPr>
      <w:r>
        <w:rPr>
          <w:spacing w:val="23"/>
          <w:w w:val="99"/>
          <w:sz w:val="32"/>
          <w:szCs w:val="32"/>
        </w:rPr>
        <w:t>湿地生态修复、保护和利用，突出绿色发展，打造文化旅游小镇和湿地公园，形成湿地观光、度假旅游、旅游集散、居</w:t>
      </w:r>
      <w:r>
        <w:rPr>
          <w:spacing w:val="19"/>
          <w:w w:val="99"/>
          <w:sz w:val="32"/>
          <w:szCs w:val="32"/>
        </w:rPr>
        <w:t>住等功能于一体的特色生态宜居区。</w:t>
      </w:r>
    </w:p>
    <w:p w14:paraId="0B650512">
      <w:pPr>
        <w:spacing w:before="39" w:line="340" w:lineRule="auto"/>
        <w:ind w:left="233" w:right="273" w:firstLine="684"/>
        <w:jc w:val="both"/>
        <w:rPr>
          <w:sz w:val="32"/>
        </w:rPr>
      </w:pPr>
      <w:r>
        <w:rPr>
          <w:b/>
          <w:i/>
          <w:spacing w:val="26"/>
          <w:w w:val="99"/>
          <w:sz w:val="32"/>
        </w:rPr>
        <w:t>元宝湖产业小镇功能区：</w:t>
      </w:r>
      <w:r>
        <w:rPr>
          <w:spacing w:val="22"/>
          <w:w w:val="99"/>
          <w:sz w:val="32"/>
        </w:rPr>
        <w:t>围绕元宝湖，在元宝湖南部，</w:t>
      </w:r>
      <w:r>
        <w:rPr>
          <w:spacing w:val="23"/>
          <w:w w:val="99"/>
          <w:sz w:val="32"/>
        </w:rPr>
        <w:t>打造文化小镇、文化创意小镇、健康宜居小镇三个特色产业</w:t>
      </w:r>
      <w:r>
        <w:rPr>
          <w:spacing w:val="14"/>
          <w:w w:val="99"/>
          <w:sz w:val="32"/>
        </w:rPr>
        <w:t>小镇。</w:t>
      </w:r>
    </w:p>
    <w:p w14:paraId="3D803E5C">
      <w:pPr>
        <w:spacing w:line="340" w:lineRule="auto"/>
        <w:ind w:left="233" w:right="100" w:firstLine="684"/>
        <w:rPr>
          <w:sz w:val="32"/>
          <w:szCs w:val="32"/>
        </w:rPr>
      </w:pPr>
      <w:r>
        <w:rPr>
          <w:b/>
          <w:i/>
          <w:spacing w:val="17"/>
          <w:w w:val="99"/>
          <w:sz w:val="32"/>
          <w:szCs w:val="32"/>
        </w:rPr>
        <w:t>环阅海度假功能区：</w:t>
      </w:r>
      <w:r>
        <w:rPr>
          <w:spacing w:val="13"/>
          <w:w w:val="99"/>
          <w:sz w:val="32"/>
          <w:szCs w:val="32"/>
        </w:rPr>
        <w:t>以阅海湿地、花博园等资源为核心，</w:t>
      </w:r>
      <w:r>
        <w:rPr>
          <w:spacing w:val="23"/>
          <w:w w:val="99"/>
          <w:sz w:val="32"/>
          <w:szCs w:val="32"/>
        </w:rPr>
        <w:t>打造丝路明珠塔、主题公园、云上丝绸之路体验中心、丝路</w:t>
      </w:r>
    </w:p>
    <w:p w14:paraId="38FB0D0F">
      <w:pPr>
        <w:spacing w:line="340" w:lineRule="auto"/>
        <w:sectPr>
          <w:pgSz w:w="11910" w:h="16840"/>
          <w:pgMar w:top="1800" w:right="1220" w:bottom="1160" w:left="1240" w:header="0" w:footer="975" w:gutter="0"/>
          <w:cols w:space="720" w:num="1"/>
        </w:sectPr>
      </w:pPr>
    </w:p>
    <w:p w14:paraId="1F0E3C4D">
      <w:pPr>
        <w:spacing w:before="28" w:line="338" w:lineRule="auto"/>
        <w:ind w:left="233" w:right="275"/>
        <w:jc w:val="both"/>
        <w:rPr>
          <w:sz w:val="32"/>
          <w:szCs w:val="32"/>
        </w:rPr>
      </w:pPr>
      <w:r>
        <w:rPr>
          <w:sz w:val="32"/>
          <w:szCs w:val="32"/>
        </w:rPr>
        <w:drawing>
          <wp:anchor distT="0" distB="0" distL="0" distR="0" simplePos="0" relativeHeight="251700224" behindDoc="1" locked="0" layoutInCell="1" allowOverlap="1">
            <wp:simplePos x="0" y="0"/>
            <wp:positionH relativeFrom="page">
              <wp:posOffset>1136650</wp:posOffset>
            </wp:positionH>
            <wp:positionV relativeFrom="paragraph">
              <wp:posOffset>1044575</wp:posOffset>
            </wp:positionV>
            <wp:extent cx="5287010" cy="3933190"/>
            <wp:effectExtent l="0" t="0" r="0" b="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a:picLocks noChangeAspect="1"/>
                    </pic:cNvPicPr>
                  </pic:nvPicPr>
                  <pic:blipFill>
                    <a:blip r:embed="rId50" cstate="print"/>
                    <a:stretch>
                      <a:fillRect/>
                    </a:stretch>
                  </pic:blipFill>
                  <pic:spPr>
                    <a:xfrm>
                      <a:off x="0" y="0"/>
                      <a:ext cx="5286756" cy="3933444"/>
                    </a:xfrm>
                    <a:prstGeom prst="rect">
                      <a:avLst/>
                    </a:prstGeom>
                  </pic:spPr>
                </pic:pic>
              </a:graphicData>
            </a:graphic>
          </wp:anchor>
        </w:drawing>
      </w:r>
      <w:r>
        <w:rPr>
          <w:spacing w:val="23"/>
          <w:w w:val="99"/>
          <w:sz w:val="32"/>
          <w:szCs w:val="32"/>
        </w:rPr>
        <w:t>风情商业街等核心项目，形成阅海湿地度假旅游板块，打造集湿地观光、文化创意、科技体验、旅游集散等功能于一体</w:t>
      </w:r>
      <w:r>
        <w:rPr>
          <w:spacing w:val="20"/>
          <w:w w:val="99"/>
          <w:sz w:val="32"/>
          <w:szCs w:val="32"/>
        </w:rPr>
        <w:t>的阅海旅游综合体，形成银川标志及丝绸之路标志性景观。</w:t>
      </w:r>
    </w:p>
    <w:p w14:paraId="002C22A1">
      <w:pPr>
        <w:rPr>
          <w:sz w:val="32"/>
          <w:szCs w:val="32"/>
        </w:rPr>
      </w:pPr>
    </w:p>
    <w:p w14:paraId="383926FF">
      <w:pPr>
        <w:rPr>
          <w:sz w:val="32"/>
          <w:szCs w:val="32"/>
        </w:rPr>
      </w:pPr>
    </w:p>
    <w:p w14:paraId="0399DA6F">
      <w:pPr>
        <w:rPr>
          <w:sz w:val="32"/>
          <w:szCs w:val="32"/>
        </w:rPr>
      </w:pPr>
    </w:p>
    <w:p w14:paraId="405D955D">
      <w:pPr>
        <w:rPr>
          <w:sz w:val="32"/>
          <w:szCs w:val="32"/>
        </w:rPr>
      </w:pPr>
    </w:p>
    <w:p w14:paraId="6137DDBC">
      <w:pPr>
        <w:rPr>
          <w:sz w:val="32"/>
          <w:szCs w:val="32"/>
        </w:rPr>
      </w:pPr>
    </w:p>
    <w:p w14:paraId="3742640B">
      <w:pPr>
        <w:rPr>
          <w:sz w:val="32"/>
          <w:szCs w:val="32"/>
        </w:rPr>
      </w:pPr>
    </w:p>
    <w:p w14:paraId="0904BF4F">
      <w:pPr>
        <w:rPr>
          <w:sz w:val="32"/>
          <w:szCs w:val="32"/>
        </w:rPr>
      </w:pPr>
    </w:p>
    <w:p w14:paraId="162BEDDA">
      <w:pPr>
        <w:rPr>
          <w:sz w:val="32"/>
          <w:szCs w:val="32"/>
        </w:rPr>
      </w:pPr>
    </w:p>
    <w:p w14:paraId="2E5087DB">
      <w:pPr>
        <w:rPr>
          <w:sz w:val="32"/>
          <w:szCs w:val="32"/>
        </w:rPr>
      </w:pPr>
    </w:p>
    <w:p w14:paraId="6278B738">
      <w:pPr>
        <w:rPr>
          <w:sz w:val="32"/>
          <w:szCs w:val="32"/>
        </w:rPr>
      </w:pPr>
    </w:p>
    <w:p w14:paraId="4C19D74E">
      <w:pPr>
        <w:rPr>
          <w:sz w:val="32"/>
          <w:szCs w:val="32"/>
        </w:rPr>
      </w:pPr>
    </w:p>
    <w:p w14:paraId="16659DC3">
      <w:pPr>
        <w:rPr>
          <w:sz w:val="32"/>
          <w:szCs w:val="32"/>
        </w:rPr>
      </w:pPr>
    </w:p>
    <w:p w14:paraId="5361EDD2">
      <w:pPr>
        <w:rPr>
          <w:sz w:val="32"/>
          <w:szCs w:val="32"/>
        </w:rPr>
      </w:pPr>
    </w:p>
    <w:p w14:paraId="6EED8307">
      <w:pPr>
        <w:rPr>
          <w:sz w:val="32"/>
          <w:szCs w:val="32"/>
        </w:rPr>
      </w:pPr>
    </w:p>
    <w:p w14:paraId="28C89968">
      <w:pPr>
        <w:spacing w:before="5"/>
        <w:rPr>
          <w:sz w:val="28"/>
          <w:szCs w:val="32"/>
        </w:rPr>
      </w:pPr>
    </w:p>
    <w:p w14:paraId="32B1F9FB">
      <w:pPr>
        <w:spacing w:before="1"/>
        <w:ind w:left="3322" w:right="3083"/>
        <w:jc w:val="center"/>
        <w:rPr>
          <w:rFonts w:ascii="黑体" w:eastAsia="黑体"/>
          <w:sz w:val="24"/>
        </w:rPr>
      </w:pPr>
      <w:r>
        <w:rPr>
          <w:rFonts w:ascii="黑体" w:eastAsia="黑体"/>
          <w:spacing w:val="17"/>
          <w:sz w:val="24"/>
        </w:rPr>
        <w:t>阅海经济区总体布局</w:t>
      </w:r>
    </w:p>
    <w:p w14:paraId="70CFEBCC">
      <w:pPr>
        <w:spacing w:before="128" w:line="328" w:lineRule="auto"/>
        <w:ind w:left="233" w:right="325" w:firstLine="684"/>
        <w:jc w:val="both"/>
        <w:rPr>
          <w:sz w:val="32"/>
          <w:szCs w:val="32"/>
        </w:rPr>
      </w:pPr>
      <w:r>
        <w:rPr>
          <w:rFonts w:ascii="Times New Roman" w:hAnsi="Times New Roman" w:eastAsia="Times New Roman"/>
          <w:b/>
          <w:spacing w:val="12"/>
          <w:w w:val="99"/>
          <w:sz w:val="32"/>
          <w:szCs w:val="32"/>
        </w:rPr>
        <w:t>——</w:t>
      </w:r>
      <w:r>
        <w:rPr>
          <w:b/>
          <w:i/>
          <w:spacing w:val="24"/>
          <w:w w:val="99"/>
          <w:sz w:val="32"/>
          <w:szCs w:val="32"/>
        </w:rPr>
        <w:t>两带。典农河生态休闲旅游产业带。</w:t>
      </w:r>
      <w:r>
        <w:rPr>
          <w:spacing w:val="17"/>
          <w:w w:val="99"/>
          <w:sz w:val="32"/>
          <w:szCs w:val="32"/>
        </w:rPr>
        <w:t>突出“塞上湖</w:t>
      </w:r>
      <w:r>
        <w:rPr>
          <w:spacing w:val="20"/>
          <w:w w:val="99"/>
          <w:sz w:val="32"/>
          <w:szCs w:val="32"/>
        </w:rPr>
        <w:t>城”的“代言人”定位，实施典农河生态景观提升等生态项目，提高生态保护和生态修复水平，串联阅海、小西湖、华雁湖、宝湖、七子连湖等生态公园，积极发展生态旅游、休闲旅游、观光旅游和乡村旅游，打造全区生态廊道、新的经</w:t>
      </w:r>
      <w:r>
        <w:rPr>
          <w:spacing w:val="21"/>
          <w:w w:val="99"/>
          <w:sz w:val="32"/>
          <w:szCs w:val="32"/>
        </w:rPr>
        <w:t>济增长带。</w:t>
      </w:r>
      <w:r>
        <w:rPr>
          <w:b/>
          <w:i/>
          <w:spacing w:val="24"/>
          <w:w w:val="99"/>
          <w:sz w:val="32"/>
          <w:szCs w:val="32"/>
        </w:rPr>
        <w:t>沿正源街现代服务业聚集带。</w:t>
      </w:r>
      <w:r>
        <w:rPr>
          <w:spacing w:val="18"/>
          <w:w w:val="99"/>
          <w:sz w:val="32"/>
          <w:szCs w:val="32"/>
        </w:rPr>
        <w:t>正源街由北向南串</w:t>
      </w:r>
      <w:r>
        <w:rPr>
          <w:spacing w:val="20"/>
          <w:w w:val="99"/>
          <w:sz w:val="32"/>
          <w:szCs w:val="32"/>
        </w:rPr>
        <w:t>联各主要发展板块和重点商圈，以盘活存量、提高质量为发力点，深化产城融合，聚焦中高端消费群体，持续放大对高端商业业态、高端时尚消费、体验式消费等新型消费集聚效</w:t>
      </w:r>
    </w:p>
    <w:p w14:paraId="3DA893AC">
      <w:pPr>
        <w:spacing w:line="328" w:lineRule="auto"/>
        <w:jc w:val="both"/>
        <w:sectPr>
          <w:pgSz w:w="11910" w:h="16840"/>
          <w:pgMar w:top="1800" w:right="1220" w:bottom="1160" w:left="1240" w:header="0" w:footer="975" w:gutter="0"/>
          <w:cols w:space="720" w:num="1"/>
        </w:sectPr>
      </w:pPr>
    </w:p>
    <w:p w14:paraId="55FC0DFD">
      <w:pPr>
        <w:spacing w:before="31"/>
        <w:ind w:left="233"/>
        <w:rPr>
          <w:sz w:val="32"/>
          <w:szCs w:val="32"/>
        </w:rPr>
      </w:pPr>
      <w:r>
        <w:rPr>
          <w:spacing w:val="19"/>
          <w:w w:val="95"/>
          <w:sz w:val="32"/>
          <w:szCs w:val="32"/>
        </w:rPr>
        <w:t>应，引领时尚消费新趋势，提升现代服务业发展能级。</w:t>
      </w:r>
    </w:p>
    <w:p w14:paraId="41B1770E">
      <w:pPr>
        <w:spacing w:before="151" w:line="328" w:lineRule="auto"/>
        <w:ind w:left="233" w:right="106" w:firstLine="684"/>
        <w:rPr>
          <w:sz w:val="32"/>
          <w:szCs w:val="32"/>
        </w:rPr>
      </w:pPr>
      <w:r>
        <w:rPr>
          <w:rFonts w:ascii="Times New Roman" w:hAnsi="Times New Roman" w:eastAsia="Times New Roman"/>
          <w:b/>
          <w:spacing w:val="12"/>
          <w:w w:val="99"/>
          <w:sz w:val="32"/>
          <w:szCs w:val="32"/>
        </w:rPr>
        <w:t>——</w:t>
      </w:r>
      <w:r>
        <w:rPr>
          <w:b/>
          <w:i/>
          <w:spacing w:val="26"/>
          <w:w w:val="99"/>
          <w:sz w:val="32"/>
          <w:szCs w:val="32"/>
        </w:rPr>
        <w:t>双引擎。产业转型升级发展引擎。</w:t>
      </w:r>
      <w:r>
        <w:rPr>
          <w:spacing w:val="21"/>
          <w:w w:val="99"/>
          <w:sz w:val="32"/>
          <w:szCs w:val="32"/>
        </w:rPr>
        <w:t>依托城市资源禀</w:t>
      </w:r>
      <w:r>
        <w:rPr>
          <w:spacing w:val="23"/>
          <w:w w:val="99"/>
          <w:sz w:val="32"/>
          <w:szCs w:val="32"/>
        </w:rPr>
        <w:t>赋，调整优化六个街道，新设立贺兰山中路街道。提升发展</w:t>
      </w:r>
      <w:r>
        <w:rPr>
          <w:spacing w:val="11"/>
          <w:w w:val="99"/>
          <w:sz w:val="32"/>
          <w:szCs w:val="32"/>
        </w:rPr>
        <w:t>六大商圈，推进城市商业综合体建设，改造提升商贸、餐饮、</w:t>
      </w:r>
      <w:r>
        <w:rPr>
          <w:spacing w:val="23"/>
          <w:w w:val="99"/>
          <w:sz w:val="32"/>
          <w:szCs w:val="32"/>
        </w:rPr>
        <w:t>住宿等传统服务业，发展新型商业业态，推进会展、金融保险、科技服务、数字经济等现代服务业。进一步增强要素聚</w:t>
      </w:r>
      <w:r>
        <w:rPr>
          <w:spacing w:val="10"/>
          <w:w w:val="99"/>
          <w:sz w:val="32"/>
          <w:szCs w:val="32"/>
        </w:rPr>
        <w:t>集能力，壮大城市经济规模，提升城市综合服务能力和品位，</w:t>
      </w:r>
      <w:r>
        <w:rPr>
          <w:spacing w:val="23"/>
          <w:w w:val="99"/>
          <w:sz w:val="32"/>
          <w:szCs w:val="32"/>
        </w:rPr>
        <w:t>引领区市服务业高端化发展，形成区市生活性服务业集聚核</w:t>
      </w:r>
      <w:r>
        <w:rPr>
          <w:spacing w:val="25"/>
          <w:w w:val="99"/>
          <w:sz w:val="32"/>
          <w:szCs w:val="32"/>
        </w:rPr>
        <w:t>心。</w:t>
      </w:r>
      <w:r>
        <w:rPr>
          <w:b/>
          <w:i/>
          <w:spacing w:val="25"/>
          <w:w w:val="99"/>
          <w:sz w:val="32"/>
          <w:szCs w:val="32"/>
        </w:rPr>
        <w:t>城乡统筹融合发展引擎。</w:t>
      </w:r>
      <w:r>
        <w:rPr>
          <w:spacing w:val="22"/>
          <w:w w:val="99"/>
          <w:sz w:val="32"/>
          <w:szCs w:val="32"/>
        </w:rPr>
        <w:t>良田镇，按照乡村振兴规划，</w:t>
      </w:r>
      <w:r>
        <w:rPr>
          <w:spacing w:val="23"/>
          <w:w w:val="99"/>
          <w:sz w:val="32"/>
          <w:szCs w:val="32"/>
        </w:rPr>
        <w:t>大力建设美丽乡村，提升居民生活品质，因地制宜发展观光农业、创意农业、智慧农业、立体农业，开辟供市民观赏的菜园、花圃等市民农园，推进农业与文化旅游、教育、康养等产业深度融合，推动产业、人口向镇域集聚，增强服务城市和承载城市功能外溢的能力。丰登镇，按照产城融合发展理念，全面融入城市发展，完善基础设施配套，加快建设润丰、和丰民俗村庄，大力提升承载功能，坚持绿色生态旅游发展方向，开发田园综合、游泳沙滩、自驾露营地等旅游业态，打造城市休闲旅游目的地、产城有机融合特色镇，将良</w:t>
      </w:r>
      <w:r>
        <w:rPr>
          <w:spacing w:val="19"/>
          <w:w w:val="99"/>
          <w:sz w:val="32"/>
          <w:szCs w:val="32"/>
        </w:rPr>
        <w:t>田镇、丰登镇打造成为乡村振兴发展示范镇。</w:t>
      </w:r>
    </w:p>
    <w:p w14:paraId="50312D40">
      <w:pPr>
        <w:spacing w:line="379" w:lineRule="exact"/>
        <w:ind w:left="917"/>
        <w:rPr>
          <w:sz w:val="32"/>
        </w:rPr>
      </w:pPr>
      <w:r>
        <w:rPr>
          <w:rFonts w:ascii="Times New Roman" w:hAnsi="Times New Roman" w:eastAsia="Times New Roman"/>
          <w:b/>
          <w:spacing w:val="9"/>
          <w:w w:val="95"/>
          <w:sz w:val="32"/>
        </w:rPr>
        <w:t>——</w:t>
      </w:r>
      <w:r>
        <w:rPr>
          <w:b/>
          <w:i/>
          <w:spacing w:val="26"/>
          <w:w w:val="95"/>
          <w:sz w:val="32"/>
        </w:rPr>
        <w:t>六大商圈。</w:t>
      </w:r>
      <w:r>
        <w:rPr>
          <w:spacing w:val="26"/>
          <w:w w:val="95"/>
          <w:sz w:val="32"/>
        </w:rPr>
        <w:t>实现六大商圈</w:t>
      </w:r>
      <w:r>
        <w:rPr>
          <w:spacing w:val="29"/>
          <w:w w:val="95"/>
          <w:sz w:val="32"/>
        </w:rPr>
        <w:t>优</w:t>
      </w:r>
      <w:r>
        <w:rPr>
          <w:spacing w:val="26"/>
          <w:w w:val="95"/>
          <w:sz w:val="32"/>
        </w:rPr>
        <w:t>势互补、错位发展、</w:t>
      </w:r>
      <w:r>
        <w:rPr>
          <w:spacing w:val="-10"/>
          <w:w w:val="95"/>
          <w:sz w:val="32"/>
        </w:rPr>
        <w:t>各</w:t>
      </w:r>
    </w:p>
    <w:p w14:paraId="09A1CFF0">
      <w:pPr>
        <w:spacing w:before="149" w:line="328" w:lineRule="auto"/>
        <w:ind w:left="233" w:right="267"/>
        <w:jc w:val="both"/>
        <w:rPr>
          <w:sz w:val="32"/>
          <w:szCs w:val="32"/>
        </w:rPr>
      </w:pPr>
      <w:r>
        <w:rPr>
          <w:spacing w:val="29"/>
          <w:w w:val="95"/>
          <w:sz w:val="32"/>
          <w:szCs w:val="32"/>
        </w:rPr>
        <w:t>具特色</w:t>
      </w:r>
      <w:r>
        <w:rPr>
          <w:w w:val="95"/>
          <w:sz w:val="32"/>
          <w:szCs w:val="32"/>
        </w:rPr>
        <w:t xml:space="preserve">， </w:t>
      </w:r>
      <w:r>
        <w:rPr>
          <w:spacing w:val="29"/>
          <w:w w:val="95"/>
          <w:sz w:val="32"/>
          <w:szCs w:val="32"/>
        </w:rPr>
        <w:t>同时外</w:t>
      </w:r>
      <w:r>
        <w:rPr>
          <w:spacing w:val="26"/>
          <w:w w:val="95"/>
          <w:sz w:val="32"/>
          <w:szCs w:val="32"/>
        </w:rPr>
        <w:t>溢</w:t>
      </w:r>
      <w:r>
        <w:rPr>
          <w:spacing w:val="29"/>
          <w:w w:val="95"/>
          <w:sz w:val="32"/>
          <w:szCs w:val="32"/>
        </w:rPr>
        <w:t>与各大型社区商业联动发展</w:t>
      </w:r>
      <w:r>
        <w:rPr>
          <w:spacing w:val="26"/>
          <w:w w:val="95"/>
          <w:sz w:val="32"/>
          <w:szCs w:val="32"/>
        </w:rPr>
        <w:t>。</w:t>
      </w:r>
      <w:r>
        <w:rPr>
          <w:rFonts w:ascii="Times New Roman" w:eastAsia="Times New Roman"/>
          <w:spacing w:val="14"/>
          <w:w w:val="95"/>
          <w:sz w:val="32"/>
          <w:szCs w:val="32"/>
        </w:rPr>
        <w:t>1.</w:t>
      </w:r>
      <w:r>
        <w:rPr>
          <w:spacing w:val="29"/>
          <w:w w:val="95"/>
          <w:sz w:val="32"/>
          <w:szCs w:val="32"/>
        </w:rPr>
        <w:t>正源街</w:t>
      </w:r>
      <w:r>
        <w:rPr>
          <w:w w:val="95"/>
          <w:sz w:val="32"/>
          <w:szCs w:val="32"/>
        </w:rPr>
        <w:t>与</w:t>
      </w:r>
      <w:r>
        <w:rPr>
          <w:spacing w:val="24"/>
          <w:sz w:val="32"/>
          <w:szCs w:val="32"/>
        </w:rPr>
        <w:t>北京路区域商圈，主要涵盖金凤区万达广场、大</w:t>
      </w:r>
      <w:r>
        <w:rPr>
          <w:spacing w:val="19"/>
          <w:sz w:val="32"/>
          <w:szCs w:val="32"/>
        </w:rPr>
        <w:t>世界商务广</w:t>
      </w:r>
      <w:r>
        <w:rPr>
          <w:spacing w:val="29"/>
          <w:w w:val="95"/>
          <w:sz w:val="32"/>
          <w:szCs w:val="32"/>
        </w:rPr>
        <w:t>场、悦海新天地</w:t>
      </w:r>
      <w:r>
        <w:rPr>
          <w:spacing w:val="26"/>
          <w:w w:val="95"/>
          <w:sz w:val="32"/>
          <w:szCs w:val="32"/>
        </w:rPr>
        <w:t>购</w:t>
      </w:r>
      <w:r>
        <w:rPr>
          <w:spacing w:val="29"/>
          <w:w w:val="95"/>
          <w:sz w:val="32"/>
          <w:szCs w:val="32"/>
        </w:rPr>
        <w:t>物广场等商业综合体</w:t>
      </w:r>
      <w:r>
        <w:rPr>
          <w:w w:val="95"/>
          <w:sz w:val="32"/>
          <w:szCs w:val="32"/>
        </w:rPr>
        <w:t xml:space="preserve">， </w:t>
      </w:r>
      <w:r>
        <w:rPr>
          <w:spacing w:val="29"/>
          <w:w w:val="95"/>
          <w:sz w:val="32"/>
          <w:szCs w:val="32"/>
        </w:rPr>
        <w:t>侧重现代</w:t>
      </w:r>
      <w:r>
        <w:rPr>
          <w:spacing w:val="13"/>
          <w:w w:val="95"/>
          <w:sz w:val="32"/>
          <w:szCs w:val="32"/>
        </w:rPr>
        <w:t xml:space="preserve">商业； </w:t>
      </w:r>
      <w:r>
        <w:rPr>
          <w:rFonts w:ascii="Times New Roman" w:eastAsia="Times New Roman"/>
          <w:w w:val="95"/>
          <w:sz w:val="32"/>
          <w:szCs w:val="32"/>
        </w:rPr>
        <w:t>2.</w:t>
      </w:r>
      <w:r>
        <w:rPr>
          <w:spacing w:val="24"/>
          <w:w w:val="95"/>
          <w:sz w:val="32"/>
          <w:szCs w:val="32"/>
        </w:rPr>
        <w:t>银川火车</w:t>
      </w:r>
      <w:r>
        <w:rPr>
          <w:spacing w:val="26"/>
          <w:w w:val="95"/>
          <w:sz w:val="32"/>
          <w:szCs w:val="32"/>
        </w:rPr>
        <w:t>站商</w:t>
      </w:r>
      <w:r>
        <w:rPr>
          <w:spacing w:val="24"/>
          <w:w w:val="95"/>
          <w:sz w:val="32"/>
          <w:szCs w:val="32"/>
        </w:rPr>
        <w:t>圈，主</w:t>
      </w:r>
      <w:r>
        <w:rPr>
          <w:spacing w:val="26"/>
          <w:w w:val="95"/>
          <w:sz w:val="32"/>
          <w:szCs w:val="32"/>
        </w:rPr>
        <w:t>要涵</w:t>
      </w:r>
      <w:r>
        <w:rPr>
          <w:spacing w:val="24"/>
          <w:w w:val="95"/>
          <w:sz w:val="32"/>
          <w:szCs w:val="32"/>
        </w:rPr>
        <w:t>盖新华</w:t>
      </w:r>
      <w:r>
        <w:rPr>
          <w:spacing w:val="26"/>
          <w:w w:val="95"/>
          <w:sz w:val="32"/>
          <w:szCs w:val="32"/>
        </w:rPr>
        <w:t>联广</w:t>
      </w:r>
      <w:r>
        <w:rPr>
          <w:spacing w:val="24"/>
          <w:w w:val="95"/>
          <w:sz w:val="32"/>
          <w:szCs w:val="32"/>
        </w:rPr>
        <w:t>场、阿</w:t>
      </w:r>
      <w:r>
        <w:rPr>
          <w:spacing w:val="26"/>
          <w:w w:val="95"/>
          <w:sz w:val="32"/>
          <w:szCs w:val="32"/>
        </w:rPr>
        <w:t>拉善</w:t>
      </w:r>
      <w:r>
        <w:rPr>
          <w:spacing w:val="17"/>
          <w:w w:val="95"/>
          <w:sz w:val="32"/>
          <w:szCs w:val="32"/>
        </w:rPr>
        <w:t>广场等商业</w:t>
      </w:r>
    </w:p>
    <w:p w14:paraId="416F04C7">
      <w:pPr>
        <w:spacing w:line="328" w:lineRule="auto"/>
        <w:jc w:val="both"/>
        <w:sectPr>
          <w:pgSz w:w="11910" w:h="16840"/>
          <w:pgMar w:top="1780" w:right="1220" w:bottom="1160" w:left="1240" w:header="0" w:footer="975" w:gutter="0"/>
          <w:cols w:space="720" w:num="1"/>
        </w:sectPr>
      </w:pPr>
    </w:p>
    <w:p w14:paraId="2BAC7768">
      <w:pPr>
        <w:spacing w:before="51" w:line="328" w:lineRule="auto"/>
        <w:ind w:left="233" w:right="274"/>
        <w:jc w:val="both"/>
        <w:rPr>
          <w:sz w:val="32"/>
          <w:szCs w:val="32"/>
        </w:rPr>
      </w:pPr>
      <w:r>
        <w:rPr>
          <w:spacing w:val="21"/>
          <w:w w:val="99"/>
          <w:sz w:val="32"/>
          <w:szCs w:val="32"/>
        </w:rPr>
        <w:t>综合体，</w:t>
      </w:r>
      <w:r>
        <w:rPr>
          <w:spacing w:val="-131"/>
          <w:sz w:val="32"/>
          <w:szCs w:val="32"/>
        </w:rPr>
        <w:t xml:space="preserve"> </w:t>
      </w:r>
      <w:r>
        <w:rPr>
          <w:spacing w:val="24"/>
          <w:w w:val="99"/>
          <w:sz w:val="32"/>
          <w:szCs w:val="32"/>
        </w:rPr>
        <w:t>侧重传统商贸；</w:t>
      </w:r>
      <w:r>
        <w:rPr>
          <w:spacing w:val="-132"/>
          <w:sz w:val="32"/>
          <w:szCs w:val="32"/>
        </w:rPr>
        <w:t xml:space="preserve"> </w:t>
      </w:r>
      <w:r>
        <w:rPr>
          <w:rFonts w:ascii="Times New Roman" w:eastAsia="Times New Roman"/>
          <w:spacing w:val="8"/>
          <w:w w:val="99"/>
          <w:sz w:val="32"/>
          <w:szCs w:val="32"/>
        </w:rPr>
        <w:t>3</w:t>
      </w:r>
      <w:r>
        <w:rPr>
          <w:rFonts w:ascii="Times New Roman" w:eastAsia="Times New Roman"/>
          <w:spacing w:val="21"/>
          <w:w w:val="99"/>
          <w:sz w:val="32"/>
          <w:szCs w:val="32"/>
        </w:rPr>
        <w:t>.</w:t>
      </w:r>
      <w:r>
        <w:rPr>
          <w:spacing w:val="24"/>
          <w:w w:val="99"/>
          <w:sz w:val="32"/>
          <w:szCs w:val="32"/>
        </w:rPr>
        <w:t>阅海万家商圈，</w:t>
      </w:r>
      <w:r>
        <w:rPr>
          <w:spacing w:val="-131"/>
          <w:sz w:val="32"/>
          <w:szCs w:val="32"/>
        </w:rPr>
        <w:t xml:space="preserve"> </w:t>
      </w:r>
      <w:r>
        <w:rPr>
          <w:spacing w:val="21"/>
          <w:w w:val="99"/>
          <w:sz w:val="32"/>
          <w:szCs w:val="32"/>
        </w:rPr>
        <w:t>主要涵盖建发大</w:t>
      </w:r>
      <w:r>
        <w:rPr>
          <w:spacing w:val="26"/>
          <w:w w:val="99"/>
          <w:sz w:val="32"/>
          <w:szCs w:val="32"/>
        </w:rPr>
        <w:t>阅城、阅海万家等大型社区商业，</w:t>
      </w:r>
      <w:r>
        <w:rPr>
          <w:spacing w:val="-131"/>
          <w:sz w:val="32"/>
          <w:szCs w:val="32"/>
        </w:rPr>
        <w:t xml:space="preserve"> </w:t>
      </w:r>
      <w:r>
        <w:rPr>
          <w:spacing w:val="24"/>
          <w:w w:val="99"/>
          <w:sz w:val="32"/>
          <w:szCs w:val="32"/>
        </w:rPr>
        <w:t>侧重精品商业；</w:t>
      </w:r>
      <w:r>
        <w:rPr>
          <w:spacing w:val="-131"/>
          <w:sz w:val="32"/>
          <w:szCs w:val="32"/>
        </w:rPr>
        <w:t xml:space="preserve"> </w:t>
      </w:r>
      <w:r>
        <w:rPr>
          <w:rFonts w:ascii="Times New Roman" w:eastAsia="Times New Roman"/>
          <w:spacing w:val="8"/>
          <w:w w:val="99"/>
          <w:sz w:val="32"/>
          <w:szCs w:val="32"/>
        </w:rPr>
        <w:t>4</w:t>
      </w:r>
      <w:r>
        <w:rPr>
          <w:rFonts w:ascii="Times New Roman" w:eastAsia="Times New Roman"/>
          <w:spacing w:val="21"/>
          <w:w w:val="99"/>
          <w:sz w:val="32"/>
          <w:szCs w:val="32"/>
        </w:rPr>
        <w:t>.</w:t>
      </w:r>
      <w:r>
        <w:rPr>
          <w:spacing w:val="14"/>
          <w:w w:val="99"/>
          <w:sz w:val="32"/>
          <w:szCs w:val="32"/>
        </w:rPr>
        <w:t>环阅海</w:t>
      </w:r>
      <w:r>
        <w:rPr>
          <w:spacing w:val="23"/>
          <w:w w:val="99"/>
          <w:sz w:val="32"/>
          <w:szCs w:val="32"/>
        </w:rPr>
        <w:t>湖商圈，主要涵盖绿地新都会以及阅海湾中央商务区、丝路经济园、培华路预留商业地块的商业综合体，侧重商务办公</w:t>
      </w:r>
      <w:r>
        <w:rPr>
          <w:spacing w:val="22"/>
          <w:w w:val="99"/>
          <w:sz w:val="32"/>
          <w:szCs w:val="32"/>
        </w:rPr>
        <w:t>消费；</w:t>
      </w:r>
      <w:r>
        <w:rPr>
          <w:rFonts w:ascii="Times New Roman" w:eastAsia="Times New Roman"/>
          <w:spacing w:val="8"/>
          <w:w w:val="99"/>
          <w:sz w:val="32"/>
          <w:szCs w:val="32"/>
        </w:rPr>
        <w:t>5</w:t>
      </w:r>
      <w:r>
        <w:rPr>
          <w:rFonts w:ascii="Times New Roman" w:eastAsia="Times New Roman"/>
          <w:spacing w:val="13"/>
          <w:w w:val="99"/>
          <w:sz w:val="32"/>
          <w:szCs w:val="32"/>
        </w:rPr>
        <w:t>.</w:t>
      </w:r>
      <w:r>
        <w:rPr>
          <w:spacing w:val="19"/>
          <w:w w:val="99"/>
          <w:sz w:val="32"/>
          <w:szCs w:val="32"/>
        </w:rPr>
        <w:t>森林公园商圈，主要涵盖</w:t>
      </w:r>
      <w:r>
        <w:rPr>
          <w:spacing w:val="-50"/>
          <w:sz w:val="32"/>
          <w:szCs w:val="32"/>
        </w:rPr>
        <w:t xml:space="preserve"> </w:t>
      </w:r>
      <w:r>
        <w:rPr>
          <w:rFonts w:ascii="Times New Roman" w:eastAsia="Times New Roman"/>
          <w:spacing w:val="8"/>
          <w:w w:val="99"/>
          <w:sz w:val="32"/>
          <w:szCs w:val="32"/>
        </w:rPr>
        <w:t>C</w:t>
      </w:r>
      <w:r>
        <w:rPr>
          <w:rFonts w:ascii="Times New Roman" w:eastAsia="Times New Roman"/>
          <w:spacing w:val="10"/>
          <w:w w:val="99"/>
          <w:sz w:val="32"/>
          <w:szCs w:val="32"/>
        </w:rPr>
        <w:t>C</w:t>
      </w:r>
      <w:r>
        <w:rPr>
          <w:rFonts w:ascii="Times New Roman" w:eastAsia="Times New Roman"/>
          <w:spacing w:val="12"/>
          <w:w w:val="99"/>
          <w:sz w:val="32"/>
          <w:szCs w:val="32"/>
        </w:rPr>
        <w:t>Pa</w:t>
      </w:r>
      <w:r>
        <w:rPr>
          <w:rFonts w:ascii="Times New Roman" w:eastAsia="Times New Roman"/>
          <w:spacing w:val="11"/>
          <w:w w:val="99"/>
          <w:sz w:val="32"/>
          <w:szCs w:val="32"/>
        </w:rPr>
        <w:t>r</w:t>
      </w:r>
      <w:r>
        <w:rPr>
          <w:rFonts w:ascii="Times New Roman" w:eastAsia="Times New Roman"/>
          <w:spacing w:val="13"/>
          <w:w w:val="99"/>
          <w:sz w:val="32"/>
          <w:szCs w:val="32"/>
        </w:rPr>
        <w:t>k</w:t>
      </w:r>
      <w:r>
        <w:rPr>
          <w:spacing w:val="18"/>
          <w:w w:val="99"/>
          <w:sz w:val="32"/>
          <w:szCs w:val="32"/>
        </w:rPr>
        <w:t>、文化城等商业综</w:t>
      </w:r>
      <w:r>
        <w:rPr>
          <w:spacing w:val="19"/>
          <w:w w:val="99"/>
          <w:sz w:val="32"/>
          <w:szCs w:val="32"/>
        </w:rPr>
        <w:t>合体，</w:t>
      </w:r>
      <w:r>
        <w:rPr>
          <w:spacing w:val="-131"/>
          <w:sz w:val="32"/>
          <w:szCs w:val="32"/>
        </w:rPr>
        <w:t xml:space="preserve"> </w:t>
      </w:r>
      <w:r>
        <w:rPr>
          <w:spacing w:val="26"/>
          <w:w w:val="99"/>
          <w:sz w:val="32"/>
          <w:szCs w:val="32"/>
        </w:rPr>
        <w:t>侧重亲子体验、文化休闲商业；</w:t>
      </w:r>
      <w:r>
        <w:rPr>
          <w:spacing w:val="-132"/>
          <w:sz w:val="32"/>
          <w:szCs w:val="32"/>
        </w:rPr>
        <w:t xml:space="preserve"> </w:t>
      </w:r>
      <w:r>
        <w:rPr>
          <w:rFonts w:ascii="Times New Roman" w:eastAsia="Times New Roman"/>
          <w:spacing w:val="8"/>
          <w:w w:val="99"/>
          <w:sz w:val="32"/>
          <w:szCs w:val="32"/>
        </w:rPr>
        <w:t>6</w:t>
      </w:r>
      <w:r>
        <w:rPr>
          <w:rFonts w:ascii="Times New Roman" w:eastAsia="Times New Roman"/>
          <w:spacing w:val="21"/>
          <w:w w:val="99"/>
          <w:sz w:val="32"/>
          <w:szCs w:val="32"/>
        </w:rPr>
        <w:t>.</w:t>
      </w:r>
      <w:r>
        <w:rPr>
          <w:spacing w:val="23"/>
          <w:w w:val="99"/>
          <w:sz w:val="32"/>
          <w:szCs w:val="32"/>
        </w:rPr>
        <w:t>环七子连湖商圈，主要涵盖建发悠阅城、中海环宇天地、中海环宇荟等商业综</w:t>
      </w:r>
      <w:r>
        <w:rPr>
          <w:spacing w:val="19"/>
          <w:w w:val="99"/>
          <w:sz w:val="32"/>
          <w:szCs w:val="32"/>
        </w:rPr>
        <w:t>合体，侧重生活休闲购物。</w:t>
      </w:r>
    </w:p>
    <w:p w14:paraId="126D95DE">
      <w:pPr>
        <w:spacing w:before="143"/>
        <w:ind w:left="3322" w:right="3363"/>
        <w:jc w:val="center"/>
        <w:outlineLvl w:val="0"/>
        <w:rPr>
          <w:rFonts w:ascii="宋体" w:hAnsi="宋体" w:eastAsia="宋体" w:cs="宋体"/>
          <w:b/>
          <w:bCs/>
          <w:sz w:val="32"/>
          <w:szCs w:val="32"/>
        </w:rPr>
      </w:pPr>
      <w:r>
        <w:rPr>
          <w:rFonts w:ascii="宋体" w:hAnsi="宋体" w:eastAsia="宋体" w:cs="宋体"/>
          <w:b/>
          <w:bCs/>
          <w:spacing w:val="24"/>
          <w:sz w:val="32"/>
          <w:szCs w:val="32"/>
        </w:rPr>
        <w:t>第五</w:t>
      </w:r>
      <w:r>
        <w:rPr>
          <w:rFonts w:ascii="宋体" w:hAnsi="宋体" w:eastAsia="宋体" w:cs="宋体"/>
          <w:b/>
          <w:bCs/>
          <w:spacing w:val="76"/>
          <w:sz w:val="32"/>
          <w:szCs w:val="32"/>
        </w:rPr>
        <w:t>节 发</w:t>
      </w:r>
      <w:r>
        <w:rPr>
          <w:rFonts w:ascii="宋体" w:hAnsi="宋体" w:eastAsia="宋体" w:cs="宋体"/>
          <w:b/>
          <w:bCs/>
          <w:spacing w:val="24"/>
          <w:sz w:val="32"/>
          <w:szCs w:val="32"/>
        </w:rPr>
        <w:t>展目</w:t>
      </w:r>
      <w:r>
        <w:rPr>
          <w:rFonts w:ascii="宋体" w:hAnsi="宋体" w:eastAsia="宋体" w:cs="宋体"/>
          <w:b/>
          <w:bCs/>
          <w:spacing w:val="-10"/>
          <w:sz w:val="32"/>
          <w:szCs w:val="32"/>
        </w:rPr>
        <w:t>标</w:t>
      </w:r>
    </w:p>
    <w:p w14:paraId="111B2B43">
      <w:pPr>
        <w:spacing w:before="5"/>
        <w:rPr>
          <w:rFonts w:ascii="宋体"/>
          <w:b/>
          <w:sz w:val="26"/>
          <w:szCs w:val="32"/>
        </w:rPr>
      </w:pPr>
    </w:p>
    <w:p w14:paraId="5A575300">
      <w:pPr>
        <w:spacing w:before="1" w:line="350" w:lineRule="auto"/>
        <w:ind w:left="233" w:right="273" w:firstLine="684"/>
        <w:jc w:val="both"/>
        <w:rPr>
          <w:sz w:val="32"/>
          <w:szCs w:val="32"/>
        </w:rPr>
      </w:pPr>
      <w:r>
        <w:rPr>
          <w:rFonts w:hint="eastAsia" w:ascii="宋体" w:hAnsi="宋体" w:eastAsia="宋体"/>
          <w:b/>
          <w:w w:val="99"/>
          <w:sz w:val="32"/>
          <w:szCs w:val="32"/>
        </w:rPr>
        <w:t>到</w:t>
      </w:r>
      <w:r>
        <w:rPr>
          <w:rFonts w:hint="eastAsia" w:ascii="宋体" w:hAnsi="宋体" w:eastAsia="宋体"/>
          <w:b/>
          <w:spacing w:val="-46"/>
          <w:sz w:val="32"/>
          <w:szCs w:val="32"/>
        </w:rPr>
        <w:t xml:space="preserve"> </w:t>
      </w:r>
      <w:r>
        <w:rPr>
          <w:rFonts w:ascii="Times New Roman" w:hAnsi="Times New Roman" w:eastAsia="Times New Roman"/>
          <w:b/>
          <w:spacing w:val="8"/>
          <w:w w:val="99"/>
          <w:sz w:val="32"/>
          <w:szCs w:val="32"/>
        </w:rPr>
        <w:t>2</w:t>
      </w:r>
      <w:r>
        <w:rPr>
          <w:rFonts w:ascii="Times New Roman" w:hAnsi="Times New Roman" w:eastAsia="Times New Roman"/>
          <w:b/>
          <w:spacing w:val="10"/>
          <w:w w:val="99"/>
          <w:sz w:val="32"/>
          <w:szCs w:val="32"/>
        </w:rPr>
        <w:t>02</w:t>
      </w:r>
      <w:r>
        <w:rPr>
          <w:rFonts w:ascii="Times New Roman" w:hAnsi="Times New Roman" w:eastAsia="Times New Roman"/>
          <w:b/>
          <w:w w:val="99"/>
          <w:sz w:val="32"/>
          <w:szCs w:val="32"/>
        </w:rPr>
        <w:t>5</w:t>
      </w:r>
      <w:r>
        <w:rPr>
          <w:rFonts w:ascii="Times New Roman" w:hAnsi="Times New Roman" w:eastAsia="Times New Roman"/>
          <w:b/>
          <w:spacing w:val="26"/>
          <w:sz w:val="32"/>
          <w:szCs w:val="32"/>
        </w:rPr>
        <w:t xml:space="preserve"> </w:t>
      </w:r>
      <w:r>
        <w:rPr>
          <w:rFonts w:hint="eastAsia" w:ascii="宋体" w:hAnsi="宋体" w:eastAsia="宋体"/>
          <w:b/>
          <w:spacing w:val="29"/>
          <w:w w:val="99"/>
          <w:sz w:val="32"/>
          <w:szCs w:val="32"/>
        </w:rPr>
        <w:t>年</w:t>
      </w:r>
      <w:r>
        <w:rPr>
          <w:rFonts w:ascii="Times New Roman" w:hAnsi="Times New Roman" w:eastAsia="Times New Roman"/>
          <w:b/>
          <w:spacing w:val="16"/>
          <w:w w:val="99"/>
          <w:sz w:val="32"/>
          <w:szCs w:val="32"/>
        </w:rPr>
        <w:t>:</w:t>
      </w:r>
      <w:r>
        <w:rPr>
          <w:spacing w:val="24"/>
          <w:w w:val="99"/>
          <w:sz w:val="32"/>
          <w:szCs w:val="32"/>
        </w:rPr>
        <w:t>实现全区经济、社会指标增速高于自治区、</w:t>
      </w:r>
      <w:r>
        <w:rPr>
          <w:spacing w:val="23"/>
          <w:w w:val="99"/>
          <w:sz w:val="32"/>
          <w:szCs w:val="32"/>
        </w:rPr>
        <w:t>银川市平均水平，现代产业体系基本形成，创新能力显著增强，开放合作不断深化，生态环境持续优化和民生福祉大幅</w:t>
      </w:r>
      <w:r>
        <w:rPr>
          <w:spacing w:val="20"/>
          <w:w w:val="99"/>
          <w:sz w:val="32"/>
          <w:szCs w:val="32"/>
        </w:rPr>
        <w:t>改善，实现“七新”目标，奋力建设现代化新金凤。</w:t>
      </w:r>
    </w:p>
    <w:p w14:paraId="6318008A">
      <w:pPr>
        <w:spacing w:line="338" w:lineRule="auto"/>
        <w:ind w:left="233" w:right="274" w:firstLine="684"/>
        <w:jc w:val="both"/>
        <w:rPr>
          <w:sz w:val="32"/>
          <w:szCs w:val="32"/>
        </w:rPr>
      </w:pPr>
      <w:r>
        <w:rPr>
          <w:rFonts w:ascii="Times New Roman" w:hAnsi="Times New Roman" w:eastAsia="Times New Roman"/>
          <w:b/>
          <w:spacing w:val="12"/>
          <w:w w:val="99"/>
          <w:sz w:val="32"/>
          <w:szCs w:val="32"/>
        </w:rPr>
        <w:t>——</w:t>
      </w:r>
      <w:r>
        <w:rPr>
          <w:b/>
          <w:i/>
          <w:spacing w:val="26"/>
          <w:w w:val="99"/>
          <w:sz w:val="32"/>
          <w:szCs w:val="32"/>
        </w:rPr>
        <w:t>经济发展取得新成效。</w:t>
      </w:r>
      <w:r>
        <w:rPr>
          <w:spacing w:val="23"/>
          <w:w w:val="99"/>
          <w:sz w:val="32"/>
          <w:szCs w:val="32"/>
        </w:rPr>
        <w:t>在质量效益明显提升的基础</w:t>
      </w:r>
      <w:r>
        <w:rPr>
          <w:spacing w:val="10"/>
          <w:w w:val="99"/>
          <w:sz w:val="32"/>
          <w:szCs w:val="32"/>
        </w:rPr>
        <w:t>上实现经济持续健康发展，全区地区生产总值年均增长</w:t>
      </w:r>
      <w:r>
        <w:rPr>
          <w:spacing w:val="-52"/>
          <w:sz w:val="32"/>
          <w:szCs w:val="32"/>
        </w:rPr>
        <w:t xml:space="preserve"> </w:t>
      </w:r>
      <w:r>
        <w:rPr>
          <w:rFonts w:ascii="Times New Roman" w:hAnsi="Times New Roman" w:eastAsia="Times New Roman"/>
          <w:spacing w:val="10"/>
          <w:w w:val="99"/>
          <w:sz w:val="32"/>
          <w:szCs w:val="32"/>
        </w:rPr>
        <w:t>6</w:t>
      </w:r>
      <w:r>
        <w:rPr>
          <w:rFonts w:ascii="Times New Roman" w:hAnsi="Times New Roman" w:eastAsia="Times New Roman"/>
          <w:spacing w:val="12"/>
          <w:w w:val="99"/>
          <w:sz w:val="32"/>
          <w:szCs w:val="32"/>
        </w:rPr>
        <w:t>%</w:t>
      </w:r>
      <w:r>
        <w:rPr>
          <w:w w:val="99"/>
          <w:sz w:val="32"/>
          <w:szCs w:val="32"/>
        </w:rPr>
        <w:t>左</w:t>
      </w:r>
      <w:r>
        <w:rPr>
          <w:spacing w:val="25"/>
          <w:w w:val="99"/>
          <w:sz w:val="32"/>
          <w:szCs w:val="32"/>
        </w:rPr>
        <w:t>右，</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02</w:t>
      </w:r>
      <w:r>
        <w:rPr>
          <w:rFonts w:ascii="Times New Roman" w:hAnsi="Times New Roman" w:eastAsia="Times New Roman"/>
          <w:w w:val="99"/>
          <w:sz w:val="32"/>
          <w:szCs w:val="32"/>
        </w:rPr>
        <w:t>5</w:t>
      </w:r>
      <w:r>
        <w:rPr>
          <w:rFonts w:ascii="Times New Roman" w:hAnsi="Times New Roman" w:eastAsia="Times New Roman"/>
          <w:spacing w:val="24"/>
          <w:sz w:val="32"/>
          <w:szCs w:val="32"/>
        </w:rPr>
        <w:t xml:space="preserve"> </w:t>
      </w:r>
      <w:r>
        <w:rPr>
          <w:spacing w:val="16"/>
          <w:w w:val="99"/>
          <w:sz w:val="32"/>
          <w:szCs w:val="32"/>
        </w:rPr>
        <w:t>年突破</w:t>
      </w:r>
      <w:r>
        <w:rPr>
          <w:spacing w:val="-47"/>
          <w:sz w:val="32"/>
          <w:szCs w:val="32"/>
        </w:rPr>
        <w:t xml:space="preserve"> </w:t>
      </w:r>
      <w:r>
        <w:rPr>
          <w:rFonts w:ascii="Times New Roman" w:hAnsi="Times New Roman" w:eastAsia="Times New Roman"/>
          <w:spacing w:val="6"/>
          <w:w w:val="99"/>
          <w:sz w:val="32"/>
          <w:szCs w:val="32"/>
        </w:rPr>
        <w:t>4</w:t>
      </w:r>
      <w:r>
        <w:rPr>
          <w:rFonts w:ascii="Times New Roman" w:hAnsi="Times New Roman" w:eastAsia="Times New Roman"/>
          <w:spacing w:val="13"/>
          <w:w w:val="99"/>
          <w:sz w:val="32"/>
          <w:szCs w:val="32"/>
        </w:rPr>
        <w:t>0</w:t>
      </w:r>
      <w:r>
        <w:rPr>
          <w:rFonts w:ascii="Times New Roman" w:hAnsi="Times New Roman" w:eastAsia="Times New Roman"/>
          <w:w w:val="99"/>
          <w:sz w:val="32"/>
          <w:szCs w:val="32"/>
        </w:rPr>
        <w:t>0</w:t>
      </w:r>
      <w:r>
        <w:rPr>
          <w:rFonts w:ascii="Times New Roman" w:hAnsi="Times New Roman" w:eastAsia="Times New Roman"/>
          <w:spacing w:val="22"/>
          <w:sz w:val="32"/>
          <w:szCs w:val="32"/>
        </w:rPr>
        <w:t xml:space="preserve"> </w:t>
      </w:r>
      <w:r>
        <w:rPr>
          <w:spacing w:val="19"/>
          <w:w w:val="99"/>
          <w:sz w:val="32"/>
          <w:szCs w:val="32"/>
        </w:rPr>
        <w:t>亿元；人均</w:t>
      </w:r>
      <w:r>
        <w:rPr>
          <w:spacing w:val="-47"/>
          <w:sz w:val="32"/>
          <w:szCs w:val="32"/>
        </w:rPr>
        <w:t xml:space="preserve"> </w:t>
      </w:r>
      <w:r>
        <w:rPr>
          <w:rFonts w:ascii="Times New Roman" w:hAnsi="Times New Roman" w:eastAsia="Times New Roman"/>
          <w:spacing w:val="7"/>
          <w:w w:val="99"/>
          <w:sz w:val="32"/>
          <w:szCs w:val="32"/>
        </w:rPr>
        <w:t>G</w:t>
      </w:r>
      <w:r>
        <w:rPr>
          <w:rFonts w:ascii="Times New Roman" w:hAnsi="Times New Roman" w:eastAsia="Times New Roman"/>
          <w:spacing w:val="12"/>
          <w:w w:val="99"/>
          <w:sz w:val="32"/>
          <w:szCs w:val="32"/>
        </w:rPr>
        <w:t>D</w:t>
      </w:r>
      <w:r>
        <w:rPr>
          <w:rFonts w:ascii="Times New Roman" w:hAnsi="Times New Roman" w:eastAsia="Times New Roman"/>
          <w:w w:val="99"/>
          <w:sz w:val="32"/>
          <w:szCs w:val="32"/>
        </w:rPr>
        <w:t>P</w:t>
      </w:r>
      <w:r>
        <w:rPr>
          <w:rFonts w:ascii="Times New Roman" w:hAnsi="Times New Roman" w:eastAsia="Times New Roman"/>
          <w:spacing w:val="23"/>
          <w:sz w:val="32"/>
          <w:szCs w:val="32"/>
        </w:rPr>
        <w:t xml:space="preserve"> </w:t>
      </w:r>
      <w:r>
        <w:rPr>
          <w:spacing w:val="18"/>
          <w:w w:val="99"/>
          <w:sz w:val="32"/>
          <w:szCs w:val="32"/>
        </w:rPr>
        <w:t>年均增长</w:t>
      </w:r>
      <w:r>
        <w:rPr>
          <w:spacing w:val="-50"/>
          <w:sz w:val="32"/>
          <w:szCs w:val="32"/>
        </w:rPr>
        <w:t xml:space="preserve"> </w:t>
      </w:r>
      <w:r>
        <w:rPr>
          <w:rFonts w:ascii="Times New Roman" w:hAnsi="Times New Roman" w:eastAsia="Times New Roman"/>
          <w:spacing w:val="10"/>
          <w:w w:val="99"/>
          <w:sz w:val="32"/>
          <w:szCs w:val="32"/>
        </w:rPr>
        <w:t>5</w:t>
      </w:r>
      <w:r>
        <w:rPr>
          <w:rFonts w:ascii="Times New Roman" w:hAnsi="Times New Roman" w:eastAsia="Times New Roman"/>
          <w:spacing w:val="6"/>
          <w:w w:val="99"/>
          <w:sz w:val="32"/>
          <w:szCs w:val="32"/>
        </w:rPr>
        <w:t>.</w:t>
      </w:r>
      <w:r>
        <w:rPr>
          <w:rFonts w:ascii="Times New Roman" w:hAnsi="Times New Roman" w:eastAsia="Times New Roman"/>
          <w:spacing w:val="13"/>
          <w:w w:val="99"/>
          <w:sz w:val="32"/>
          <w:szCs w:val="32"/>
        </w:rPr>
        <w:t>5</w:t>
      </w:r>
      <w:r>
        <w:rPr>
          <w:rFonts w:ascii="Times New Roman" w:hAnsi="Times New Roman" w:eastAsia="Times New Roman"/>
          <w:spacing w:val="17"/>
          <w:w w:val="99"/>
          <w:sz w:val="32"/>
          <w:szCs w:val="32"/>
        </w:rPr>
        <w:t>%</w:t>
      </w:r>
      <w:r>
        <w:rPr>
          <w:spacing w:val="16"/>
          <w:w w:val="99"/>
          <w:sz w:val="32"/>
          <w:szCs w:val="32"/>
        </w:rPr>
        <w:t>左右；</w:t>
      </w:r>
      <w:r>
        <w:rPr>
          <w:spacing w:val="19"/>
          <w:w w:val="99"/>
          <w:sz w:val="32"/>
          <w:szCs w:val="32"/>
        </w:rPr>
        <w:t>社会消费品零售总额年均增速</w:t>
      </w:r>
      <w:r>
        <w:rPr>
          <w:spacing w:val="-52"/>
          <w:sz w:val="32"/>
          <w:szCs w:val="32"/>
        </w:rPr>
        <w:t xml:space="preserve"> </w:t>
      </w:r>
      <w:r>
        <w:rPr>
          <w:rFonts w:ascii="Times New Roman" w:hAnsi="Times New Roman" w:eastAsia="Times New Roman"/>
          <w:spacing w:val="13"/>
          <w:w w:val="99"/>
          <w:sz w:val="32"/>
          <w:szCs w:val="32"/>
        </w:rPr>
        <w:t>7</w:t>
      </w:r>
      <w:r>
        <w:rPr>
          <w:rFonts w:ascii="Times New Roman" w:hAnsi="Times New Roman" w:eastAsia="Times New Roman"/>
          <w:spacing w:val="12"/>
          <w:w w:val="99"/>
          <w:sz w:val="32"/>
          <w:szCs w:val="32"/>
        </w:rPr>
        <w:t>%</w:t>
      </w:r>
      <w:r>
        <w:rPr>
          <w:spacing w:val="7"/>
          <w:w w:val="99"/>
          <w:sz w:val="32"/>
          <w:szCs w:val="32"/>
        </w:rPr>
        <w:t>左右。现代化经济体系建设</w:t>
      </w:r>
      <w:r>
        <w:rPr>
          <w:spacing w:val="23"/>
          <w:w w:val="99"/>
          <w:sz w:val="32"/>
          <w:szCs w:val="32"/>
        </w:rPr>
        <w:t>取得重大进展，巩固优化服务业为主导的产业结构，服务业</w:t>
      </w:r>
      <w:r>
        <w:rPr>
          <w:spacing w:val="16"/>
          <w:w w:val="99"/>
          <w:sz w:val="32"/>
          <w:szCs w:val="32"/>
        </w:rPr>
        <w:t>增加值占</w:t>
      </w:r>
      <w:r>
        <w:rPr>
          <w:spacing w:val="-52"/>
          <w:sz w:val="32"/>
          <w:szCs w:val="32"/>
        </w:rPr>
        <w:t xml:space="preserve"> </w:t>
      </w:r>
      <w:r>
        <w:rPr>
          <w:rFonts w:ascii="Times New Roman" w:hAnsi="Times New Roman" w:eastAsia="Times New Roman"/>
          <w:spacing w:val="7"/>
          <w:w w:val="99"/>
          <w:sz w:val="32"/>
          <w:szCs w:val="32"/>
        </w:rPr>
        <w:t>G</w:t>
      </w:r>
      <w:r>
        <w:rPr>
          <w:rFonts w:ascii="Times New Roman" w:hAnsi="Times New Roman" w:eastAsia="Times New Roman"/>
          <w:spacing w:val="12"/>
          <w:w w:val="99"/>
          <w:sz w:val="32"/>
          <w:szCs w:val="32"/>
        </w:rPr>
        <w:t>D</w:t>
      </w:r>
      <w:r>
        <w:rPr>
          <w:rFonts w:ascii="Times New Roman" w:hAnsi="Times New Roman" w:eastAsia="Times New Roman"/>
          <w:w w:val="99"/>
          <w:sz w:val="32"/>
          <w:szCs w:val="32"/>
        </w:rPr>
        <w:t>P</w:t>
      </w:r>
      <w:r>
        <w:rPr>
          <w:rFonts w:ascii="Times New Roman" w:hAnsi="Times New Roman" w:eastAsia="Times New Roman"/>
          <w:spacing w:val="21"/>
          <w:sz w:val="32"/>
          <w:szCs w:val="32"/>
        </w:rPr>
        <w:t xml:space="preserve"> </w:t>
      </w:r>
      <w:r>
        <w:rPr>
          <w:spacing w:val="12"/>
          <w:w w:val="99"/>
          <w:sz w:val="32"/>
          <w:szCs w:val="32"/>
        </w:rPr>
        <w:t>比重</w:t>
      </w:r>
      <w:r>
        <w:rPr>
          <w:spacing w:val="-52"/>
          <w:sz w:val="32"/>
          <w:szCs w:val="32"/>
        </w:rPr>
        <w:t xml:space="preserve"> </w:t>
      </w:r>
      <w:r>
        <w:rPr>
          <w:rFonts w:ascii="Times New Roman" w:hAnsi="Times New Roman" w:eastAsia="Times New Roman"/>
          <w:spacing w:val="10"/>
          <w:w w:val="99"/>
          <w:sz w:val="32"/>
          <w:szCs w:val="32"/>
        </w:rPr>
        <w:t>85</w:t>
      </w:r>
      <w:r>
        <w:rPr>
          <w:rFonts w:ascii="Times New Roman" w:hAnsi="Times New Roman" w:eastAsia="Times New Roman"/>
          <w:spacing w:val="12"/>
          <w:w w:val="99"/>
          <w:sz w:val="32"/>
          <w:szCs w:val="32"/>
        </w:rPr>
        <w:t>%</w:t>
      </w:r>
      <w:r>
        <w:rPr>
          <w:spacing w:val="19"/>
          <w:w w:val="99"/>
          <w:sz w:val="32"/>
          <w:szCs w:val="32"/>
        </w:rPr>
        <w:t>以上，非公经济增加值占</w:t>
      </w:r>
      <w:r>
        <w:rPr>
          <w:spacing w:val="-52"/>
          <w:sz w:val="32"/>
          <w:szCs w:val="32"/>
        </w:rPr>
        <w:t xml:space="preserve"> </w:t>
      </w:r>
      <w:r>
        <w:rPr>
          <w:rFonts w:ascii="Times New Roman" w:hAnsi="Times New Roman" w:eastAsia="Times New Roman"/>
          <w:spacing w:val="7"/>
          <w:w w:val="99"/>
          <w:sz w:val="32"/>
          <w:szCs w:val="32"/>
        </w:rPr>
        <w:t>G</w:t>
      </w:r>
      <w:r>
        <w:rPr>
          <w:rFonts w:ascii="Times New Roman" w:hAnsi="Times New Roman" w:eastAsia="Times New Roman"/>
          <w:spacing w:val="12"/>
          <w:w w:val="99"/>
          <w:sz w:val="32"/>
          <w:szCs w:val="32"/>
        </w:rPr>
        <w:t>D</w:t>
      </w:r>
      <w:r>
        <w:rPr>
          <w:rFonts w:ascii="Times New Roman" w:hAnsi="Times New Roman" w:eastAsia="Times New Roman"/>
          <w:w w:val="99"/>
          <w:sz w:val="32"/>
          <w:szCs w:val="32"/>
        </w:rPr>
        <w:t>P</w:t>
      </w:r>
      <w:r>
        <w:rPr>
          <w:rFonts w:ascii="Times New Roman" w:hAnsi="Times New Roman" w:eastAsia="Times New Roman"/>
          <w:spacing w:val="21"/>
          <w:sz w:val="32"/>
          <w:szCs w:val="32"/>
        </w:rPr>
        <w:t xml:space="preserve"> </w:t>
      </w:r>
      <w:r>
        <w:rPr>
          <w:spacing w:val="12"/>
          <w:w w:val="99"/>
          <w:sz w:val="32"/>
          <w:szCs w:val="32"/>
        </w:rPr>
        <w:t xml:space="preserve">比重 </w:t>
      </w:r>
      <w:r>
        <w:rPr>
          <w:rFonts w:ascii="Times New Roman" w:hAnsi="Times New Roman" w:eastAsia="Times New Roman"/>
          <w:spacing w:val="8"/>
          <w:w w:val="99"/>
          <w:sz w:val="32"/>
          <w:szCs w:val="32"/>
        </w:rPr>
        <w:t>6</w:t>
      </w:r>
      <w:r>
        <w:rPr>
          <w:rFonts w:ascii="Times New Roman" w:hAnsi="Times New Roman" w:eastAsia="Times New Roman"/>
          <w:spacing w:val="10"/>
          <w:w w:val="99"/>
          <w:sz w:val="32"/>
          <w:szCs w:val="32"/>
        </w:rPr>
        <w:t>0</w:t>
      </w:r>
      <w:r>
        <w:rPr>
          <w:rFonts w:ascii="Times New Roman" w:hAnsi="Times New Roman" w:eastAsia="Times New Roman"/>
          <w:spacing w:val="22"/>
          <w:w w:val="99"/>
          <w:sz w:val="32"/>
          <w:szCs w:val="32"/>
        </w:rPr>
        <w:t>%</w:t>
      </w:r>
      <w:r>
        <w:rPr>
          <w:spacing w:val="18"/>
          <w:w w:val="99"/>
          <w:sz w:val="32"/>
          <w:szCs w:val="32"/>
        </w:rPr>
        <w:t>以上，</w:t>
      </w:r>
      <w:r>
        <w:rPr>
          <w:spacing w:val="-131"/>
          <w:sz w:val="32"/>
          <w:szCs w:val="32"/>
        </w:rPr>
        <w:t xml:space="preserve"> </w:t>
      </w:r>
      <w:r>
        <w:rPr>
          <w:spacing w:val="24"/>
          <w:w w:val="99"/>
          <w:sz w:val="32"/>
          <w:szCs w:val="32"/>
        </w:rPr>
        <w:t>形成产业高端化、集群化、绿色化发展格局，</w:t>
      </w:r>
      <w:r>
        <w:rPr>
          <w:spacing w:val="-131"/>
          <w:sz w:val="32"/>
          <w:szCs w:val="32"/>
        </w:rPr>
        <w:t xml:space="preserve"> </w:t>
      </w:r>
      <w:r>
        <w:rPr>
          <w:spacing w:val="-14"/>
          <w:w w:val="99"/>
          <w:sz w:val="32"/>
          <w:szCs w:val="32"/>
        </w:rPr>
        <w:t>产</w:t>
      </w:r>
      <w:r>
        <w:rPr>
          <w:spacing w:val="19"/>
          <w:w w:val="99"/>
          <w:sz w:val="32"/>
          <w:szCs w:val="32"/>
        </w:rPr>
        <w:t>业现代化水平明显提高。</w:t>
      </w:r>
    </w:p>
    <w:p w14:paraId="2AD98A4C">
      <w:pPr>
        <w:spacing w:line="326" w:lineRule="auto"/>
        <w:ind w:left="233" w:right="102" w:firstLine="684"/>
        <w:rPr>
          <w:sz w:val="32"/>
        </w:rPr>
      </w:pPr>
      <w:r>
        <w:rPr>
          <w:rFonts w:ascii="Times New Roman" w:hAnsi="Times New Roman" w:eastAsia="Times New Roman"/>
          <w:b/>
          <w:spacing w:val="9"/>
          <w:sz w:val="32"/>
        </w:rPr>
        <w:t>——</w:t>
      </w:r>
      <w:r>
        <w:rPr>
          <w:b/>
          <w:i/>
          <w:spacing w:val="25"/>
          <w:sz w:val="32"/>
        </w:rPr>
        <w:t>创新能力得到新提升。</w:t>
      </w:r>
      <w:r>
        <w:rPr>
          <w:spacing w:val="25"/>
          <w:sz w:val="32"/>
        </w:rPr>
        <w:t>科技创新成为推动经济发</w:t>
      </w:r>
      <w:r>
        <w:rPr>
          <w:sz w:val="32"/>
        </w:rPr>
        <w:t>展</w:t>
      </w:r>
      <w:r>
        <w:rPr>
          <w:spacing w:val="17"/>
          <w:w w:val="95"/>
          <w:sz w:val="32"/>
        </w:rPr>
        <w:t>的核心动力，创新平台不断</w:t>
      </w:r>
      <w:r>
        <w:rPr>
          <w:spacing w:val="22"/>
          <w:w w:val="95"/>
          <w:sz w:val="32"/>
        </w:rPr>
        <w:t>完善</w:t>
      </w:r>
      <w:r>
        <w:rPr>
          <w:spacing w:val="13"/>
          <w:w w:val="95"/>
          <w:sz w:val="32"/>
        </w:rPr>
        <w:t>，新技术、新</w:t>
      </w:r>
      <w:r>
        <w:rPr>
          <w:spacing w:val="21"/>
          <w:w w:val="95"/>
          <w:sz w:val="32"/>
        </w:rPr>
        <w:t>产业</w:t>
      </w:r>
      <w:r>
        <w:rPr>
          <w:spacing w:val="11"/>
          <w:w w:val="95"/>
          <w:sz w:val="32"/>
        </w:rPr>
        <w:t>、新</w:t>
      </w:r>
      <w:r>
        <w:rPr>
          <w:spacing w:val="21"/>
          <w:w w:val="95"/>
          <w:sz w:val="32"/>
        </w:rPr>
        <w:t>业态</w:t>
      </w:r>
      <w:r>
        <w:rPr>
          <w:w w:val="95"/>
          <w:sz w:val="32"/>
        </w:rPr>
        <w:t>、</w:t>
      </w:r>
    </w:p>
    <w:p w14:paraId="16AC3F9D">
      <w:pPr>
        <w:spacing w:line="326" w:lineRule="auto"/>
        <w:rPr>
          <w:sz w:val="32"/>
        </w:rPr>
        <w:sectPr>
          <w:pgSz w:w="11910" w:h="16840"/>
          <w:pgMar w:top="1760" w:right="1220" w:bottom="1160" w:left="1240" w:header="0" w:footer="975" w:gutter="0"/>
          <w:cols w:space="720" w:num="1"/>
        </w:sectPr>
      </w:pPr>
    </w:p>
    <w:p w14:paraId="3E50F6FD">
      <w:pPr>
        <w:spacing w:before="31" w:line="328" w:lineRule="auto"/>
        <w:ind w:left="233" w:right="106"/>
        <w:rPr>
          <w:sz w:val="32"/>
          <w:szCs w:val="32"/>
        </w:rPr>
      </w:pPr>
      <w:r>
        <w:rPr>
          <w:spacing w:val="10"/>
          <w:w w:val="99"/>
          <w:sz w:val="32"/>
          <w:szCs w:val="32"/>
        </w:rPr>
        <w:t>新模式加快发展，新技术攻关和科技成果转化能力不断提高，到</w:t>
      </w:r>
      <w:r>
        <w:rPr>
          <w:spacing w:val="-52"/>
          <w:sz w:val="32"/>
          <w:szCs w:val="32"/>
        </w:rPr>
        <w:t xml:space="preserve"> </w:t>
      </w:r>
      <w:r>
        <w:rPr>
          <w:rFonts w:ascii="Times New Roman" w:eastAsia="Times New Roman"/>
          <w:spacing w:val="8"/>
          <w:w w:val="99"/>
          <w:sz w:val="32"/>
          <w:szCs w:val="32"/>
        </w:rPr>
        <w:t>2</w:t>
      </w:r>
      <w:r>
        <w:rPr>
          <w:rFonts w:ascii="Times New Roman" w:eastAsia="Times New Roman"/>
          <w:spacing w:val="10"/>
          <w:w w:val="99"/>
          <w:sz w:val="32"/>
          <w:szCs w:val="32"/>
        </w:rPr>
        <w:t>02</w:t>
      </w:r>
      <w:r>
        <w:rPr>
          <w:rFonts w:ascii="Times New Roman" w:eastAsia="Times New Roman"/>
          <w:w w:val="99"/>
          <w:sz w:val="32"/>
          <w:szCs w:val="32"/>
        </w:rPr>
        <w:t>5</w:t>
      </w:r>
      <w:r>
        <w:rPr>
          <w:rFonts w:ascii="Times New Roman" w:eastAsia="Times New Roman"/>
          <w:spacing w:val="24"/>
          <w:sz w:val="32"/>
          <w:szCs w:val="32"/>
        </w:rPr>
        <w:t xml:space="preserve"> </w:t>
      </w:r>
      <w:r>
        <w:rPr>
          <w:w w:val="99"/>
          <w:sz w:val="32"/>
          <w:szCs w:val="32"/>
        </w:rPr>
        <w:t>年</w:t>
      </w:r>
      <w:r>
        <w:rPr>
          <w:spacing w:val="-52"/>
          <w:sz w:val="32"/>
          <w:szCs w:val="32"/>
        </w:rPr>
        <w:t xml:space="preserve"> </w:t>
      </w:r>
      <w:r>
        <w:rPr>
          <w:rFonts w:ascii="Times New Roman" w:eastAsia="Times New Roman"/>
          <w:spacing w:val="8"/>
          <w:w w:val="99"/>
          <w:sz w:val="32"/>
          <w:szCs w:val="32"/>
        </w:rPr>
        <w:t>R</w:t>
      </w:r>
      <w:r>
        <w:rPr>
          <w:rFonts w:ascii="Times New Roman" w:eastAsia="Times New Roman"/>
          <w:spacing w:val="11"/>
          <w:w w:val="99"/>
          <w:sz w:val="32"/>
          <w:szCs w:val="32"/>
        </w:rPr>
        <w:t>&amp;</w:t>
      </w:r>
      <w:r>
        <w:rPr>
          <w:rFonts w:ascii="Times New Roman" w:eastAsia="Times New Roman"/>
          <w:w w:val="99"/>
          <w:sz w:val="32"/>
          <w:szCs w:val="32"/>
        </w:rPr>
        <w:t>D</w:t>
      </w:r>
      <w:r>
        <w:rPr>
          <w:rFonts w:ascii="Times New Roman" w:eastAsia="Times New Roman"/>
          <w:spacing w:val="23"/>
          <w:sz w:val="32"/>
          <w:szCs w:val="32"/>
        </w:rPr>
        <w:t xml:space="preserve"> </w:t>
      </w:r>
      <w:r>
        <w:rPr>
          <w:spacing w:val="22"/>
          <w:w w:val="99"/>
          <w:sz w:val="32"/>
          <w:szCs w:val="32"/>
        </w:rPr>
        <w:t>投入强度高于全市平均水平，规上工业企业</w:t>
      </w:r>
      <w:r>
        <w:rPr>
          <w:spacing w:val="21"/>
          <w:w w:val="99"/>
          <w:sz w:val="32"/>
          <w:szCs w:val="32"/>
        </w:rPr>
        <w:t>研发机构覆盖率达</w:t>
      </w:r>
      <w:r>
        <w:rPr>
          <w:spacing w:val="-50"/>
          <w:sz w:val="32"/>
          <w:szCs w:val="32"/>
        </w:rPr>
        <w:t xml:space="preserve"> </w:t>
      </w:r>
      <w:r>
        <w:rPr>
          <w:rFonts w:ascii="Times New Roman" w:eastAsia="Times New Roman"/>
          <w:spacing w:val="8"/>
          <w:w w:val="99"/>
          <w:sz w:val="32"/>
          <w:szCs w:val="32"/>
        </w:rPr>
        <w:t>2</w:t>
      </w:r>
      <w:r>
        <w:rPr>
          <w:rFonts w:ascii="Times New Roman" w:eastAsia="Times New Roman"/>
          <w:spacing w:val="15"/>
          <w:w w:val="99"/>
          <w:sz w:val="32"/>
          <w:szCs w:val="32"/>
        </w:rPr>
        <w:t>5</w:t>
      </w:r>
      <w:r>
        <w:rPr>
          <w:rFonts w:ascii="Times New Roman" w:eastAsia="Times New Roman"/>
          <w:spacing w:val="12"/>
          <w:w w:val="99"/>
          <w:sz w:val="32"/>
          <w:szCs w:val="32"/>
        </w:rPr>
        <w:t>%</w:t>
      </w:r>
      <w:r>
        <w:rPr>
          <w:spacing w:val="21"/>
          <w:w w:val="99"/>
          <w:sz w:val="32"/>
          <w:szCs w:val="32"/>
        </w:rPr>
        <w:t>以上。技术合同交易额达</w:t>
      </w:r>
      <w:r>
        <w:rPr>
          <w:spacing w:val="-50"/>
          <w:sz w:val="32"/>
          <w:szCs w:val="32"/>
        </w:rPr>
        <w:t xml:space="preserve"> </w:t>
      </w:r>
      <w:r>
        <w:rPr>
          <w:rFonts w:ascii="Times New Roman" w:eastAsia="Times New Roman"/>
          <w:w w:val="99"/>
          <w:sz w:val="32"/>
          <w:szCs w:val="32"/>
        </w:rPr>
        <w:t>4</w:t>
      </w:r>
      <w:r>
        <w:rPr>
          <w:rFonts w:ascii="Times New Roman" w:eastAsia="Times New Roman"/>
          <w:spacing w:val="19"/>
          <w:sz w:val="32"/>
          <w:szCs w:val="32"/>
        </w:rPr>
        <w:t xml:space="preserve"> </w:t>
      </w:r>
      <w:r>
        <w:rPr>
          <w:spacing w:val="18"/>
          <w:w w:val="99"/>
          <w:sz w:val="32"/>
          <w:szCs w:val="32"/>
        </w:rPr>
        <w:t>亿元，每万人有效发明专利达到</w:t>
      </w:r>
      <w:r>
        <w:rPr>
          <w:spacing w:val="-50"/>
          <w:sz w:val="32"/>
          <w:szCs w:val="32"/>
        </w:rPr>
        <w:t xml:space="preserve"> </w:t>
      </w:r>
      <w:r>
        <w:rPr>
          <w:rFonts w:ascii="Times New Roman" w:eastAsia="Times New Roman"/>
          <w:spacing w:val="6"/>
          <w:w w:val="99"/>
          <w:sz w:val="32"/>
          <w:szCs w:val="32"/>
        </w:rPr>
        <w:t>1</w:t>
      </w:r>
      <w:r>
        <w:rPr>
          <w:rFonts w:ascii="Times New Roman" w:eastAsia="Times New Roman"/>
          <w:w w:val="99"/>
          <w:sz w:val="32"/>
          <w:szCs w:val="32"/>
        </w:rPr>
        <w:t>8</w:t>
      </w:r>
      <w:r>
        <w:rPr>
          <w:rFonts w:ascii="Times New Roman" w:eastAsia="Times New Roman"/>
          <w:spacing w:val="22"/>
          <w:sz w:val="32"/>
          <w:szCs w:val="32"/>
        </w:rPr>
        <w:t xml:space="preserve"> </w:t>
      </w:r>
      <w:r>
        <w:rPr>
          <w:spacing w:val="18"/>
          <w:w w:val="99"/>
          <w:sz w:val="32"/>
          <w:szCs w:val="32"/>
        </w:rPr>
        <w:t>件，高新技术企业达到</w:t>
      </w:r>
      <w:r>
        <w:rPr>
          <w:spacing w:val="-52"/>
          <w:sz w:val="32"/>
          <w:szCs w:val="32"/>
        </w:rPr>
        <w:t xml:space="preserve"> </w:t>
      </w:r>
      <w:r>
        <w:rPr>
          <w:rFonts w:ascii="Times New Roman" w:eastAsia="Times New Roman"/>
          <w:spacing w:val="8"/>
          <w:w w:val="99"/>
          <w:sz w:val="32"/>
          <w:szCs w:val="32"/>
        </w:rPr>
        <w:t>9</w:t>
      </w:r>
      <w:r>
        <w:rPr>
          <w:rFonts w:ascii="Times New Roman" w:eastAsia="Times New Roman"/>
          <w:w w:val="99"/>
          <w:sz w:val="32"/>
          <w:szCs w:val="32"/>
        </w:rPr>
        <w:t>0</w:t>
      </w:r>
      <w:r>
        <w:rPr>
          <w:rFonts w:ascii="Times New Roman" w:eastAsia="Times New Roman"/>
          <w:spacing w:val="22"/>
          <w:sz w:val="32"/>
          <w:szCs w:val="32"/>
        </w:rPr>
        <w:t xml:space="preserve"> </w:t>
      </w:r>
      <w:r>
        <w:rPr>
          <w:spacing w:val="10"/>
          <w:w w:val="99"/>
          <w:sz w:val="32"/>
          <w:szCs w:val="32"/>
        </w:rPr>
        <w:t>家。</w:t>
      </w:r>
    </w:p>
    <w:p w14:paraId="432021C0">
      <w:pPr>
        <w:spacing w:before="9" w:line="340" w:lineRule="auto"/>
        <w:ind w:left="233" w:right="100" w:firstLine="684"/>
        <w:rPr>
          <w:sz w:val="32"/>
          <w:szCs w:val="32"/>
        </w:rPr>
      </w:pPr>
      <w:r>
        <w:rPr>
          <w:rFonts w:ascii="Times New Roman" w:hAnsi="Times New Roman" w:eastAsia="Times New Roman"/>
          <w:b/>
          <w:spacing w:val="9"/>
          <w:sz w:val="32"/>
          <w:szCs w:val="32"/>
        </w:rPr>
        <w:t>——</w:t>
      </w:r>
      <w:r>
        <w:rPr>
          <w:b/>
          <w:i/>
          <w:spacing w:val="25"/>
          <w:sz w:val="32"/>
          <w:szCs w:val="32"/>
        </w:rPr>
        <w:t>城乡建设展现新面貌。</w:t>
      </w:r>
      <w:r>
        <w:rPr>
          <w:spacing w:val="25"/>
          <w:sz w:val="32"/>
          <w:szCs w:val="32"/>
        </w:rPr>
        <w:t>城市功能更加完善，国际</w:t>
      </w:r>
      <w:r>
        <w:rPr>
          <w:sz w:val="32"/>
          <w:szCs w:val="32"/>
        </w:rPr>
        <w:t>化</w:t>
      </w:r>
      <w:r>
        <w:rPr>
          <w:spacing w:val="21"/>
          <w:sz w:val="32"/>
          <w:szCs w:val="32"/>
        </w:rPr>
        <w:t>精品新城区建设取得重大</w:t>
      </w:r>
      <w:r>
        <w:rPr>
          <w:spacing w:val="22"/>
          <w:sz w:val="32"/>
          <w:szCs w:val="32"/>
        </w:rPr>
        <w:t>进展</w:t>
      </w:r>
      <w:r>
        <w:rPr>
          <w:spacing w:val="-2"/>
          <w:sz w:val="32"/>
          <w:szCs w:val="32"/>
        </w:rPr>
        <w:t>，城市辐射作用显著增强，</w:t>
      </w:r>
      <w:r>
        <w:rPr>
          <w:rFonts w:ascii="Times New Roman" w:hAnsi="Times New Roman" w:eastAsia="Times New Roman"/>
          <w:spacing w:val="22"/>
          <w:sz w:val="32"/>
          <w:szCs w:val="32"/>
        </w:rPr>
        <w:t>2</w:t>
      </w:r>
      <w:r>
        <w:rPr>
          <w:rFonts w:ascii="Times New Roman" w:hAnsi="Times New Roman" w:eastAsia="Times New Roman"/>
          <w:spacing w:val="29"/>
          <w:sz w:val="32"/>
          <w:szCs w:val="32"/>
        </w:rPr>
        <w:t>02</w:t>
      </w:r>
      <w:r>
        <w:rPr>
          <w:rFonts w:ascii="Times New Roman" w:hAnsi="Times New Roman" w:eastAsia="Times New Roman"/>
          <w:spacing w:val="16"/>
          <w:sz w:val="32"/>
          <w:szCs w:val="32"/>
        </w:rPr>
        <w:t>5</w:t>
      </w:r>
      <w:r>
        <w:rPr>
          <w:sz w:val="32"/>
          <w:szCs w:val="32"/>
        </w:rPr>
        <w:t xml:space="preserve">年，城镇常住人口数量超过 </w:t>
      </w:r>
      <w:r>
        <w:rPr>
          <w:rFonts w:ascii="Times New Roman" w:hAnsi="Times New Roman" w:eastAsia="Times New Roman"/>
          <w:sz w:val="32"/>
          <w:szCs w:val="32"/>
        </w:rPr>
        <w:t>75</w:t>
      </w:r>
      <w:r>
        <w:rPr>
          <w:rFonts w:ascii="Times New Roman" w:hAnsi="Times New Roman" w:eastAsia="Times New Roman"/>
          <w:spacing w:val="16"/>
          <w:sz w:val="32"/>
          <w:szCs w:val="32"/>
        </w:rPr>
        <w:t xml:space="preserve"> </w:t>
      </w:r>
      <w:r>
        <w:rPr>
          <w:sz w:val="32"/>
          <w:szCs w:val="32"/>
        </w:rPr>
        <w:t xml:space="preserve">万人，全区城镇化率达到 </w:t>
      </w:r>
      <w:r>
        <w:rPr>
          <w:rFonts w:ascii="Times New Roman" w:hAnsi="Times New Roman" w:eastAsia="Times New Roman"/>
          <w:sz w:val="32"/>
          <w:szCs w:val="32"/>
        </w:rPr>
        <w:t>92%</w:t>
      </w:r>
      <w:r>
        <w:rPr>
          <w:sz w:val="32"/>
          <w:szCs w:val="32"/>
        </w:rPr>
        <w:t>，</w:t>
      </w:r>
      <w:r>
        <w:rPr>
          <w:spacing w:val="24"/>
          <w:sz w:val="32"/>
          <w:szCs w:val="32"/>
        </w:rPr>
        <w:t>新型基础设施建设全面覆盖，脱贫攻坚成果巩固</w:t>
      </w:r>
      <w:r>
        <w:rPr>
          <w:spacing w:val="19"/>
          <w:sz w:val="32"/>
          <w:szCs w:val="32"/>
        </w:rPr>
        <w:t>拓展，乡村</w:t>
      </w:r>
      <w:r>
        <w:rPr>
          <w:spacing w:val="24"/>
          <w:sz w:val="32"/>
          <w:szCs w:val="32"/>
        </w:rPr>
        <w:t>振兴战略全面推进，城乡发展更加协调，城乡居民的收入</w:t>
      </w:r>
      <w:r>
        <w:rPr>
          <w:sz w:val="32"/>
          <w:szCs w:val="32"/>
        </w:rPr>
        <w:t>差</w:t>
      </w:r>
      <w:r>
        <w:rPr>
          <w:spacing w:val="17"/>
          <w:sz w:val="32"/>
          <w:szCs w:val="32"/>
        </w:rPr>
        <w:t>距进一步缩小。</w:t>
      </w:r>
    </w:p>
    <w:p w14:paraId="42BB946C">
      <w:pPr>
        <w:spacing w:before="1" w:line="350" w:lineRule="auto"/>
        <w:ind w:left="233" w:right="273" w:firstLine="684"/>
        <w:jc w:val="both"/>
        <w:rPr>
          <w:sz w:val="32"/>
          <w:szCs w:val="32"/>
        </w:rPr>
      </w:pPr>
      <w:r>
        <w:rPr>
          <w:rFonts w:ascii="Times New Roman" w:hAnsi="Times New Roman" w:eastAsia="Times New Roman"/>
          <w:b/>
          <w:spacing w:val="12"/>
          <w:w w:val="99"/>
          <w:sz w:val="32"/>
          <w:szCs w:val="32"/>
        </w:rPr>
        <w:t>——</w:t>
      </w:r>
      <w:r>
        <w:rPr>
          <w:b/>
          <w:i/>
          <w:spacing w:val="26"/>
          <w:w w:val="99"/>
          <w:sz w:val="32"/>
          <w:szCs w:val="32"/>
        </w:rPr>
        <w:t>改革开放迈出新步伐。</w:t>
      </w:r>
      <w:r>
        <w:rPr>
          <w:spacing w:val="23"/>
          <w:w w:val="99"/>
          <w:sz w:val="32"/>
          <w:szCs w:val="32"/>
        </w:rPr>
        <w:t>社会主义市场经济体制更加完善，产权制度改革和要素市场化配置改革取得重大进展，更高水平开放型经济新体制基本形成，中阿博览会影响力大</w:t>
      </w:r>
      <w:r>
        <w:rPr>
          <w:spacing w:val="13"/>
          <w:w w:val="99"/>
          <w:sz w:val="32"/>
          <w:szCs w:val="32"/>
        </w:rPr>
        <w:t>幅提升，全区进出口总额年均增长</w:t>
      </w:r>
      <w:r>
        <w:rPr>
          <w:spacing w:val="-50"/>
          <w:sz w:val="32"/>
          <w:szCs w:val="32"/>
        </w:rPr>
        <w:t xml:space="preserve"> </w:t>
      </w:r>
      <w:r>
        <w:rPr>
          <w:rFonts w:ascii="Times New Roman" w:hAnsi="Times New Roman" w:eastAsia="Times New Roman"/>
          <w:spacing w:val="10"/>
          <w:w w:val="99"/>
          <w:sz w:val="32"/>
          <w:szCs w:val="32"/>
        </w:rPr>
        <w:t>3%</w:t>
      </w:r>
      <w:r>
        <w:rPr>
          <w:spacing w:val="11"/>
          <w:w w:val="99"/>
          <w:sz w:val="32"/>
          <w:szCs w:val="32"/>
        </w:rPr>
        <w:t>以上。与周边区域融合</w:t>
      </w:r>
      <w:r>
        <w:rPr>
          <w:spacing w:val="14"/>
          <w:w w:val="99"/>
          <w:sz w:val="32"/>
          <w:szCs w:val="32"/>
        </w:rPr>
        <w:t>发展进一步强化，力争每年招商引资到位资金</w:t>
      </w:r>
      <w:r>
        <w:rPr>
          <w:spacing w:val="-52"/>
          <w:sz w:val="32"/>
          <w:szCs w:val="32"/>
        </w:rPr>
        <w:t xml:space="preserve"> </w:t>
      </w:r>
      <w:r>
        <w:rPr>
          <w:rFonts w:ascii="Times New Roman" w:hAnsi="Times New Roman" w:eastAsia="Times New Roman"/>
          <w:spacing w:val="8"/>
          <w:w w:val="99"/>
          <w:sz w:val="32"/>
          <w:szCs w:val="32"/>
        </w:rPr>
        <w:t>9</w:t>
      </w:r>
      <w:r>
        <w:rPr>
          <w:rFonts w:ascii="Times New Roman" w:hAnsi="Times New Roman" w:eastAsia="Times New Roman"/>
          <w:w w:val="99"/>
          <w:sz w:val="32"/>
          <w:szCs w:val="32"/>
        </w:rPr>
        <w:t>0</w:t>
      </w:r>
      <w:r>
        <w:rPr>
          <w:rFonts w:ascii="Times New Roman" w:hAnsi="Times New Roman" w:eastAsia="Times New Roman"/>
          <w:spacing w:val="22"/>
          <w:sz w:val="32"/>
          <w:szCs w:val="32"/>
        </w:rPr>
        <w:t xml:space="preserve"> </w:t>
      </w:r>
      <w:r>
        <w:rPr>
          <w:spacing w:val="7"/>
          <w:w w:val="99"/>
          <w:sz w:val="32"/>
          <w:szCs w:val="32"/>
        </w:rPr>
        <w:t>亿元。营商</w:t>
      </w:r>
      <w:r>
        <w:rPr>
          <w:spacing w:val="22"/>
          <w:w w:val="99"/>
          <w:sz w:val="32"/>
          <w:szCs w:val="32"/>
        </w:rPr>
        <w:t>环境持续优化，新注册企业三年存活率</w:t>
      </w:r>
      <w:r>
        <w:rPr>
          <w:spacing w:val="-50"/>
          <w:sz w:val="32"/>
          <w:szCs w:val="32"/>
        </w:rPr>
        <w:t xml:space="preserve"> </w:t>
      </w:r>
      <w:r>
        <w:rPr>
          <w:rFonts w:ascii="Times New Roman" w:hAnsi="Times New Roman" w:eastAsia="Times New Roman"/>
          <w:spacing w:val="8"/>
          <w:w w:val="99"/>
          <w:sz w:val="32"/>
          <w:szCs w:val="32"/>
        </w:rPr>
        <w:t>8</w:t>
      </w:r>
      <w:r>
        <w:rPr>
          <w:rFonts w:ascii="Times New Roman" w:hAnsi="Times New Roman" w:eastAsia="Times New Roman"/>
          <w:spacing w:val="10"/>
          <w:w w:val="99"/>
          <w:sz w:val="32"/>
          <w:szCs w:val="32"/>
        </w:rPr>
        <w:t>0</w:t>
      </w:r>
      <w:r>
        <w:rPr>
          <w:rFonts w:ascii="Times New Roman" w:hAnsi="Times New Roman" w:eastAsia="Times New Roman"/>
          <w:spacing w:val="17"/>
          <w:w w:val="99"/>
          <w:sz w:val="32"/>
          <w:szCs w:val="32"/>
        </w:rPr>
        <w:t>%</w:t>
      </w:r>
      <w:r>
        <w:rPr>
          <w:spacing w:val="20"/>
          <w:w w:val="99"/>
          <w:sz w:val="32"/>
          <w:szCs w:val="32"/>
        </w:rPr>
        <w:t>左右，民间投资</w:t>
      </w:r>
      <w:r>
        <w:rPr>
          <w:spacing w:val="18"/>
          <w:w w:val="99"/>
          <w:sz w:val="32"/>
          <w:szCs w:val="32"/>
        </w:rPr>
        <w:t>占固定资产投资比重</w:t>
      </w:r>
      <w:r>
        <w:rPr>
          <w:spacing w:val="-52"/>
          <w:sz w:val="32"/>
          <w:szCs w:val="32"/>
        </w:rPr>
        <w:t xml:space="preserve"> </w:t>
      </w:r>
      <w:r>
        <w:rPr>
          <w:rFonts w:ascii="Times New Roman" w:hAnsi="Times New Roman" w:eastAsia="Times New Roman"/>
          <w:spacing w:val="8"/>
          <w:w w:val="99"/>
          <w:sz w:val="32"/>
          <w:szCs w:val="32"/>
        </w:rPr>
        <w:t>8</w:t>
      </w:r>
      <w:r>
        <w:rPr>
          <w:rFonts w:ascii="Times New Roman" w:hAnsi="Times New Roman" w:eastAsia="Times New Roman"/>
          <w:spacing w:val="10"/>
          <w:w w:val="99"/>
          <w:sz w:val="32"/>
          <w:szCs w:val="32"/>
        </w:rPr>
        <w:t>5</w:t>
      </w:r>
      <w:r>
        <w:rPr>
          <w:rFonts w:ascii="Times New Roman" w:hAnsi="Times New Roman" w:eastAsia="Times New Roman"/>
          <w:spacing w:val="15"/>
          <w:w w:val="99"/>
          <w:sz w:val="32"/>
          <w:szCs w:val="32"/>
        </w:rPr>
        <w:t>%</w:t>
      </w:r>
      <w:r>
        <w:rPr>
          <w:spacing w:val="14"/>
          <w:w w:val="99"/>
          <w:sz w:val="32"/>
          <w:szCs w:val="32"/>
        </w:rPr>
        <w:t>以上。</w:t>
      </w:r>
    </w:p>
    <w:p w14:paraId="3139CCA0">
      <w:pPr>
        <w:spacing w:line="386" w:lineRule="exact"/>
        <w:ind w:left="917"/>
        <w:rPr>
          <w:sz w:val="32"/>
        </w:rPr>
      </w:pPr>
      <w:r>
        <w:rPr>
          <w:rFonts w:ascii="Times New Roman" w:hAnsi="Times New Roman" w:eastAsia="Times New Roman"/>
          <w:b/>
          <w:spacing w:val="9"/>
          <w:w w:val="95"/>
          <w:sz w:val="32"/>
        </w:rPr>
        <w:t>——</w:t>
      </w:r>
      <w:r>
        <w:rPr>
          <w:b/>
          <w:i/>
          <w:spacing w:val="26"/>
          <w:w w:val="95"/>
          <w:sz w:val="32"/>
        </w:rPr>
        <w:t>生态文明建设实现新进步。</w:t>
      </w:r>
      <w:r>
        <w:rPr>
          <w:spacing w:val="26"/>
          <w:w w:val="95"/>
          <w:sz w:val="32"/>
        </w:rPr>
        <w:t>国土空间开发保护</w:t>
      </w:r>
      <w:r>
        <w:rPr>
          <w:spacing w:val="7"/>
          <w:w w:val="95"/>
          <w:sz w:val="32"/>
        </w:rPr>
        <w:t>格局</w:t>
      </w:r>
    </w:p>
    <w:p w14:paraId="116BE45A">
      <w:pPr>
        <w:spacing w:before="168" w:line="340" w:lineRule="auto"/>
        <w:ind w:left="233" w:right="275"/>
        <w:jc w:val="both"/>
        <w:rPr>
          <w:sz w:val="32"/>
          <w:szCs w:val="32"/>
        </w:rPr>
      </w:pPr>
      <w:r>
        <w:rPr>
          <w:spacing w:val="23"/>
          <w:w w:val="99"/>
          <w:sz w:val="32"/>
          <w:szCs w:val="32"/>
        </w:rPr>
        <w:t>得到优化，生产生活方式绿色转型成效显著，能源资源配置更加合理、利用效率大幅提高，主要污染物排放总量持续减少，空气质量达标率高于全市平均水平。单位地区生产总值能耗、主要污染物排放总量和单位地区生产总值二氧化碳排放量控制在自治区、银川市下达的目标以内，资源循环利用</w:t>
      </w:r>
    </w:p>
    <w:p w14:paraId="29A34155">
      <w:pPr>
        <w:spacing w:line="340" w:lineRule="auto"/>
        <w:jc w:val="both"/>
        <w:sectPr>
          <w:pgSz w:w="11910" w:h="16840"/>
          <w:pgMar w:top="1780" w:right="1220" w:bottom="1160" w:left="1240" w:header="0" w:footer="975" w:gutter="0"/>
          <w:cols w:space="720" w:num="1"/>
        </w:sectPr>
      </w:pPr>
    </w:p>
    <w:p w14:paraId="4B6433C1">
      <w:pPr>
        <w:spacing w:before="28"/>
        <w:ind w:left="233"/>
        <w:rPr>
          <w:sz w:val="32"/>
          <w:szCs w:val="32"/>
        </w:rPr>
      </w:pPr>
      <w:r>
        <w:rPr>
          <w:spacing w:val="19"/>
          <w:w w:val="95"/>
          <w:sz w:val="32"/>
          <w:szCs w:val="32"/>
        </w:rPr>
        <w:t>迈上新台阶，生活垃圾回收和资源化利用率明显提升。</w:t>
      </w:r>
    </w:p>
    <w:p w14:paraId="5E225425">
      <w:pPr>
        <w:spacing w:before="170" w:line="338" w:lineRule="auto"/>
        <w:ind w:left="233" w:right="100" w:firstLine="684"/>
        <w:rPr>
          <w:sz w:val="32"/>
          <w:szCs w:val="32"/>
        </w:rPr>
      </w:pPr>
      <w:r>
        <w:rPr>
          <w:rFonts w:ascii="Times New Roman" w:hAnsi="Times New Roman" w:eastAsia="Times New Roman"/>
          <w:b/>
          <w:spacing w:val="12"/>
          <w:w w:val="99"/>
          <w:sz w:val="32"/>
          <w:szCs w:val="32"/>
        </w:rPr>
        <w:t>——</w:t>
      </w:r>
      <w:r>
        <w:rPr>
          <w:b/>
          <w:i/>
          <w:spacing w:val="13"/>
          <w:w w:val="99"/>
          <w:sz w:val="32"/>
          <w:szCs w:val="32"/>
        </w:rPr>
        <w:t>民生福祉达到新水平。</w:t>
      </w:r>
      <w:r>
        <w:rPr>
          <w:spacing w:val="19"/>
          <w:w w:val="99"/>
          <w:sz w:val="32"/>
          <w:szCs w:val="32"/>
        </w:rPr>
        <w:t>实现更加充分更高质量就业，</w:t>
      </w:r>
      <w:r>
        <w:rPr>
          <w:spacing w:val="23"/>
          <w:w w:val="99"/>
          <w:sz w:val="32"/>
          <w:szCs w:val="32"/>
        </w:rPr>
        <w:t>居民收入增长和经济增长基本同步，分配结构明显改善，基</w:t>
      </w:r>
      <w:r>
        <w:rPr>
          <w:spacing w:val="13"/>
          <w:w w:val="99"/>
          <w:sz w:val="32"/>
          <w:szCs w:val="32"/>
        </w:rPr>
        <w:t>本公共服务均等化水平明显提高，全民受教育程度不断提升，</w:t>
      </w:r>
      <w:r>
        <w:rPr>
          <w:spacing w:val="23"/>
          <w:w w:val="99"/>
          <w:sz w:val="32"/>
          <w:szCs w:val="32"/>
        </w:rPr>
        <w:t>多层次社会保障体系更加健全，卫生健康体系更加完善，城镇失业率低于全市平均水平，城镇和农村常住居民人均可支</w:t>
      </w:r>
      <w:r>
        <w:rPr>
          <w:spacing w:val="18"/>
          <w:w w:val="99"/>
          <w:sz w:val="32"/>
          <w:szCs w:val="32"/>
        </w:rPr>
        <w:t>配收入年均分别增长</w:t>
      </w:r>
      <w:r>
        <w:rPr>
          <w:spacing w:val="-52"/>
          <w:sz w:val="32"/>
          <w:szCs w:val="32"/>
        </w:rPr>
        <w:t xml:space="preserve"> </w:t>
      </w:r>
      <w:r>
        <w:rPr>
          <w:rFonts w:ascii="Times New Roman" w:hAnsi="Times New Roman" w:eastAsia="Times New Roman"/>
          <w:spacing w:val="8"/>
          <w:w w:val="99"/>
          <w:sz w:val="32"/>
          <w:szCs w:val="32"/>
        </w:rPr>
        <w:t>7</w:t>
      </w:r>
      <w:r>
        <w:rPr>
          <w:rFonts w:ascii="Times New Roman" w:hAnsi="Times New Roman" w:eastAsia="Times New Roman"/>
          <w:spacing w:val="15"/>
          <w:w w:val="99"/>
          <w:sz w:val="32"/>
          <w:szCs w:val="32"/>
        </w:rPr>
        <w:t>%</w:t>
      </w:r>
      <w:r>
        <w:rPr>
          <w:spacing w:val="14"/>
          <w:w w:val="99"/>
          <w:sz w:val="32"/>
          <w:szCs w:val="32"/>
        </w:rPr>
        <w:t>左右和</w:t>
      </w:r>
      <w:r>
        <w:rPr>
          <w:spacing w:val="-52"/>
          <w:sz w:val="32"/>
          <w:szCs w:val="32"/>
        </w:rPr>
        <w:t xml:space="preserve"> </w:t>
      </w:r>
      <w:r>
        <w:rPr>
          <w:rFonts w:ascii="Times New Roman" w:hAnsi="Times New Roman" w:eastAsia="Times New Roman"/>
          <w:spacing w:val="8"/>
          <w:w w:val="99"/>
          <w:sz w:val="32"/>
          <w:szCs w:val="32"/>
        </w:rPr>
        <w:t>7</w:t>
      </w:r>
      <w:r>
        <w:rPr>
          <w:rFonts w:ascii="Times New Roman" w:hAnsi="Times New Roman" w:eastAsia="Times New Roman"/>
          <w:spacing w:val="11"/>
          <w:w w:val="99"/>
          <w:sz w:val="32"/>
          <w:szCs w:val="32"/>
        </w:rPr>
        <w:t>.</w:t>
      </w:r>
      <w:r>
        <w:rPr>
          <w:rFonts w:ascii="Times New Roman" w:hAnsi="Times New Roman" w:eastAsia="Times New Roman"/>
          <w:spacing w:val="10"/>
          <w:w w:val="99"/>
          <w:sz w:val="32"/>
          <w:szCs w:val="32"/>
        </w:rPr>
        <w:t>5</w:t>
      </w:r>
      <w:r>
        <w:rPr>
          <w:rFonts w:ascii="Times New Roman" w:hAnsi="Times New Roman" w:eastAsia="Times New Roman"/>
          <w:spacing w:val="15"/>
          <w:w w:val="99"/>
          <w:sz w:val="32"/>
          <w:szCs w:val="32"/>
        </w:rPr>
        <w:t>%</w:t>
      </w:r>
      <w:r>
        <w:rPr>
          <w:spacing w:val="14"/>
          <w:w w:val="99"/>
          <w:sz w:val="32"/>
          <w:szCs w:val="32"/>
        </w:rPr>
        <w:t>左右。</w:t>
      </w:r>
    </w:p>
    <w:p w14:paraId="6602F1E5">
      <w:pPr>
        <w:spacing w:before="12" w:line="338" w:lineRule="auto"/>
        <w:ind w:left="233" w:right="106" w:firstLine="684"/>
        <w:rPr>
          <w:sz w:val="32"/>
          <w:szCs w:val="32"/>
        </w:rPr>
      </w:pPr>
      <w:r>
        <w:rPr>
          <w:rFonts w:ascii="Times New Roman" w:hAnsi="Times New Roman" w:eastAsia="Times New Roman"/>
          <w:b/>
          <w:spacing w:val="12"/>
          <w:w w:val="99"/>
          <w:sz w:val="32"/>
          <w:szCs w:val="32"/>
        </w:rPr>
        <w:t>——</w:t>
      </w:r>
      <w:r>
        <w:rPr>
          <w:b/>
          <w:i/>
          <w:spacing w:val="24"/>
          <w:w w:val="99"/>
          <w:sz w:val="32"/>
          <w:szCs w:val="32"/>
        </w:rPr>
        <w:t>社会文明程度得到新提高。</w:t>
      </w:r>
      <w:r>
        <w:rPr>
          <w:spacing w:val="18"/>
          <w:w w:val="99"/>
          <w:sz w:val="32"/>
          <w:szCs w:val="32"/>
        </w:rPr>
        <w:t>社会主义核心价值观深</w:t>
      </w:r>
      <w:r>
        <w:rPr>
          <w:spacing w:val="20"/>
          <w:w w:val="99"/>
          <w:sz w:val="32"/>
          <w:szCs w:val="32"/>
        </w:rPr>
        <w:t>入人心，人民思想道德素质、科学文化素质和身心健康素质明显提高，公共文化服务体系和文化产业体系更加健全，人</w:t>
      </w:r>
      <w:r>
        <w:rPr>
          <w:spacing w:val="12"/>
          <w:w w:val="99"/>
          <w:sz w:val="32"/>
          <w:szCs w:val="32"/>
        </w:rPr>
        <w:t>民精神文化生活日益丰富。全社会法治、诚信意识不断增强，</w:t>
      </w:r>
      <w:r>
        <w:rPr>
          <w:spacing w:val="20"/>
          <w:w w:val="99"/>
          <w:sz w:val="32"/>
          <w:szCs w:val="32"/>
        </w:rPr>
        <w:t>法治政府基本建成，各方面制度更加健全，社会治理体系更加完善，城市治理更加智慧，民族团结、宗教和顺、社会安</w:t>
      </w:r>
      <w:r>
        <w:rPr>
          <w:spacing w:val="19"/>
          <w:w w:val="99"/>
          <w:sz w:val="32"/>
          <w:szCs w:val="32"/>
        </w:rPr>
        <w:t>定的局面进一步巩固发展。</w:t>
      </w:r>
    </w:p>
    <w:p w14:paraId="17410229">
      <w:pPr>
        <w:spacing w:line="338" w:lineRule="auto"/>
        <w:sectPr>
          <w:pgSz w:w="11910" w:h="16840"/>
          <w:pgMar w:top="1800" w:right="1220" w:bottom="1160" w:left="1240" w:header="0" w:footer="975" w:gutter="0"/>
          <w:cols w:space="720" w:num="1"/>
        </w:sectPr>
      </w:pPr>
    </w:p>
    <w:p w14:paraId="12B16FD6">
      <w:pPr>
        <w:tabs>
          <w:tab w:val="left" w:pos="659"/>
        </w:tabs>
        <w:spacing w:before="47"/>
        <w:ind w:right="17"/>
        <w:jc w:val="center"/>
        <w:rPr>
          <w:rFonts w:ascii="黑体" w:hAnsi="黑体" w:eastAsia="黑体"/>
          <w:sz w:val="24"/>
        </w:rPr>
      </w:pPr>
      <w:r>
        <w:rPr>
          <w:rFonts w:ascii="黑体" w:hAnsi="黑体" w:eastAsia="黑体"/>
          <w:sz w:val="24"/>
        </w:rPr>
        <w:t>表</w:t>
      </w:r>
      <w:r>
        <w:rPr>
          <w:rFonts w:ascii="黑体" w:hAnsi="黑体" w:eastAsia="黑体"/>
          <w:spacing w:val="-60"/>
          <w:sz w:val="24"/>
        </w:rPr>
        <w:t xml:space="preserve"> </w:t>
      </w:r>
      <w:r>
        <w:rPr>
          <w:rFonts w:ascii="Times New Roman" w:hAnsi="Times New Roman" w:eastAsia="Times New Roman"/>
          <w:spacing w:val="-10"/>
          <w:sz w:val="24"/>
        </w:rPr>
        <w:t>2</w:t>
      </w:r>
      <w:r>
        <w:rPr>
          <w:rFonts w:ascii="Times New Roman" w:hAnsi="Times New Roman" w:eastAsia="Times New Roman"/>
          <w:sz w:val="24"/>
        </w:rPr>
        <w:tab/>
      </w:r>
      <w:r>
        <w:rPr>
          <w:rFonts w:ascii="黑体" w:hAnsi="黑体" w:eastAsia="黑体"/>
          <w:sz w:val="24"/>
        </w:rPr>
        <w:t>金凤区“十四五”时期经济社会发展主要指标体</w:t>
      </w:r>
      <w:r>
        <w:rPr>
          <w:rFonts w:ascii="黑体" w:hAnsi="黑体" w:eastAsia="黑体"/>
          <w:spacing w:val="-10"/>
          <w:sz w:val="24"/>
        </w:rPr>
        <w:t>系</w:t>
      </w:r>
    </w:p>
    <w:p w14:paraId="3C1C1153">
      <w:pPr>
        <w:rPr>
          <w:rFonts w:ascii="黑体"/>
          <w:sz w:val="16"/>
          <w:szCs w:val="32"/>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96"/>
        <w:gridCol w:w="3766"/>
        <w:gridCol w:w="1011"/>
        <w:gridCol w:w="978"/>
        <w:gridCol w:w="944"/>
        <w:gridCol w:w="914"/>
        <w:gridCol w:w="871"/>
      </w:tblGrid>
      <w:tr w14:paraId="444243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00" w:hRule="atLeast"/>
        </w:trPr>
        <w:tc>
          <w:tcPr>
            <w:tcW w:w="696" w:type="dxa"/>
          </w:tcPr>
          <w:p w14:paraId="1BD179EB">
            <w:pPr>
              <w:rPr>
                <w:rFonts w:ascii="黑体" w:hAnsi="宋体" w:eastAsia="宋体" w:cs="宋体"/>
                <w:sz w:val="20"/>
              </w:rPr>
            </w:pPr>
          </w:p>
          <w:p w14:paraId="4E3EDAE7">
            <w:pPr>
              <w:spacing w:before="10"/>
              <w:rPr>
                <w:rFonts w:ascii="黑体" w:hAnsi="宋体" w:eastAsia="宋体" w:cs="宋体"/>
                <w:sz w:val="19"/>
              </w:rPr>
            </w:pPr>
          </w:p>
          <w:p w14:paraId="5C60A20A">
            <w:pPr>
              <w:ind w:left="136"/>
              <w:rPr>
                <w:rFonts w:ascii="宋体" w:hAnsi="宋体" w:eastAsia="宋体" w:cs="宋体"/>
                <w:b/>
                <w:sz w:val="21"/>
              </w:rPr>
            </w:pPr>
            <w:r>
              <w:rPr>
                <w:rFonts w:ascii="宋体" w:hAnsi="宋体" w:eastAsia="宋体" w:cs="宋体"/>
                <w:b/>
                <w:w w:val="95"/>
                <w:sz w:val="21"/>
              </w:rPr>
              <w:t>类</w:t>
            </w:r>
            <w:r>
              <w:rPr>
                <w:rFonts w:ascii="宋体" w:hAnsi="宋体" w:eastAsia="宋体" w:cs="宋体"/>
                <w:b/>
                <w:spacing w:val="-10"/>
                <w:sz w:val="21"/>
              </w:rPr>
              <w:t>别</w:t>
            </w:r>
          </w:p>
        </w:tc>
        <w:tc>
          <w:tcPr>
            <w:tcW w:w="3766" w:type="dxa"/>
          </w:tcPr>
          <w:p w14:paraId="02353679">
            <w:pPr>
              <w:rPr>
                <w:rFonts w:ascii="黑体" w:hAnsi="宋体" w:eastAsia="宋体" w:cs="宋体"/>
                <w:sz w:val="20"/>
              </w:rPr>
            </w:pPr>
          </w:p>
          <w:p w14:paraId="4E777575">
            <w:pPr>
              <w:spacing w:before="10"/>
              <w:rPr>
                <w:rFonts w:ascii="黑体" w:hAnsi="宋体" w:eastAsia="宋体" w:cs="宋体"/>
                <w:sz w:val="19"/>
              </w:rPr>
            </w:pPr>
          </w:p>
          <w:p w14:paraId="57E1D781">
            <w:pPr>
              <w:ind w:left="1661" w:right="1642"/>
              <w:jc w:val="center"/>
              <w:rPr>
                <w:rFonts w:ascii="宋体" w:hAnsi="宋体" w:eastAsia="宋体" w:cs="宋体"/>
                <w:b/>
                <w:sz w:val="21"/>
              </w:rPr>
            </w:pPr>
            <w:r>
              <w:rPr>
                <w:rFonts w:ascii="宋体" w:hAnsi="宋体" w:eastAsia="宋体" w:cs="宋体"/>
                <w:b/>
                <w:w w:val="95"/>
                <w:sz w:val="21"/>
              </w:rPr>
              <w:t>指</w:t>
            </w:r>
            <w:r>
              <w:rPr>
                <w:rFonts w:ascii="宋体" w:hAnsi="宋体" w:eastAsia="宋体" w:cs="宋体"/>
                <w:b/>
                <w:spacing w:val="-10"/>
                <w:sz w:val="21"/>
              </w:rPr>
              <w:t>标</w:t>
            </w:r>
          </w:p>
        </w:tc>
        <w:tc>
          <w:tcPr>
            <w:tcW w:w="1011" w:type="dxa"/>
          </w:tcPr>
          <w:p w14:paraId="0E156415">
            <w:pPr>
              <w:rPr>
                <w:rFonts w:ascii="黑体" w:hAnsi="宋体" w:eastAsia="宋体" w:cs="宋体"/>
              </w:rPr>
            </w:pPr>
          </w:p>
          <w:p w14:paraId="65AD228A">
            <w:pPr>
              <w:spacing w:before="10"/>
              <w:rPr>
                <w:rFonts w:ascii="黑体" w:hAnsi="宋体" w:eastAsia="宋体" w:cs="宋体"/>
                <w:sz w:val="17"/>
              </w:rPr>
            </w:pPr>
          </w:p>
          <w:p w14:paraId="3E12E8B7">
            <w:pPr>
              <w:ind w:left="148" w:right="132"/>
              <w:jc w:val="center"/>
              <w:rPr>
                <w:rFonts w:ascii="宋体" w:hAnsi="宋体" w:eastAsia="宋体" w:cs="宋体"/>
                <w:b/>
                <w:sz w:val="21"/>
              </w:rPr>
            </w:pPr>
            <w:r>
              <w:rPr>
                <w:rFonts w:ascii="Times New Roman" w:hAnsi="宋体" w:eastAsia="Times New Roman" w:cs="宋体"/>
                <w:b/>
                <w:sz w:val="21"/>
              </w:rPr>
              <w:t>2015</w:t>
            </w:r>
            <w:r>
              <w:rPr>
                <w:rFonts w:ascii="Times New Roman" w:hAnsi="宋体" w:eastAsia="Times New Roman" w:cs="宋体"/>
                <w:b/>
                <w:spacing w:val="-3"/>
                <w:sz w:val="21"/>
              </w:rPr>
              <w:t xml:space="preserve"> </w:t>
            </w:r>
            <w:r>
              <w:rPr>
                <w:rFonts w:ascii="宋体" w:hAnsi="宋体" w:eastAsia="宋体" w:cs="宋体"/>
                <w:b/>
                <w:spacing w:val="-10"/>
                <w:sz w:val="21"/>
              </w:rPr>
              <w:t>年</w:t>
            </w:r>
          </w:p>
        </w:tc>
        <w:tc>
          <w:tcPr>
            <w:tcW w:w="978" w:type="dxa"/>
          </w:tcPr>
          <w:p w14:paraId="7676937D">
            <w:pPr>
              <w:rPr>
                <w:rFonts w:ascii="黑体" w:hAnsi="宋体" w:eastAsia="宋体" w:cs="宋体"/>
              </w:rPr>
            </w:pPr>
          </w:p>
          <w:p w14:paraId="3E05088A">
            <w:pPr>
              <w:spacing w:before="10"/>
              <w:rPr>
                <w:rFonts w:ascii="黑体" w:hAnsi="宋体" w:eastAsia="宋体" w:cs="宋体"/>
                <w:sz w:val="17"/>
              </w:rPr>
            </w:pPr>
          </w:p>
          <w:p w14:paraId="62255FC9">
            <w:pPr>
              <w:ind w:left="133" w:right="114"/>
              <w:jc w:val="center"/>
              <w:rPr>
                <w:rFonts w:ascii="宋体" w:hAnsi="宋体" w:eastAsia="宋体" w:cs="宋体"/>
                <w:b/>
                <w:sz w:val="21"/>
              </w:rPr>
            </w:pPr>
            <w:r>
              <w:rPr>
                <w:rFonts w:ascii="Times New Roman" w:hAnsi="宋体" w:eastAsia="Times New Roman" w:cs="宋体"/>
                <w:b/>
                <w:sz w:val="21"/>
              </w:rPr>
              <w:t>2020</w:t>
            </w:r>
            <w:r>
              <w:rPr>
                <w:rFonts w:ascii="Times New Roman" w:hAnsi="宋体" w:eastAsia="Times New Roman" w:cs="宋体"/>
                <w:b/>
                <w:spacing w:val="-3"/>
                <w:sz w:val="21"/>
              </w:rPr>
              <w:t xml:space="preserve"> </w:t>
            </w:r>
            <w:r>
              <w:rPr>
                <w:rFonts w:ascii="宋体" w:hAnsi="宋体" w:eastAsia="宋体" w:cs="宋体"/>
                <w:b/>
                <w:spacing w:val="-10"/>
                <w:sz w:val="21"/>
              </w:rPr>
              <w:t>年</w:t>
            </w:r>
          </w:p>
        </w:tc>
        <w:tc>
          <w:tcPr>
            <w:tcW w:w="944" w:type="dxa"/>
          </w:tcPr>
          <w:p w14:paraId="4ED89110">
            <w:pPr>
              <w:spacing w:before="3"/>
              <w:rPr>
                <w:rFonts w:ascii="黑体" w:hAnsi="宋体" w:eastAsia="宋体" w:cs="宋体"/>
                <w:sz w:val="24"/>
              </w:rPr>
            </w:pPr>
          </w:p>
          <w:p w14:paraId="6541F3FE">
            <w:pPr>
              <w:ind w:left="129"/>
              <w:rPr>
                <w:rFonts w:ascii="宋体" w:hAnsi="宋体" w:eastAsia="宋体" w:cs="宋体"/>
                <w:b/>
                <w:sz w:val="21"/>
              </w:rPr>
            </w:pPr>
            <w:r>
              <w:rPr>
                <w:rFonts w:ascii="Times New Roman" w:hAnsi="宋体" w:eastAsia="Times New Roman" w:cs="宋体"/>
                <w:b/>
                <w:sz w:val="21"/>
              </w:rPr>
              <w:t>2025</w:t>
            </w:r>
            <w:r>
              <w:rPr>
                <w:rFonts w:ascii="Times New Roman" w:hAnsi="宋体" w:eastAsia="Times New Roman" w:cs="宋体"/>
                <w:b/>
                <w:spacing w:val="-3"/>
                <w:sz w:val="21"/>
              </w:rPr>
              <w:t xml:space="preserve"> </w:t>
            </w:r>
            <w:r>
              <w:rPr>
                <w:rFonts w:ascii="宋体" w:hAnsi="宋体" w:eastAsia="宋体" w:cs="宋体"/>
                <w:b/>
                <w:spacing w:val="-10"/>
                <w:sz w:val="21"/>
              </w:rPr>
              <w:t>年</w:t>
            </w:r>
          </w:p>
          <w:p w14:paraId="2E3A47AB">
            <w:pPr>
              <w:spacing w:before="130"/>
              <w:ind w:left="156"/>
              <w:rPr>
                <w:rFonts w:ascii="宋体" w:hAnsi="宋体" w:eastAsia="宋体" w:cs="宋体"/>
                <w:b/>
                <w:sz w:val="21"/>
              </w:rPr>
            </w:pPr>
            <w:r>
              <w:rPr>
                <w:rFonts w:ascii="宋体" w:hAnsi="宋体" w:eastAsia="宋体" w:cs="宋体"/>
                <w:b/>
                <w:w w:val="95"/>
                <w:sz w:val="21"/>
              </w:rPr>
              <w:t>目标</w:t>
            </w:r>
            <w:r>
              <w:rPr>
                <w:rFonts w:ascii="宋体" w:hAnsi="宋体" w:eastAsia="宋体" w:cs="宋体"/>
                <w:b/>
                <w:spacing w:val="-10"/>
                <w:w w:val="95"/>
                <w:sz w:val="21"/>
              </w:rPr>
              <w:t>值</w:t>
            </w:r>
          </w:p>
        </w:tc>
        <w:tc>
          <w:tcPr>
            <w:tcW w:w="914" w:type="dxa"/>
          </w:tcPr>
          <w:p w14:paraId="0CDC3049">
            <w:pPr>
              <w:spacing w:before="3"/>
              <w:rPr>
                <w:rFonts w:ascii="黑体" w:hAnsi="宋体" w:eastAsia="宋体" w:cs="宋体"/>
                <w:sz w:val="24"/>
              </w:rPr>
            </w:pPr>
          </w:p>
          <w:p w14:paraId="763506BB">
            <w:pPr>
              <w:spacing w:line="355" w:lineRule="auto"/>
              <w:ind w:left="318" w:right="153"/>
              <w:rPr>
                <w:rFonts w:ascii="宋体" w:hAnsi="宋体" w:eastAsia="宋体" w:cs="宋体"/>
                <w:b/>
                <w:sz w:val="21"/>
              </w:rPr>
            </w:pPr>
            <w:r>
              <w:rPr>
                <w:rFonts w:ascii="宋体" w:hAnsi="宋体" w:eastAsia="宋体" w:cs="宋体"/>
                <w:b/>
                <w:spacing w:val="-6"/>
                <w:sz w:val="21"/>
              </w:rPr>
              <w:t>年均</w:t>
            </w:r>
            <w:r>
              <w:rPr>
                <w:rFonts w:ascii="宋体" w:hAnsi="宋体" w:eastAsia="宋体" w:cs="宋体"/>
                <w:b/>
                <w:spacing w:val="-5"/>
                <w:w w:val="95"/>
                <w:sz w:val="21"/>
              </w:rPr>
              <w:t>增速</w:t>
            </w:r>
          </w:p>
        </w:tc>
        <w:tc>
          <w:tcPr>
            <w:tcW w:w="871" w:type="dxa"/>
          </w:tcPr>
          <w:p w14:paraId="6B502632">
            <w:pPr>
              <w:spacing w:before="3"/>
              <w:rPr>
                <w:rFonts w:ascii="黑体" w:hAnsi="宋体" w:eastAsia="宋体" w:cs="宋体"/>
                <w:sz w:val="24"/>
              </w:rPr>
            </w:pPr>
          </w:p>
          <w:p w14:paraId="7CD64C83">
            <w:pPr>
              <w:spacing w:line="355" w:lineRule="auto"/>
              <w:ind w:left="225" w:right="203"/>
              <w:rPr>
                <w:rFonts w:ascii="宋体" w:hAnsi="宋体" w:eastAsia="宋体" w:cs="宋体"/>
                <w:b/>
                <w:sz w:val="21"/>
              </w:rPr>
            </w:pPr>
            <w:r>
              <w:rPr>
                <w:rFonts w:ascii="宋体" w:hAnsi="宋体" w:eastAsia="宋体" w:cs="宋体"/>
                <w:b/>
                <w:spacing w:val="-6"/>
                <w:sz w:val="21"/>
              </w:rPr>
              <w:t>指标</w:t>
            </w:r>
            <w:r>
              <w:rPr>
                <w:rFonts w:ascii="宋体" w:hAnsi="宋体" w:eastAsia="宋体" w:cs="宋体"/>
                <w:b/>
                <w:spacing w:val="-5"/>
                <w:w w:val="95"/>
                <w:sz w:val="21"/>
              </w:rPr>
              <w:t>属性</w:t>
            </w:r>
          </w:p>
        </w:tc>
      </w:tr>
      <w:tr w14:paraId="25059B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restart"/>
          </w:tcPr>
          <w:p w14:paraId="3D299C68">
            <w:pPr>
              <w:rPr>
                <w:rFonts w:ascii="黑体" w:hAnsi="宋体" w:eastAsia="宋体" w:cs="宋体"/>
                <w:sz w:val="20"/>
              </w:rPr>
            </w:pPr>
          </w:p>
          <w:p w14:paraId="0062139B">
            <w:pPr>
              <w:rPr>
                <w:rFonts w:ascii="黑体" w:hAnsi="宋体" w:eastAsia="宋体" w:cs="宋体"/>
                <w:sz w:val="20"/>
              </w:rPr>
            </w:pPr>
          </w:p>
          <w:p w14:paraId="4D96E245">
            <w:pPr>
              <w:rPr>
                <w:rFonts w:ascii="黑体" w:hAnsi="宋体" w:eastAsia="宋体" w:cs="宋体"/>
                <w:sz w:val="20"/>
              </w:rPr>
            </w:pPr>
          </w:p>
          <w:p w14:paraId="30735D6A">
            <w:pPr>
              <w:rPr>
                <w:rFonts w:ascii="黑体" w:hAnsi="宋体" w:eastAsia="宋体" w:cs="宋体"/>
                <w:sz w:val="20"/>
              </w:rPr>
            </w:pPr>
          </w:p>
          <w:p w14:paraId="54D38665">
            <w:pPr>
              <w:rPr>
                <w:rFonts w:ascii="黑体" w:hAnsi="宋体" w:eastAsia="宋体" w:cs="宋体"/>
                <w:sz w:val="20"/>
              </w:rPr>
            </w:pPr>
          </w:p>
          <w:p w14:paraId="51D7B731">
            <w:pPr>
              <w:rPr>
                <w:rFonts w:ascii="黑体" w:hAnsi="宋体" w:eastAsia="宋体" w:cs="宋体"/>
                <w:sz w:val="20"/>
              </w:rPr>
            </w:pPr>
          </w:p>
          <w:p w14:paraId="5B9BBF38">
            <w:pPr>
              <w:rPr>
                <w:rFonts w:ascii="黑体" w:hAnsi="宋体" w:eastAsia="宋体" w:cs="宋体"/>
                <w:sz w:val="20"/>
              </w:rPr>
            </w:pPr>
          </w:p>
          <w:p w14:paraId="0103C12E">
            <w:pPr>
              <w:rPr>
                <w:rFonts w:ascii="黑体" w:hAnsi="宋体" w:eastAsia="宋体" w:cs="宋体"/>
                <w:sz w:val="20"/>
              </w:rPr>
            </w:pPr>
          </w:p>
          <w:p w14:paraId="0816C287">
            <w:pPr>
              <w:spacing w:before="11"/>
              <w:rPr>
                <w:rFonts w:ascii="黑体" w:hAnsi="宋体" w:eastAsia="宋体" w:cs="宋体"/>
                <w:sz w:val="24"/>
              </w:rPr>
            </w:pPr>
          </w:p>
          <w:p w14:paraId="6C316D17">
            <w:pPr>
              <w:spacing w:before="1" w:line="278" w:lineRule="auto"/>
              <w:ind w:left="107" w:right="146"/>
              <w:rPr>
                <w:rFonts w:ascii="宋体" w:hAnsi="宋体" w:eastAsia="宋体" w:cs="宋体"/>
                <w:b/>
                <w:sz w:val="21"/>
              </w:rPr>
            </w:pPr>
            <w:r>
              <w:rPr>
                <w:rFonts w:ascii="宋体" w:hAnsi="宋体" w:eastAsia="宋体" w:cs="宋体"/>
                <w:b/>
                <w:spacing w:val="-6"/>
                <w:sz w:val="21"/>
              </w:rPr>
              <w:t>综合</w:t>
            </w:r>
            <w:r>
              <w:rPr>
                <w:rFonts w:ascii="宋体" w:hAnsi="宋体" w:eastAsia="宋体" w:cs="宋体"/>
                <w:b/>
                <w:spacing w:val="-5"/>
                <w:w w:val="95"/>
                <w:sz w:val="21"/>
              </w:rPr>
              <w:t>质效</w:t>
            </w:r>
          </w:p>
        </w:tc>
        <w:tc>
          <w:tcPr>
            <w:tcW w:w="3766" w:type="dxa"/>
          </w:tcPr>
          <w:p w14:paraId="3F32EB9A">
            <w:pPr>
              <w:spacing w:before="43"/>
              <w:ind w:left="107"/>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1</w:t>
            </w:r>
            <w:r>
              <w:rPr>
                <w:rFonts w:ascii="宋体" w:hAnsi="宋体" w:eastAsia="宋体" w:cs="宋体"/>
                <w:w w:val="95"/>
                <w:sz w:val="21"/>
              </w:rPr>
              <w:t>）地区生产总值（亿元</w:t>
            </w:r>
            <w:r>
              <w:rPr>
                <w:rFonts w:ascii="宋体" w:hAnsi="宋体" w:eastAsia="宋体" w:cs="宋体"/>
                <w:spacing w:val="-5"/>
                <w:w w:val="95"/>
                <w:sz w:val="21"/>
              </w:rPr>
              <w:t>）</w:t>
            </w:r>
            <w:r>
              <w:rPr>
                <w:rFonts w:ascii="Times New Roman" w:hAnsi="宋体" w:eastAsia="Times New Roman" w:cs="宋体"/>
                <w:spacing w:val="-5"/>
                <w:w w:val="95"/>
                <w:sz w:val="21"/>
              </w:rPr>
              <w:t>*</w:t>
            </w:r>
          </w:p>
        </w:tc>
        <w:tc>
          <w:tcPr>
            <w:tcW w:w="1011" w:type="dxa"/>
          </w:tcPr>
          <w:p w14:paraId="1F8545E5">
            <w:pPr>
              <w:spacing w:before="57"/>
              <w:ind w:left="148" w:right="131"/>
              <w:jc w:val="center"/>
              <w:rPr>
                <w:rFonts w:ascii="Times New Roman" w:hAnsi="宋体" w:eastAsia="宋体" w:cs="宋体"/>
                <w:sz w:val="21"/>
              </w:rPr>
            </w:pPr>
            <w:r>
              <w:rPr>
                <w:rFonts w:ascii="Times New Roman" w:hAnsi="宋体" w:eastAsia="宋体" w:cs="宋体"/>
                <w:spacing w:val="-2"/>
                <w:sz w:val="21"/>
              </w:rPr>
              <w:t>172.6</w:t>
            </w:r>
          </w:p>
        </w:tc>
        <w:tc>
          <w:tcPr>
            <w:tcW w:w="978" w:type="dxa"/>
          </w:tcPr>
          <w:p w14:paraId="56D71897">
            <w:pPr>
              <w:spacing w:before="57"/>
              <w:ind w:left="133" w:right="113"/>
              <w:jc w:val="center"/>
              <w:rPr>
                <w:rFonts w:ascii="Times New Roman" w:hAnsi="宋体" w:eastAsia="宋体" w:cs="宋体"/>
                <w:sz w:val="21"/>
              </w:rPr>
            </w:pPr>
            <w:r>
              <w:rPr>
                <w:rFonts w:ascii="Times New Roman" w:hAnsi="宋体" w:eastAsia="宋体" w:cs="宋体"/>
                <w:spacing w:val="-2"/>
                <w:sz w:val="21"/>
              </w:rPr>
              <w:t>301.66</w:t>
            </w:r>
          </w:p>
        </w:tc>
        <w:tc>
          <w:tcPr>
            <w:tcW w:w="944" w:type="dxa"/>
          </w:tcPr>
          <w:p w14:paraId="14D72DC1">
            <w:pPr>
              <w:spacing w:before="57"/>
              <w:ind w:left="302" w:right="282"/>
              <w:jc w:val="center"/>
              <w:rPr>
                <w:rFonts w:ascii="Times New Roman" w:hAnsi="宋体" w:eastAsia="宋体" w:cs="宋体"/>
                <w:sz w:val="21"/>
              </w:rPr>
            </w:pPr>
            <w:r>
              <w:rPr>
                <w:rFonts w:ascii="Times New Roman" w:hAnsi="宋体" w:eastAsia="宋体" w:cs="宋体"/>
                <w:spacing w:val="-5"/>
                <w:sz w:val="21"/>
              </w:rPr>
              <w:t>450</w:t>
            </w:r>
          </w:p>
        </w:tc>
        <w:tc>
          <w:tcPr>
            <w:tcW w:w="914" w:type="dxa"/>
          </w:tcPr>
          <w:p w14:paraId="1E02F0E0">
            <w:pPr>
              <w:spacing w:before="57"/>
              <w:ind w:left="300" w:right="283"/>
              <w:jc w:val="center"/>
              <w:rPr>
                <w:rFonts w:ascii="Times New Roman" w:hAnsi="宋体" w:eastAsia="宋体" w:cs="宋体"/>
                <w:sz w:val="21"/>
              </w:rPr>
            </w:pPr>
            <w:r>
              <w:rPr>
                <w:rFonts w:ascii="Times New Roman" w:hAnsi="宋体" w:eastAsia="宋体" w:cs="宋体"/>
                <w:spacing w:val="-5"/>
                <w:sz w:val="21"/>
              </w:rPr>
              <w:t>6%</w:t>
            </w:r>
          </w:p>
        </w:tc>
        <w:tc>
          <w:tcPr>
            <w:tcW w:w="871" w:type="dxa"/>
          </w:tcPr>
          <w:p w14:paraId="71DF77D8">
            <w:pPr>
              <w:spacing w:before="43"/>
              <w:ind w:left="119"/>
              <w:rPr>
                <w:rFonts w:ascii="宋体" w:hAnsi="宋体" w:eastAsia="宋体" w:cs="宋体"/>
                <w:sz w:val="21"/>
              </w:rPr>
            </w:pPr>
            <w:r>
              <w:rPr>
                <w:rFonts w:ascii="宋体" w:hAnsi="宋体" w:eastAsia="宋体" w:cs="宋体"/>
                <w:spacing w:val="-4"/>
                <w:w w:val="95"/>
                <w:sz w:val="21"/>
              </w:rPr>
              <w:t>预期性</w:t>
            </w:r>
          </w:p>
        </w:tc>
      </w:tr>
      <w:tr w14:paraId="473789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tcBorders>
          </w:tcPr>
          <w:p w14:paraId="6332C9D0">
            <w:pPr>
              <w:rPr>
                <w:sz w:val="2"/>
                <w:szCs w:val="2"/>
              </w:rPr>
            </w:pPr>
          </w:p>
        </w:tc>
        <w:tc>
          <w:tcPr>
            <w:tcW w:w="3766" w:type="dxa"/>
          </w:tcPr>
          <w:p w14:paraId="2E751BB6">
            <w:pPr>
              <w:spacing w:before="43"/>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2</w:t>
            </w:r>
            <w:r>
              <w:rPr>
                <w:rFonts w:ascii="宋体" w:hAnsi="宋体" w:eastAsia="宋体" w:cs="宋体"/>
                <w:w w:val="95"/>
                <w:sz w:val="21"/>
              </w:rPr>
              <w:t>）人均</w:t>
            </w:r>
            <w:r>
              <w:rPr>
                <w:rFonts w:ascii="宋体" w:hAnsi="宋体" w:eastAsia="宋体" w:cs="宋体"/>
                <w:spacing w:val="28"/>
                <w:sz w:val="21"/>
              </w:rPr>
              <w:t xml:space="preserve"> </w:t>
            </w:r>
            <w:r>
              <w:rPr>
                <w:rFonts w:ascii="Times New Roman" w:hAnsi="宋体" w:eastAsia="Times New Roman" w:cs="宋体"/>
                <w:w w:val="95"/>
                <w:sz w:val="21"/>
              </w:rPr>
              <w:t>GDP</w:t>
            </w:r>
            <w:r>
              <w:rPr>
                <w:rFonts w:ascii="宋体" w:hAnsi="宋体" w:eastAsia="宋体" w:cs="宋体"/>
                <w:w w:val="95"/>
                <w:sz w:val="21"/>
              </w:rPr>
              <w:t>（万元</w:t>
            </w:r>
            <w:r>
              <w:rPr>
                <w:rFonts w:ascii="宋体" w:hAnsi="宋体" w:eastAsia="宋体" w:cs="宋体"/>
                <w:spacing w:val="-10"/>
                <w:w w:val="95"/>
                <w:sz w:val="21"/>
              </w:rPr>
              <w:t>）</w:t>
            </w:r>
          </w:p>
        </w:tc>
        <w:tc>
          <w:tcPr>
            <w:tcW w:w="1011" w:type="dxa"/>
          </w:tcPr>
          <w:p w14:paraId="5DB4E537">
            <w:pPr>
              <w:spacing w:before="57"/>
              <w:ind w:left="148" w:right="129"/>
              <w:jc w:val="center"/>
              <w:rPr>
                <w:rFonts w:ascii="Times New Roman" w:hAnsi="宋体" w:eastAsia="宋体" w:cs="宋体"/>
                <w:sz w:val="21"/>
              </w:rPr>
            </w:pPr>
            <w:r>
              <w:rPr>
                <w:rFonts w:ascii="Times New Roman" w:hAnsi="宋体" w:eastAsia="宋体" w:cs="宋体"/>
                <w:spacing w:val="-4"/>
                <w:sz w:val="21"/>
              </w:rPr>
              <w:t>5.78</w:t>
            </w:r>
          </w:p>
        </w:tc>
        <w:tc>
          <w:tcPr>
            <w:tcW w:w="978" w:type="dxa"/>
          </w:tcPr>
          <w:p w14:paraId="7FCA4F7C">
            <w:pPr>
              <w:spacing w:before="57"/>
              <w:ind w:left="17"/>
              <w:jc w:val="center"/>
              <w:rPr>
                <w:rFonts w:ascii="Times New Roman" w:hAnsi="宋体" w:eastAsia="宋体" w:cs="宋体"/>
                <w:sz w:val="21"/>
              </w:rPr>
            </w:pPr>
            <w:r>
              <w:rPr>
                <w:rFonts w:ascii="Times New Roman" w:hAnsi="宋体" w:eastAsia="宋体" w:cs="宋体"/>
                <w:w w:val="99"/>
                <w:sz w:val="21"/>
              </w:rPr>
              <w:t>5</w:t>
            </w:r>
          </w:p>
        </w:tc>
        <w:tc>
          <w:tcPr>
            <w:tcW w:w="944" w:type="dxa"/>
          </w:tcPr>
          <w:p w14:paraId="0F584674">
            <w:pPr>
              <w:spacing w:before="57"/>
              <w:ind w:left="15"/>
              <w:jc w:val="center"/>
              <w:rPr>
                <w:rFonts w:ascii="Times New Roman" w:hAnsi="宋体" w:eastAsia="宋体" w:cs="宋体"/>
                <w:sz w:val="21"/>
              </w:rPr>
            </w:pPr>
            <w:r>
              <w:rPr>
                <w:rFonts w:ascii="Times New Roman" w:hAnsi="宋体" w:eastAsia="宋体" w:cs="宋体"/>
                <w:w w:val="99"/>
                <w:sz w:val="21"/>
              </w:rPr>
              <w:t>6</w:t>
            </w:r>
          </w:p>
        </w:tc>
        <w:tc>
          <w:tcPr>
            <w:tcW w:w="914" w:type="dxa"/>
          </w:tcPr>
          <w:p w14:paraId="4893941A">
            <w:pPr>
              <w:spacing w:before="57"/>
              <w:ind w:right="217"/>
              <w:jc w:val="right"/>
              <w:rPr>
                <w:rFonts w:ascii="Times New Roman" w:hAnsi="宋体" w:eastAsia="宋体" w:cs="宋体"/>
                <w:sz w:val="21"/>
              </w:rPr>
            </w:pPr>
            <w:r>
              <w:rPr>
                <w:rFonts w:ascii="Times New Roman" w:hAnsi="宋体" w:eastAsia="宋体" w:cs="宋体"/>
                <w:spacing w:val="-4"/>
                <w:sz w:val="21"/>
              </w:rPr>
              <w:t>5.5%</w:t>
            </w:r>
          </w:p>
        </w:tc>
        <w:tc>
          <w:tcPr>
            <w:tcW w:w="871" w:type="dxa"/>
          </w:tcPr>
          <w:p w14:paraId="60A5799E">
            <w:pPr>
              <w:spacing w:before="43"/>
              <w:ind w:left="119"/>
              <w:rPr>
                <w:rFonts w:ascii="宋体" w:hAnsi="宋体" w:eastAsia="宋体" w:cs="宋体"/>
                <w:sz w:val="21"/>
              </w:rPr>
            </w:pPr>
            <w:r>
              <w:rPr>
                <w:rFonts w:ascii="宋体" w:hAnsi="宋体" w:eastAsia="宋体" w:cs="宋体"/>
                <w:spacing w:val="-4"/>
                <w:w w:val="95"/>
                <w:sz w:val="21"/>
              </w:rPr>
              <w:t>预期性</w:t>
            </w:r>
          </w:p>
        </w:tc>
      </w:tr>
      <w:tr w14:paraId="30900F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696" w:type="dxa"/>
            <w:vMerge w:val="continue"/>
            <w:tcBorders>
              <w:top w:val="nil"/>
            </w:tcBorders>
          </w:tcPr>
          <w:p w14:paraId="38B12A4C">
            <w:pPr>
              <w:rPr>
                <w:sz w:val="2"/>
                <w:szCs w:val="2"/>
              </w:rPr>
            </w:pPr>
          </w:p>
        </w:tc>
        <w:tc>
          <w:tcPr>
            <w:tcW w:w="3766" w:type="dxa"/>
          </w:tcPr>
          <w:p w14:paraId="7FB069DE">
            <w:pPr>
              <w:spacing w:before="196"/>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3</w:t>
            </w:r>
            <w:r>
              <w:rPr>
                <w:rFonts w:ascii="宋体" w:hAnsi="宋体" w:eastAsia="宋体" w:cs="宋体"/>
                <w:w w:val="95"/>
                <w:sz w:val="21"/>
              </w:rPr>
              <w:t>）社会消费品零售总额增速</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2DDA55B2">
            <w:pPr>
              <w:spacing w:before="4"/>
              <w:rPr>
                <w:rFonts w:ascii="黑体" w:hAnsi="宋体" w:eastAsia="宋体" w:cs="宋体"/>
                <w:sz w:val="16"/>
              </w:rPr>
            </w:pPr>
          </w:p>
          <w:p w14:paraId="2C1664CF">
            <w:pPr>
              <w:spacing w:before="1"/>
              <w:ind w:left="148" w:right="129"/>
              <w:jc w:val="center"/>
              <w:rPr>
                <w:rFonts w:ascii="Times New Roman" w:hAnsi="宋体" w:eastAsia="宋体" w:cs="宋体"/>
                <w:sz w:val="21"/>
              </w:rPr>
            </w:pPr>
            <w:r>
              <w:rPr>
                <w:rFonts w:ascii="Times New Roman" w:hAnsi="宋体" w:eastAsia="宋体" w:cs="宋体"/>
                <w:spacing w:val="-5"/>
                <w:sz w:val="21"/>
              </w:rPr>
              <w:t>7.5</w:t>
            </w:r>
          </w:p>
        </w:tc>
        <w:tc>
          <w:tcPr>
            <w:tcW w:w="978" w:type="dxa"/>
          </w:tcPr>
          <w:p w14:paraId="72261630">
            <w:pPr>
              <w:spacing w:before="4"/>
              <w:rPr>
                <w:rFonts w:ascii="黑体" w:hAnsi="宋体" w:eastAsia="宋体" w:cs="宋体"/>
                <w:sz w:val="16"/>
              </w:rPr>
            </w:pPr>
          </w:p>
          <w:p w14:paraId="3A2E2A19">
            <w:pPr>
              <w:spacing w:before="1"/>
              <w:ind w:left="133" w:right="113"/>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5"/>
                <w:sz w:val="21"/>
              </w:rPr>
              <w:t>8.2</w:t>
            </w:r>
          </w:p>
        </w:tc>
        <w:tc>
          <w:tcPr>
            <w:tcW w:w="944" w:type="dxa"/>
          </w:tcPr>
          <w:p w14:paraId="1811C1E6">
            <w:pPr>
              <w:spacing w:before="4"/>
              <w:rPr>
                <w:rFonts w:ascii="黑体" w:hAnsi="宋体" w:eastAsia="宋体" w:cs="宋体"/>
                <w:sz w:val="16"/>
              </w:rPr>
            </w:pPr>
          </w:p>
          <w:p w14:paraId="7C484C99">
            <w:pPr>
              <w:spacing w:before="1"/>
              <w:ind w:left="301"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14" w:type="dxa"/>
          </w:tcPr>
          <w:p w14:paraId="7CAF84B0">
            <w:pPr>
              <w:spacing w:before="4"/>
              <w:rPr>
                <w:rFonts w:ascii="黑体" w:hAnsi="宋体" w:eastAsia="宋体" w:cs="宋体"/>
                <w:sz w:val="16"/>
              </w:rPr>
            </w:pPr>
          </w:p>
          <w:p w14:paraId="74823E8F">
            <w:pPr>
              <w:spacing w:before="1"/>
              <w:ind w:left="300" w:right="283"/>
              <w:jc w:val="center"/>
              <w:rPr>
                <w:rFonts w:ascii="Times New Roman" w:hAnsi="宋体" w:eastAsia="宋体" w:cs="宋体"/>
                <w:sz w:val="21"/>
              </w:rPr>
            </w:pPr>
            <w:r>
              <w:rPr>
                <w:rFonts w:ascii="Times New Roman" w:hAnsi="宋体" w:eastAsia="宋体" w:cs="宋体"/>
                <w:spacing w:val="-5"/>
                <w:sz w:val="21"/>
              </w:rPr>
              <w:t>7%</w:t>
            </w:r>
          </w:p>
        </w:tc>
        <w:tc>
          <w:tcPr>
            <w:tcW w:w="871" w:type="dxa"/>
          </w:tcPr>
          <w:p w14:paraId="43A6E012">
            <w:pPr>
              <w:spacing w:before="3"/>
              <w:rPr>
                <w:rFonts w:ascii="黑体" w:hAnsi="宋体" w:eastAsia="宋体" w:cs="宋体"/>
                <w:sz w:val="15"/>
              </w:rPr>
            </w:pPr>
          </w:p>
          <w:p w14:paraId="73EEF092">
            <w:pPr>
              <w:spacing w:before="1"/>
              <w:ind w:left="119"/>
              <w:rPr>
                <w:rFonts w:ascii="宋体" w:hAnsi="宋体" w:eastAsia="宋体" w:cs="宋体"/>
                <w:sz w:val="21"/>
              </w:rPr>
            </w:pPr>
            <w:r>
              <w:rPr>
                <w:rFonts w:ascii="宋体" w:hAnsi="宋体" w:eastAsia="宋体" w:cs="宋体"/>
                <w:spacing w:val="-4"/>
                <w:w w:val="95"/>
                <w:sz w:val="21"/>
              </w:rPr>
              <w:t>预期性</w:t>
            </w:r>
          </w:p>
        </w:tc>
      </w:tr>
      <w:tr w14:paraId="1E406C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8" w:hRule="atLeast"/>
        </w:trPr>
        <w:tc>
          <w:tcPr>
            <w:tcW w:w="696" w:type="dxa"/>
            <w:vMerge w:val="continue"/>
            <w:tcBorders>
              <w:top w:val="nil"/>
            </w:tcBorders>
          </w:tcPr>
          <w:p w14:paraId="21B5EC10">
            <w:pPr>
              <w:rPr>
                <w:sz w:val="2"/>
                <w:szCs w:val="2"/>
              </w:rPr>
            </w:pPr>
          </w:p>
        </w:tc>
        <w:tc>
          <w:tcPr>
            <w:tcW w:w="3766" w:type="dxa"/>
          </w:tcPr>
          <w:p w14:paraId="5B2DEC97">
            <w:pPr>
              <w:spacing w:before="45"/>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4</w:t>
            </w:r>
            <w:r>
              <w:rPr>
                <w:rFonts w:ascii="宋体" w:hAnsi="宋体" w:eastAsia="宋体" w:cs="宋体"/>
                <w:w w:val="95"/>
                <w:sz w:val="21"/>
              </w:rPr>
              <w:t>）全社会固定资产投资（亿元</w:t>
            </w:r>
            <w:r>
              <w:rPr>
                <w:rFonts w:ascii="宋体" w:hAnsi="宋体" w:eastAsia="宋体" w:cs="宋体"/>
                <w:spacing w:val="-10"/>
                <w:w w:val="95"/>
                <w:sz w:val="21"/>
              </w:rPr>
              <w:t>）</w:t>
            </w:r>
          </w:p>
        </w:tc>
        <w:tc>
          <w:tcPr>
            <w:tcW w:w="1011" w:type="dxa"/>
          </w:tcPr>
          <w:p w14:paraId="0BDA4156">
            <w:pPr>
              <w:spacing w:before="59"/>
              <w:ind w:left="148" w:right="129"/>
              <w:jc w:val="center"/>
              <w:rPr>
                <w:rFonts w:ascii="Times New Roman" w:hAnsi="宋体" w:eastAsia="宋体" w:cs="宋体"/>
                <w:sz w:val="21"/>
              </w:rPr>
            </w:pPr>
            <w:r>
              <w:rPr>
                <w:rFonts w:ascii="Times New Roman" w:hAnsi="宋体" w:eastAsia="宋体" w:cs="宋体"/>
                <w:spacing w:val="-2"/>
                <w:sz w:val="21"/>
              </w:rPr>
              <w:t>301.9</w:t>
            </w:r>
          </w:p>
        </w:tc>
        <w:tc>
          <w:tcPr>
            <w:tcW w:w="978" w:type="dxa"/>
          </w:tcPr>
          <w:p w14:paraId="4F0949F9">
            <w:pPr>
              <w:spacing w:before="59"/>
              <w:ind w:left="131" w:right="114"/>
              <w:jc w:val="center"/>
              <w:rPr>
                <w:rFonts w:ascii="Times New Roman" w:hAnsi="宋体" w:eastAsia="宋体" w:cs="宋体"/>
                <w:sz w:val="21"/>
              </w:rPr>
            </w:pPr>
            <w:r>
              <w:rPr>
                <w:rFonts w:ascii="Times New Roman" w:hAnsi="宋体" w:eastAsia="宋体" w:cs="宋体"/>
                <w:spacing w:val="-5"/>
                <w:sz w:val="21"/>
              </w:rPr>
              <w:t>205</w:t>
            </w:r>
          </w:p>
        </w:tc>
        <w:tc>
          <w:tcPr>
            <w:tcW w:w="944" w:type="dxa"/>
          </w:tcPr>
          <w:p w14:paraId="3267A51B">
            <w:pPr>
              <w:spacing w:before="59"/>
              <w:ind w:left="301"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14" w:type="dxa"/>
          </w:tcPr>
          <w:p w14:paraId="4D35D9DE">
            <w:pPr>
              <w:spacing w:before="59"/>
              <w:ind w:left="300" w:right="283"/>
              <w:jc w:val="center"/>
              <w:rPr>
                <w:rFonts w:ascii="Times New Roman" w:hAnsi="宋体" w:eastAsia="宋体" w:cs="宋体"/>
                <w:sz w:val="21"/>
              </w:rPr>
            </w:pPr>
            <w:r>
              <w:rPr>
                <w:rFonts w:ascii="Times New Roman" w:hAnsi="宋体" w:eastAsia="宋体" w:cs="宋体"/>
                <w:spacing w:val="-5"/>
                <w:sz w:val="21"/>
              </w:rPr>
              <w:t>3%</w:t>
            </w:r>
          </w:p>
        </w:tc>
        <w:tc>
          <w:tcPr>
            <w:tcW w:w="871" w:type="dxa"/>
          </w:tcPr>
          <w:p w14:paraId="25F40A6B">
            <w:pPr>
              <w:spacing w:before="45"/>
              <w:ind w:left="119"/>
              <w:rPr>
                <w:rFonts w:ascii="宋体" w:hAnsi="宋体" w:eastAsia="宋体" w:cs="宋体"/>
                <w:sz w:val="21"/>
              </w:rPr>
            </w:pPr>
            <w:r>
              <w:rPr>
                <w:rFonts w:ascii="宋体" w:hAnsi="宋体" w:eastAsia="宋体" w:cs="宋体"/>
                <w:spacing w:val="-4"/>
                <w:w w:val="95"/>
                <w:sz w:val="21"/>
              </w:rPr>
              <w:t>预期性</w:t>
            </w:r>
          </w:p>
        </w:tc>
      </w:tr>
      <w:tr w14:paraId="42EE44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tcBorders>
          </w:tcPr>
          <w:p w14:paraId="288F9590">
            <w:pPr>
              <w:rPr>
                <w:sz w:val="2"/>
                <w:szCs w:val="2"/>
              </w:rPr>
            </w:pPr>
          </w:p>
        </w:tc>
        <w:tc>
          <w:tcPr>
            <w:tcW w:w="3766" w:type="dxa"/>
          </w:tcPr>
          <w:p w14:paraId="27698317">
            <w:pPr>
              <w:spacing w:before="44"/>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5</w:t>
            </w:r>
            <w:r>
              <w:rPr>
                <w:rFonts w:ascii="宋体" w:hAnsi="宋体" w:eastAsia="宋体" w:cs="宋体"/>
                <w:w w:val="95"/>
                <w:sz w:val="21"/>
              </w:rPr>
              <w:t>）地方财政收入（亿元</w:t>
            </w:r>
            <w:r>
              <w:rPr>
                <w:rFonts w:ascii="宋体" w:hAnsi="宋体" w:eastAsia="宋体" w:cs="宋体"/>
                <w:spacing w:val="-10"/>
                <w:w w:val="95"/>
                <w:sz w:val="21"/>
              </w:rPr>
              <w:t>）</w:t>
            </w:r>
          </w:p>
        </w:tc>
        <w:tc>
          <w:tcPr>
            <w:tcW w:w="1011" w:type="dxa"/>
          </w:tcPr>
          <w:p w14:paraId="15D6D1AA">
            <w:pPr>
              <w:spacing w:before="58"/>
              <w:ind w:left="148" w:right="129"/>
              <w:jc w:val="center"/>
              <w:rPr>
                <w:rFonts w:ascii="Times New Roman" w:hAnsi="宋体" w:eastAsia="宋体" w:cs="宋体"/>
                <w:sz w:val="21"/>
              </w:rPr>
            </w:pPr>
            <w:r>
              <w:rPr>
                <w:rFonts w:ascii="Times New Roman" w:hAnsi="宋体" w:eastAsia="宋体" w:cs="宋体"/>
                <w:spacing w:val="-5"/>
                <w:sz w:val="21"/>
              </w:rPr>
              <w:t>5.3</w:t>
            </w:r>
          </w:p>
        </w:tc>
        <w:tc>
          <w:tcPr>
            <w:tcW w:w="978" w:type="dxa"/>
          </w:tcPr>
          <w:p w14:paraId="6D362519">
            <w:pPr>
              <w:spacing w:before="58"/>
              <w:ind w:left="131" w:right="114"/>
              <w:jc w:val="center"/>
              <w:rPr>
                <w:rFonts w:ascii="Times New Roman" w:hAnsi="宋体" w:eastAsia="宋体" w:cs="宋体"/>
                <w:sz w:val="21"/>
              </w:rPr>
            </w:pPr>
            <w:r>
              <w:rPr>
                <w:rFonts w:ascii="Times New Roman" w:hAnsi="宋体" w:eastAsia="宋体" w:cs="宋体"/>
                <w:spacing w:val="-5"/>
                <w:sz w:val="21"/>
              </w:rPr>
              <w:t>7.7</w:t>
            </w:r>
          </w:p>
        </w:tc>
        <w:tc>
          <w:tcPr>
            <w:tcW w:w="944" w:type="dxa"/>
          </w:tcPr>
          <w:p w14:paraId="513A0EB7">
            <w:pPr>
              <w:spacing w:before="58"/>
              <w:ind w:left="302" w:right="282"/>
              <w:jc w:val="center"/>
              <w:rPr>
                <w:rFonts w:ascii="Times New Roman" w:hAnsi="宋体" w:eastAsia="宋体" w:cs="宋体"/>
                <w:sz w:val="21"/>
              </w:rPr>
            </w:pPr>
            <w:r>
              <w:rPr>
                <w:rFonts w:ascii="Times New Roman" w:hAnsi="宋体" w:eastAsia="宋体" w:cs="宋体"/>
                <w:spacing w:val="-5"/>
                <w:sz w:val="21"/>
              </w:rPr>
              <w:t>9.6</w:t>
            </w:r>
          </w:p>
        </w:tc>
        <w:tc>
          <w:tcPr>
            <w:tcW w:w="914" w:type="dxa"/>
          </w:tcPr>
          <w:p w14:paraId="3B536C34">
            <w:pPr>
              <w:spacing w:before="58"/>
              <w:ind w:left="300" w:right="283"/>
              <w:jc w:val="center"/>
              <w:rPr>
                <w:rFonts w:ascii="Times New Roman" w:hAnsi="宋体" w:eastAsia="宋体" w:cs="宋体"/>
                <w:sz w:val="21"/>
              </w:rPr>
            </w:pPr>
            <w:r>
              <w:rPr>
                <w:rFonts w:ascii="Times New Roman" w:hAnsi="宋体" w:eastAsia="宋体" w:cs="宋体"/>
                <w:spacing w:val="-5"/>
                <w:sz w:val="21"/>
              </w:rPr>
              <w:t>5%</w:t>
            </w:r>
          </w:p>
        </w:tc>
        <w:tc>
          <w:tcPr>
            <w:tcW w:w="871" w:type="dxa"/>
          </w:tcPr>
          <w:p w14:paraId="0A6AEC0C">
            <w:pPr>
              <w:spacing w:before="44"/>
              <w:ind w:left="119"/>
              <w:rPr>
                <w:rFonts w:ascii="宋体" w:hAnsi="宋体" w:eastAsia="宋体" w:cs="宋体"/>
                <w:sz w:val="21"/>
              </w:rPr>
            </w:pPr>
            <w:r>
              <w:rPr>
                <w:rFonts w:ascii="宋体" w:hAnsi="宋体" w:eastAsia="宋体" w:cs="宋体"/>
                <w:spacing w:val="-4"/>
                <w:w w:val="95"/>
                <w:sz w:val="21"/>
              </w:rPr>
              <w:t>预期性</w:t>
            </w:r>
          </w:p>
        </w:tc>
      </w:tr>
      <w:tr w14:paraId="217A36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tcBorders>
          </w:tcPr>
          <w:p w14:paraId="49B68430">
            <w:pPr>
              <w:rPr>
                <w:sz w:val="2"/>
                <w:szCs w:val="2"/>
              </w:rPr>
            </w:pPr>
          </w:p>
        </w:tc>
        <w:tc>
          <w:tcPr>
            <w:tcW w:w="3766" w:type="dxa"/>
          </w:tcPr>
          <w:p w14:paraId="79FA05DE">
            <w:pPr>
              <w:spacing w:before="45"/>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6</w:t>
            </w:r>
            <w:r>
              <w:rPr>
                <w:rFonts w:ascii="宋体" w:hAnsi="宋体" w:eastAsia="宋体" w:cs="宋体"/>
                <w:w w:val="95"/>
                <w:sz w:val="21"/>
              </w:rPr>
              <w:t>）服务业增加值占</w:t>
            </w:r>
            <w:r>
              <w:rPr>
                <w:rFonts w:ascii="宋体" w:hAnsi="宋体" w:eastAsia="宋体" w:cs="宋体"/>
                <w:spacing w:val="9"/>
                <w:sz w:val="21"/>
              </w:rPr>
              <w:t xml:space="preserve"> </w:t>
            </w:r>
            <w:r>
              <w:rPr>
                <w:rFonts w:ascii="Times New Roman" w:hAnsi="宋体" w:eastAsia="Times New Roman" w:cs="宋体"/>
                <w:w w:val="95"/>
                <w:sz w:val="21"/>
              </w:rPr>
              <w:t>GDP</w:t>
            </w:r>
            <w:r>
              <w:rPr>
                <w:rFonts w:ascii="Times New Roman" w:hAnsi="宋体" w:eastAsia="Times New Roman" w:cs="宋体"/>
                <w:spacing w:val="58"/>
                <w:sz w:val="21"/>
              </w:rPr>
              <w:t xml:space="preserve"> </w:t>
            </w:r>
            <w:r>
              <w:rPr>
                <w:rFonts w:ascii="宋体" w:hAnsi="宋体" w:eastAsia="宋体" w:cs="宋体"/>
                <w:w w:val="95"/>
                <w:sz w:val="21"/>
              </w:rPr>
              <w:t>比重</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07C00D17">
            <w:pPr>
              <w:spacing w:before="59"/>
              <w:ind w:left="148" w:right="129"/>
              <w:jc w:val="center"/>
              <w:rPr>
                <w:rFonts w:ascii="Times New Roman" w:hAnsi="宋体" w:eastAsia="宋体" w:cs="宋体"/>
                <w:sz w:val="21"/>
              </w:rPr>
            </w:pPr>
            <w:r>
              <w:rPr>
                <w:rFonts w:ascii="Times New Roman" w:hAnsi="宋体" w:eastAsia="宋体" w:cs="宋体"/>
                <w:spacing w:val="-4"/>
                <w:sz w:val="21"/>
              </w:rPr>
              <w:t>47.5</w:t>
            </w:r>
          </w:p>
        </w:tc>
        <w:tc>
          <w:tcPr>
            <w:tcW w:w="978" w:type="dxa"/>
          </w:tcPr>
          <w:p w14:paraId="6DC2CD25">
            <w:pPr>
              <w:spacing w:before="59"/>
              <w:ind w:left="131" w:right="114"/>
              <w:jc w:val="center"/>
              <w:rPr>
                <w:rFonts w:ascii="Times New Roman" w:hAnsi="宋体" w:eastAsia="宋体" w:cs="宋体"/>
                <w:sz w:val="21"/>
              </w:rPr>
            </w:pPr>
            <w:r>
              <w:rPr>
                <w:rFonts w:ascii="Times New Roman" w:hAnsi="宋体" w:eastAsia="宋体" w:cs="宋体"/>
                <w:spacing w:val="-4"/>
                <w:sz w:val="21"/>
              </w:rPr>
              <w:t>78.5</w:t>
            </w:r>
          </w:p>
        </w:tc>
        <w:tc>
          <w:tcPr>
            <w:tcW w:w="944" w:type="dxa"/>
          </w:tcPr>
          <w:p w14:paraId="65450192">
            <w:pPr>
              <w:spacing w:before="59"/>
              <w:ind w:left="300" w:right="282"/>
              <w:jc w:val="center"/>
              <w:rPr>
                <w:rFonts w:ascii="Times New Roman" w:hAnsi="宋体" w:eastAsia="宋体" w:cs="宋体"/>
                <w:sz w:val="21"/>
              </w:rPr>
            </w:pPr>
            <w:r>
              <w:rPr>
                <w:rFonts w:ascii="Times New Roman" w:hAnsi="宋体" w:eastAsia="宋体" w:cs="宋体"/>
                <w:spacing w:val="-5"/>
                <w:sz w:val="21"/>
              </w:rPr>
              <w:t>85</w:t>
            </w:r>
          </w:p>
        </w:tc>
        <w:tc>
          <w:tcPr>
            <w:tcW w:w="914" w:type="dxa"/>
          </w:tcPr>
          <w:p w14:paraId="235A2511">
            <w:pPr>
              <w:spacing w:before="59"/>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544CCDA6">
            <w:pPr>
              <w:spacing w:before="45"/>
              <w:ind w:left="119"/>
              <w:rPr>
                <w:rFonts w:ascii="宋体" w:hAnsi="宋体" w:eastAsia="宋体" w:cs="宋体"/>
                <w:sz w:val="21"/>
              </w:rPr>
            </w:pPr>
            <w:r>
              <w:rPr>
                <w:rFonts w:ascii="宋体" w:hAnsi="宋体" w:eastAsia="宋体" w:cs="宋体"/>
                <w:spacing w:val="-4"/>
                <w:w w:val="95"/>
                <w:sz w:val="21"/>
              </w:rPr>
              <w:t>预期性</w:t>
            </w:r>
          </w:p>
        </w:tc>
      </w:tr>
      <w:tr w14:paraId="5926DA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tcBorders>
          </w:tcPr>
          <w:p w14:paraId="68819EAE">
            <w:pPr>
              <w:rPr>
                <w:sz w:val="2"/>
                <w:szCs w:val="2"/>
              </w:rPr>
            </w:pPr>
          </w:p>
        </w:tc>
        <w:tc>
          <w:tcPr>
            <w:tcW w:w="3766" w:type="dxa"/>
          </w:tcPr>
          <w:p w14:paraId="4FB16555">
            <w:pPr>
              <w:spacing w:before="44"/>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7</w:t>
            </w:r>
            <w:r>
              <w:rPr>
                <w:rFonts w:ascii="宋体" w:hAnsi="宋体" w:eastAsia="宋体" w:cs="宋体"/>
                <w:w w:val="95"/>
                <w:sz w:val="21"/>
              </w:rPr>
              <w:t>）制造业增加值占</w:t>
            </w:r>
            <w:r>
              <w:rPr>
                <w:rFonts w:ascii="宋体" w:hAnsi="宋体" w:eastAsia="宋体" w:cs="宋体"/>
                <w:spacing w:val="5"/>
                <w:sz w:val="21"/>
              </w:rPr>
              <w:t xml:space="preserve"> </w:t>
            </w:r>
            <w:r>
              <w:rPr>
                <w:rFonts w:ascii="Times New Roman" w:hAnsi="宋体" w:eastAsia="Times New Roman" w:cs="宋体"/>
                <w:w w:val="95"/>
                <w:sz w:val="21"/>
              </w:rPr>
              <w:t>GDP</w:t>
            </w:r>
            <w:r>
              <w:rPr>
                <w:rFonts w:ascii="Times New Roman" w:hAnsi="宋体" w:eastAsia="Times New Roman" w:cs="宋体"/>
                <w:spacing w:val="62"/>
                <w:sz w:val="21"/>
              </w:rPr>
              <w:t xml:space="preserve"> </w:t>
            </w:r>
            <w:r>
              <w:rPr>
                <w:rFonts w:ascii="宋体" w:hAnsi="宋体" w:eastAsia="宋体" w:cs="宋体"/>
                <w:w w:val="95"/>
                <w:sz w:val="21"/>
              </w:rPr>
              <w:t>比重</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63894BD6">
            <w:pPr>
              <w:spacing w:before="58"/>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252F4868">
            <w:pPr>
              <w:spacing w:before="58"/>
              <w:ind w:left="17"/>
              <w:jc w:val="center"/>
              <w:rPr>
                <w:rFonts w:ascii="Times New Roman" w:hAnsi="宋体" w:eastAsia="宋体" w:cs="宋体"/>
                <w:sz w:val="21"/>
              </w:rPr>
            </w:pPr>
            <w:r>
              <w:rPr>
                <w:rFonts w:ascii="Times New Roman" w:hAnsi="宋体" w:eastAsia="宋体" w:cs="宋体"/>
                <w:w w:val="99"/>
                <w:sz w:val="21"/>
              </w:rPr>
              <w:t>3</w:t>
            </w:r>
          </w:p>
        </w:tc>
        <w:tc>
          <w:tcPr>
            <w:tcW w:w="944" w:type="dxa"/>
          </w:tcPr>
          <w:p w14:paraId="21F97455">
            <w:pPr>
              <w:spacing w:before="58"/>
              <w:ind w:left="15"/>
              <w:jc w:val="center"/>
              <w:rPr>
                <w:rFonts w:ascii="Times New Roman" w:hAnsi="宋体" w:eastAsia="宋体" w:cs="宋体"/>
                <w:sz w:val="21"/>
              </w:rPr>
            </w:pPr>
            <w:r>
              <w:rPr>
                <w:rFonts w:ascii="Times New Roman" w:hAnsi="宋体" w:eastAsia="宋体" w:cs="宋体"/>
                <w:w w:val="99"/>
                <w:sz w:val="21"/>
              </w:rPr>
              <w:t>6</w:t>
            </w:r>
          </w:p>
        </w:tc>
        <w:tc>
          <w:tcPr>
            <w:tcW w:w="914" w:type="dxa"/>
          </w:tcPr>
          <w:p w14:paraId="79F09D58">
            <w:pPr>
              <w:spacing w:before="58"/>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1ED12937">
            <w:pPr>
              <w:spacing w:before="44"/>
              <w:ind w:left="119"/>
              <w:rPr>
                <w:rFonts w:ascii="宋体" w:hAnsi="宋体" w:eastAsia="宋体" w:cs="宋体"/>
                <w:sz w:val="21"/>
              </w:rPr>
            </w:pPr>
            <w:r>
              <w:rPr>
                <w:rFonts w:ascii="宋体" w:hAnsi="宋体" w:eastAsia="宋体" w:cs="宋体"/>
                <w:spacing w:val="-4"/>
                <w:w w:val="95"/>
                <w:sz w:val="21"/>
              </w:rPr>
              <w:t>预期性</w:t>
            </w:r>
          </w:p>
        </w:tc>
      </w:tr>
      <w:tr w14:paraId="29D70C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696" w:type="dxa"/>
            <w:vMerge w:val="continue"/>
            <w:tcBorders>
              <w:top w:val="nil"/>
            </w:tcBorders>
          </w:tcPr>
          <w:p w14:paraId="42939173">
            <w:pPr>
              <w:rPr>
                <w:sz w:val="2"/>
                <w:szCs w:val="2"/>
              </w:rPr>
            </w:pPr>
          </w:p>
        </w:tc>
        <w:tc>
          <w:tcPr>
            <w:tcW w:w="3766" w:type="dxa"/>
          </w:tcPr>
          <w:p w14:paraId="323FD20E">
            <w:pPr>
              <w:spacing w:before="21"/>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8</w:t>
            </w:r>
            <w:r>
              <w:rPr>
                <w:rFonts w:ascii="宋体" w:hAnsi="宋体" w:eastAsia="宋体" w:cs="宋体"/>
                <w:w w:val="95"/>
                <w:sz w:val="21"/>
              </w:rPr>
              <w:t>）战略性新兴产业增加值占</w:t>
            </w:r>
            <w:r>
              <w:rPr>
                <w:rFonts w:ascii="宋体" w:hAnsi="宋体" w:eastAsia="宋体" w:cs="宋体"/>
                <w:spacing w:val="9"/>
                <w:sz w:val="21"/>
              </w:rPr>
              <w:t xml:space="preserve"> </w:t>
            </w:r>
            <w:r>
              <w:rPr>
                <w:rFonts w:ascii="Times New Roman" w:hAnsi="宋体" w:eastAsia="Times New Roman" w:cs="宋体"/>
                <w:w w:val="95"/>
                <w:sz w:val="21"/>
              </w:rPr>
              <w:t>GDP</w:t>
            </w:r>
            <w:r>
              <w:rPr>
                <w:rFonts w:ascii="Times New Roman" w:hAnsi="宋体" w:eastAsia="Times New Roman" w:cs="宋体"/>
                <w:spacing w:val="60"/>
                <w:sz w:val="21"/>
              </w:rPr>
              <w:t xml:space="preserve"> </w:t>
            </w:r>
            <w:r>
              <w:rPr>
                <w:rFonts w:ascii="宋体" w:hAnsi="宋体" w:eastAsia="宋体" w:cs="宋体"/>
                <w:spacing w:val="-10"/>
                <w:w w:val="95"/>
                <w:sz w:val="21"/>
              </w:rPr>
              <w:t>比</w:t>
            </w:r>
          </w:p>
          <w:p w14:paraId="556A1E6E">
            <w:pPr>
              <w:spacing w:before="43"/>
              <w:ind w:left="107"/>
              <w:rPr>
                <w:rFonts w:ascii="Times New Roman" w:hAnsi="宋体" w:eastAsia="Times New Roman" w:cs="宋体"/>
                <w:sz w:val="21"/>
              </w:rPr>
            </w:pPr>
            <w:r>
              <w:rPr>
                <w:rFonts w:ascii="宋体" w:hAnsi="宋体" w:eastAsia="宋体" w:cs="宋体"/>
                <w:w w:val="95"/>
                <w:sz w:val="21"/>
              </w:rPr>
              <w:t>重</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Pr>
          <w:p w14:paraId="631E3667">
            <w:pPr>
              <w:spacing w:before="191"/>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191A0275">
            <w:pPr>
              <w:spacing w:before="191"/>
              <w:ind w:left="17"/>
              <w:jc w:val="center"/>
              <w:rPr>
                <w:rFonts w:ascii="Times New Roman" w:hAnsi="宋体" w:eastAsia="宋体" w:cs="宋体"/>
                <w:sz w:val="21"/>
              </w:rPr>
            </w:pPr>
            <w:r>
              <w:rPr>
                <w:rFonts w:ascii="Times New Roman" w:hAnsi="宋体" w:eastAsia="宋体" w:cs="宋体"/>
                <w:w w:val="99"/>
                <w:sz w:val="21"/>
              </w:rPr>
              <w:t>4</w:t>
            </w:r>
          </w:p>
        </w:tc>
        <w:tc>
          <w:tcPr>
            <w:tcW w:w="944" w:type="dxa"/>
          </w:tcPr>
          <w:p w14:paraId="15DD11B5">
            <w:pPr>
              <w:spacing w:before="191"/>
              <w:ind w:left="15"/>
              <w:jc w:val="center"/>
              <w:rPr>
                <w:rFonts w:ascii="Times New Roman" w:hAnsi="宋体" w:eastAsia="宋体" w:cs="宋体"/>
                <w:sz w:val="21"/>
              </w:rPr>
            </w:pPr>
            <w:r>
              <w:rPr>
                <w:rFonts w:ascii="Times New Roman" w:hAnsi="宋体" w:eastAsia="宋体" w:cs="宋体"/>
                <w:w w:val="99"/>
                <w:sz w:val="21"/>
              </w:rPr>
              <w:t>6</w:t>
            </w:r>
          </w:p>
        </w:tc>
        <w:tc>
          <w:tcPr>
            <w:tcW w:w="914" w:type="dxa"/>
          </w:tcPr>
          <w:p w14:paraId="5CFD0001">
            <w:pPr>
              <w:spacing w:before="191"/>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70F6097E">
            <w:pPr>
              <w:spacing w:before="177"/>
              <w:ind w:left="119"/>
              <w:rPr>
                <w:rFonts w:ascii="宋体" w:hAnsi="宋体" w:eastAsia="宋体" w:cs="宋体"/>
                <w:sz w:val="21"/>
              </w:rPr>
            </w:pPr>
            <w:r>
              <w:rPr>
                <w:rFonts w:ascii="宋体" w:hAnsi="宋体" w:eastAsia="宋体" w:cs="宋体"/>
                <w:spacing w:val="-4"/>
                <w:w w:val="95"/>
                <w:sz w:val="21"/>
              </w:rPr>
              <w:t>预期性</w:t>
            </w:r>
          </w:p>
        </w:tc>
      </w:tr>
      <w:tr w14:paraId="1ECE8A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tcBorders>
          </w:tcPr>
          <w:p w14:paraId="3A08644B">
            <w:pPr>
              <w:rPr>
                <w:sz w:val="2"/>
                <w:szCs w:val="2"/>
              </w:rPr>
            </w:pPr>
          </w:p>
        </w:tc>
        <w:tc>
          <w:tcPr>
            <w:tcW w:w="3766" w:type="dxa"/>
          </w:tcPr>
          <w:p w14:paraId="6EFC757F">
            <w:pPr>
              <w:spacing w:before="44"/>
              <w:ind w:left="107" w:right="-29"/>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9</w:t>
            </w:r>
            <w:r>
              <w:rPr>
                <w:rFonts w:ascii="宋体" w:hAnsi="宋体" w:eastAsia="宋体" w:cs="宋体"/>
                <w:w w:val="95"/>
                <w:sz w:val="21"/>
              </w:rPr>
              <w:t>）</w:t>
            </w:r>
            <w:r>
              <w:rPr>
                <w:rFonts w:ascii="宋体" w:hAnsi="宋体" w:eastAsia="宋体" w:cs="宋体"/>
                <w:spacing w:val="-3"/>
                <w:w w:val="95"/>
                <w:sz w:val="21"/>
              </w:rPr>
              <w:t xml:space="preserve">非公经济增加值占 </w:t>
            </w:r>
            <w:r>
              <w:rPr>
                <w:rFonts w:ascii="Times New Roman" w:hAnsi="宋体" w:eastAsia="Times New Roman" w:cs="宋体"/>
                <w:w w:val="95"/>
                <w:sz w:val="21"/>
              </w:rPr>
              <w:t>GDP</w:t>
            </w:r>
            <w:r>
              <w:rPr>
                <w:rFonts w:ascii="Times New Roman" w:hAnsi="宋体" w:eastAsia="Times New Roman" w:cs="宋体"/>
                <w:spacing w:val="17"/>
                <w:sz w:val="21"/>
              </w:rPr>
              <w:t xml:space="preserve"> </w:t>
            </w:r>
            <w:r>
              <w:rPr>
                <w:rFonts w:ascii="宋体" w:hAnsi="宋体" w:eastAsia="宋体" w:cs="宋体"/>
                <w:w w:val="95"/>
                <w:sz w:val="21"/>
              </w:rPr>
              <w:t>比重</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66348AB0">
            <w:pPr>
              <w:spacing w:before="58"/>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08B95E07">
            <w:pPr>
              <w:spacing w:before="58"/>
              <w:ind w:left="131" w:right="114"/>
              <w:jc w:val="center"/>
              <w:rPr>
                <w:rFonts w:ascii="Times New Roman" w:hAnsi="宋体" w:eastAsia="宋体" w:cs="宋体"/>
                <w:sz w:val="21"/>
              </w:rPr>
            </w:pPr>
            <w:r>
              <w:rPr>
                <w:rFonts w:ascii="Times New Roman" w:hAnsi="宋体" w:eastAsia="宋体" w:cs="宋体"/>
                <w:spacing w:val="-5"/>
                <w:sz w:val="21"/>
              </w:rPr>
              <w:t>56</w:t>
            </w:r>
          </w:p>
        </w:tc>
        <w:tc>
          <w:tcPr>
            <w:tcW w:w="944" w:type="dxa"/>
          </w:tcPr>
          <w:p w14:paraId="4A58EF16">
            <w:pPr>
              <w:spacing w:before="58"/>
              <w:ind w:left="302" w:right="282"/>
              <w:jc w:val="center"/>
              <w:rPr>
                <w:rFonts w:ascii="Times New Roman" w:hAnsi="宋体" w:eastAsia="宋体" w:cs="宋体"/>
                <w:sz w:val="21"/>
              </w:rPr>
            </w:pPr>
            <w:r>
              <w:rPr>
                <w:rFonts w:ascii="Times New Roman" w:hAnsi="宋体" w:eastAsia="宋体" w:cs="宋体"/>
                <w:spacing w:val="-5"/>
                <w:sz w:val="21"/>
              </w:rPr>
              <w:t>60</w:t>
            </w:r>
          </w:p>
        </w:tc>
        <w:tc>
          <w:tcPr>
            <w:tcW w:w="914" w:type="dxa"/>
          </w:tcPr>
          <w:p w14:paraId="50D8EFD7">
            <w:pPr>
              <w:spacing w:before="58"/>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2D75E492">
            <w:pPr>
              <w:spacing w:before="44"/>
              <w:ind w:left="119"/>
              <w:rPr>
                <w:rFonts w:ascii="宋体" w:hAnsi="宋体" w:eastAsia="宋体" w:cs="宋体"/>
                <w:sz w:val="21"/>
              </w:rPr>
            </w:pPr>
            <w:r>
              <w:rPr>
                <w:rFonts w:ascii="宋体" w:hAnsi="宋体" w:eastAsia="宋体" w:cs="宋体"/>
                <w:spacing w:val="-4"/>
                <w:w w:val="95"/>
                <w:sz w:val="21"/>
              </w:rPr>
              <w:t>预期性</w:t>
            </w:r>
          </w:p>
        </w:tc>
      </w:tr>
      <w:tr w14:paraId="0F13EB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696" w:type="dxa"/>
            <w:vMerge w:val="continue"/>
            <w:tcBorders>
              <w:top w:val="nil"/>
            </w:tcBorders>
          </w:tcPr>
          <w:p w14:paraId="7499E76D">
            <w:pPr>
              <w:rPr>
                <w:sz w:val="2"/>
                <w:szCs w:val="2"/>
              </w:rPr>
            </w:pPr>
          </w:p>
        </w:tc>
        <w:tc>
          <w:tcPr>
            <w:tcW w:w="3766" w:type="dxa"/>
          </w:tcPr>
          <w:p w14:paraId="4F503350">
            <w:pPr>
              <w:spacing w:before="21"/>
              <w:ind w:left="107"/>
              <w:rPr>
                <w:rFonts w:ascii="宋体" w:hAnsi="宋体" w:eastAsia="宋体" w:cs="宋体"/>
                <w:sz w:val="21"/>
              </w:rPr>
            </w:pPr>
            <w:r>
              <w:rPr>
                <w:rFonts w:ascii="宋体" w:hAnsi="宋体" w:eastAsia="宋体" w:cs="宋体"/>
                <w:spacing w:val="9"/>
                <w:w w:val="95"/>
                <w:sz w:val="21"/>
              </w:rPr>
              <w:t>（</w:t>
            </w:r>
            <w:r>
              <w:rPr>
                <w:rFonts w:ascii="Times New Roman" w:hAnsi="宋体" w:eastAsia="Times New Roman" w:cs="宋体"/>
                <w:spacing w:val="9"/>
                <w:w w:val="95"/>
                <w:sz w:val="21"/>
              </w:rPr>
              <w:t>10</w:t>
            </w:r>
            <w:r>
              <w:rPr>
                <w:rFonts w:ascii="宋体" w:hAnsi="宋体" w:eastAsia="宋体" w:cs="宋体"/>
                <w:spacing w:val="9"/>
                <w:w w:val="95"/>
                <w:sz w:val="21"/>
              </w:rPr>
              <w:t>）民间投资占固定资产投资比重</w:t>
            </w:r>
          </w:p>
          <w:p w14:paraId="52CD617F">
            <w:pPr>
              <w:spacing w:before="43"/>
              <w:ind w:left="107"/>
              <w:rPr>
                <w:rFonts w:ascii="宋体" w:hAnsi="宋体" w:eastAsia="宋体" w:cs="宋体"/>
                <w:sz w:val="21"/>
              </w:rPr>
            </w:pPr>
            <w:r>
              <w:rPr>
                <w:rFonts w:ascii="宋体" w:hAnsi="宋体" w:eastAsia="宋体" w:cs="宋体"/>
                <w:spacing w:val="-5"/>
                <w:sz w:val="21"/>
              </w:rPr>
              <w:t>（</w:t>
            </w:r>
            <w:r>
              <w:rPr>
                <w:rFonts w:ascii="Times New Roman" w:hAnsi="宋体" w:eastAsia="Times New Roman" w:cs="宋体"/>
                <w:spacing w:val="-5"/>
                <w:sz w:val="21"/>
              </w:rPr>
              <w:t>%</w:t>
            </w:r>
            <w:r>
              <w:rPr>
                <w:rFonts w:ascii="宋体" w:hAnsi="宋体" w:eastAsia="宋体" w:cs="宋体"/>
                <w:spacing w:val="-5"/>
                <w:sz w:val="21"/>
              </w:rPr>
              <w:t>）</w:t>
            </w:r>
          </w:p>
        </w:tc>
        <w:tc>
          <w:tcPr>
            <w:tcW w:w="1011" w:type="dxa"/>
          </w:tcPr>
          <w:p w14:paraId="2C223262">
            <w:pPr>
              <w:spacing w:before="191"/>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36F3ACFF">
            <w:pPr>
              <w:spacing w:before="191"/>
              <w:ind w:left="131" w:right="114"/>
              <w:jc w:val="center"/>
              <w:rPr>
                <w:rFonts w:ascii="Times New Roman" w:hAnsi="宋体" w:eastAsia="宋体" w:cs="宋体"/>
                <w:sz w:val="21"/>
              </w:rPr>
            </w:pPr>
            <w:r>
              <w:rPr>
                <w:rFonts w:ascii="Times New Roman" w:hAnsi="宋体" w:eastAsia="宋体" w:cs="宋体"/>
                <w:spacing w:val="-5"/>
                <w:sz w:val="21"/>
              </w:rPr>
              <w:t>80</w:t>
            </w:r>
          </w:p>
        </w:tc>
        <w:tc>
          <w:tcPr>
            <w:tcW w:w="944" w:type="dxa"/>
          </w:tcPr>
          <w:p w14:paraId="3D4092D8">
            <w:pPr>
              <w:spacing w:before="191"/>
              <w:ind w:left="302" w:right="282"/>
              <w:jc w:val="center"/>
              <w:rPr>
                <w:rFonts w:ascii="Times New Roman" w:hAnsi="宋体" w:eastAsia="宋体" w:cs="宋体"/>
                <w:sz w:val="21"/>
              </w:rPr>
            </w:pPr>
            <w:r>
              <w:rPr>
                <w:rFonts w:ascii="Times New Roman" w:hAnsi="宋体" w:eastAsia="宋体" w:cs="宋体"/>
                <w:spacing w:val="-5"/>
                <w:sz w:val="21"/>
              </w:rPr>
              <w:t>85</w:t>
            </w:r>
          </w:p>
        </w:tc>
        <w:tc>
          <w:tcPr>
            <w:tcW w:w="914" w:type="dxa"/>
          </w:tcPr>
          <w:p w14:paraId="714E4AFF">
            <w:pPr>
              <w:spacing w:before="191"/>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63A0135E">
            <w:pPr>
              <w:spacing w:before="177"/>
              <w:ind w:left="119"/>
              <w:rPr>
                <w:rFonts w:ascii="宋体" w:hAnsi="宋体" w:eastAsia="宋体" w:cs="宋体"/>
                <w:sz w:val="21"/>
              </w:rPr>
            </w:pPr>
            <w:r>
              <w:rPr>
                <w:rFonts w:ascii="宋体" w:hAnsi="宋体" w:eastAsia="宋体" w:cs="宋体"/>
                <w:spacing w:val="-4"/>
                <w:w w:val="95"/>
                <w:sz w:val="21"/>
              </w:rPr>
              <w:t>预期性</w:t>
            </w:r>
          </w:p>
        </w:tc>
      </w:tr>
      <w:tr w14:paraId="6A939A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8" w:hRule="atLeast"/>
        </w:trPr>
        <w:tc>
          <w:tcPr>
            <w:tcW w:w="696" w:type="dxa"/>
            <w:vMerge w:val="continue"/>
            <w:tcBorders>
              <w:top w:val="nil"/>
            </w:tcBorders>
          </w:tcPr>
          <w:p w14:paraId="0A395669">
            <w:pPr>
              <w:rPr>
                <w:sz w:val="2"/>
                <w:szCs w:val="2"/>
              </w:rPr>
            </w:pPr>
          </w:p>
        </w:tc>
        <w:tc>
          <w:tcPr>
            <w:tcW w:w="3766" w:type="dxa"/>
          </w:tcPr>
          <w:p w14:paraId="54B4A4C7">
            <w:pPr>
              <w:spacing w:before="45"/>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11</w:t>
            </w:r>
            <w:r>
              <w:rPr>
                <w:rFonts w:ascii="宋体" w:hAnsi="宋体" w:eastAsia="宋体" w:cs="宋体"/>
                <w:w w:val="95"/>
                <w:sz w:val="21"/>
              </w:rPr>
              <w:t>）居民人均消费支出（元</w:t>
            </w:r>
            <w:r>
              <w:rPr>
                <w:rFonts w:ascii="Times New Roman" w:hAnsi="宋体" w:eastAsia="Times New Roman" w:cs="宋体"/>
                <w:w w:val="95"/>
                <w:sz w:val="21"/>
              </w:rPr>
              <w:t>/</w:t>
            </w:r>
            <w:r>
              <w:rPr>
                <w:rFonts w:ascii="宋体" w:hAnsi="宋体" w:eastAsia="宋体" w:cs="宋体"/>
                <w:w w:val="95"/>
                <w:sz w:val="21"/>
              </w:rPr>
              <w:t>人</w:t>
            </w:r>
            <w:r>
              <w:rPr>
                <w:rFonts w:ascii="宋体" w:hAnsi="宋体" w:eastAsia="宋体" w:cs="宋体"/>
                <w:spacing w:val="-10"/>
                <w:w w:val="95"/>
                <w:sz w:val="21"/>
              </w:rPr>
              <w:t>）</w:t>
            </w:r>
          </w:p>
        </w:tc>
        <w:tc>
          <w:tcPr>
            <w:tcW w:w="1011" w:type="dxa"/>
          </w:tcPr>
          <w:p w14:paraId="31224DB2">
            <w:pPr>
              <w:spacing w:before="59"/>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0C0B729E">
            <w:pPr>
              <w:spacing w:before="59"/>
              <w:ind w:left="132" w:right="114"/>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Pr>
          <w:p w14:paraId="2E38DFC8">
            <w:pPr>
              <w:spacing w:before="59"/>
              <w:ind w:left="301"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14" w:type="dxa"/>
          </w:tcPr>
          <w:p w14:paraId="56EDC0F7">
            <w:pPr>
              <w:spacing w:before="59"/>
              <w:ind w:left="300" w:right="283"/>
              <w:jc w:val="center"/>
              <w:rPr>
                <w:rFonts w:ascii="Times New Roman" w:hAnsi="宋体" w:eastAsia="宋体" w:cs="宋体"/>
                <w:sz w:val="21"/>
              </w:rPr>
            </w:pPr>
            <w:r>
              <w:rPr>
                <w:rFonts w:ascii="Times New Roman" w:hAnsi="宋体" w:eastAsia="宋体" w:cs="宋体"/>
                <w:spacing w:val="-5"/>
                <w:sz w:val="21"/>
              </w:rPr>
              <w:t>6%</w:t>
            </w:r>
          </w:p>
        </w:tc>
        <w:tc>
          <w:tcPr>
            <w:tcW w:w="871" w:type="dxa"/>
          </w:tcPr>
          <w:p w14:paraId="7A109E3E">
            <w:pPr>
              <w:spacing w:before="45"/>
              <w:ind w:left="119"/>
              <w:rPr>
                <w:rFonts w:ascii="宋体" w:hAnsi="宋体" w:eastAsia="宋体" w:cs="宋体"/>
                <w:sz w:val="21"/>
              </w:rPr>
            </w:pPr>
            <w:r>
              <w:rPr>
                <w:rFonts w:ascii="宋体" w:hAnsi="宋体" w:eastAsia="宋体" w:cs="宋体"/>
                <w:spacing w:val="-4"/>
                <w:w w:val="95"/>
                <w:sz w:val="21"/>
              </w:rPr>
              <w:t>预期性</w:t>
            </w:r>
          </w:p>
        </w:tc>
      </w:tr>
      <w:tr w14:paraId="2859D2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8" w:hRule="atLeast"/>
        </w:trPr>
        <w:tc>
          <w:tcPr>
            <w:tcW w:w="696" w:type="dxa"/>
            <w:vMerge w:val="continue"/>
            <w:tcBorders>
              <w:top w:val="nil"/>
            </w:tcBorders>
          </w:tcPr>
          <w:p w14:paraId="3B9CC799">
            <w:pPr>
              <w:rPr>
                <w:sz w:val="2"/>
                <w:szCs w:val="2"/>
              </w:rPr>
            </w:pPr>
          </w:p>
        </w:tc>
        <w:tc>
          <w:tcPr>
            <w:tcW w:w="3766" w:type="dxa"/>
          </w:tcPr>
          <w:p w14:paraId="08A21127">
            <w:pPr>
              <w:spacing w:before="29"/>
              <w:ind w:left="107"/>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12</w:t>
            </w:r>
            <w:r>
              <w:rPr>
                <w:rFonts w:ascii="宋体" w:hAnsi="宋体" w:eastAsia="宋体" w:cs="宋体"/>
                <w:w w:val="95"/>
                <w:sz w:val="21"/>
              </w:rPr>
              <w:t>）全员劳动生产率</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Pr>
          <w:p w14:paraId="4C78AD1B">
            <w:pPr>
              <w:spacing w:before="43"/>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4C95B787">
            <w:pPr>
              <w:spacing w:before="43"/>
              <w:ind w:left="132" w:right="114"/>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Pr>
          <w:p w14:paraId="26AEA444">
            <w:pPr>
              <w:spacing w:before="43"/>
              <w:ind w:left="301"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14" w:type="dxa"/>
          </w:tcPr>
          <w:p w14:paraId="14E07F9A">
            <w:pPr>
              <w:spacing w:before="43"/>
              <w:ind w:right="217"/>
              <w:jc w:val="right"/>
              <w:rPr>
                <w:rFonts w:ascii="Times New Roman" w:hAnsi="宋体" w:eastAsia="宋体" w:cs="宋体"/>
                <w:sz w:val="21"/>
              </w:rPr>
            </w:pPr>
            <w:r>
              <w:rPr>
                <w:rFonts w:ascii="Times New Roman" w:hAnsi="宋体" w:eastAsia="宋体" w:cs="宋体"/>
                <w:spacing w:val="-4"/>
                <w:sz w:val="21"/>
              </w:rPr>
              <w:t>6.5%</w:t>
            </w:r>
          </w:p>
        </w:tc>
        <w:tc>
          <w:tcPr>
            <w:tcW w:w="871" w:type="dxa"/>
          </w:tcPr>
          <w:p w14:paraId="038BE195">
            <w:pPr>
              <w:spacing w:before="29"/>
              <w:ind w:left="119"/>
              <w:rPr>
                <w:rFonts w:ascii="宋体" w:hAnsi="宋体" w:eastAsia="宋体" w:cs="宋体"/>
                <w:sz w:val="21"/>
              </w:rPr>
            </w:pPr>
            <w:r>
              <w:rPr>
                <w:rFonts w:ascii="宋体" w:hAnsi="宋体" w:eastAsia="宋体" w:cs="宋体"/>
                <w:spacing w:val="-4"/>
                <w:w w:val="95"/>
                <w:sz w:val="21"/>
              </w:rPr>
              <w:t>预期性</w:t>
            </w:r>
          </w:p>
        </w:tc>
      </w:tr>
      <w:tr w14:paraId="0641EF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696" w:type="dxa"/>
            <w:vMerge w:val="restart"/>
          </w:tcPr>
          <w:p w14:paraId="18E08893">
            <w:pPr>
              <w:rPr>
                <w:rFonts w:ascii="黑体" w:hAnsi="宋体" w:eastAsia="宋体" w:cs="宋体"/>
                <w:sz w:val="20"/>
              </w:rPr>
            </w:pPr>
          </w:p>
          <w:p w14:paraId="78E437C8">
            <w:pPr>
              <w:rPr>
                <w:rFonts w:ascii="黑体" w:hAnsi="宋体" w:eastAsia="宋体" w:cs="宋体"/>
                <w:sz w:val="20"/>
              </w:rPr>
            </w:pPr>
          </w:p>
          <w:p w14:paraId="663CDF54">
            <w:pPr>
              <w:rPr>
                <w:rFonts w:ascii="黑体" w:hAnsi="宋体" w:eastAsia="宋体" w:cs="宋体"/>
                <w:sz w:val="20"/>
              </w:rPr>
            </w:pPr>
          </w:p>
          <w:p w14:paraId="4850741B">
            <w:pPr>
              <w:rPr>
                <w:rFonts w:ascii="黑体" w:hAnsi="宋体" w:eastAsia="宋体" w:cs="宋体"/>
                <w:sz w:val="20"/>
              </w:rPr>
            </w:pPr>
          </w:p>
          <w:p w14:paraId="5182FA70">
            <w:pPr>
              <w:rPr>
                <w:rFonts w:ascii="黑体" w:hAnsi="宋体" w:eastAsia="宋体" w:cs="宋体"/>
                <w:sz w:val="20"/>
              </w:rPr>
            </w:pPr>
          </w:p>
          <w:p w14:paraId="28CE713B">
            <w:pPr>
              <w:rPr>
                <w:rFonts w:ascii="黑体" w:hAnsi="宋体" w:eastAsia="宋体" w:cs="宋体"/>
                <w:sz w:val="20"/>
              </w:rPr>
            </w:pPr>
          </w:p>
          <w:p w14:paraId="12DAB669">
            <w:pPr>
              <w:spacing w:before="8"/>
              <w:rPr>
                <w:rFonts w:ascii="黑体" w:hAnsi="宋体" w:eastAsia="宋体" w:cs="宋体"/>
                <w:sz w:val="14"/>
              </w:rPr>
            </w:pPr>
          </w:p>
          <w:p w14:paraId="6B9482AE">
            <w:pPr>
              <w:spacing w:line="278" w:lineRule="auto"/>
              <w:ind w:left="136" w:right="117"/>
              <w:rPr>
                <w:rFonts w:ascii="宋体" w:hAnsi="宋体" w:eastAsia="宋体" w:cs="宋体"/>
                <w:b/>
                <w:sz w:val="21"/>
              </w:rPr>
            </w:pPr>
            <w:r>
              <w:rPr>
                <w:rFonts w:ascii="宋体" w:hAnsi="宋体" w:eastAsia="宋体" w:cs="宋体"/>
                <w:b/>
                <w:spacing w:val="-6"/>
                <w:sz w:val="21"/>
              </w:rPr>
              <w:t>创新</w:t>
            </w:r>
            <w:r>
              <w:rPr>
                <w:rFonts w:ascii="宋体" w:hAnsi="宋体" w:eastAsia="宋体" w:cs="宋体"/>
                <w:b/>
                <w:spacing w:val="-5"/>
                <w:w w:val="95"/>
                <w:sz w:val="21"/>
              </w:rPr>
              <w:t>发展</w:t>
            </w:r>
          </w:p>
        </w:tc>
        <w:tc>
          <w:tcPr>
            <w:tcW w:w="3766" w:type="dxa"/>
          </w:tcPr>
          <w:p w14:paraId="3B663151">
            <w:pPr>
              <w:spacing w:before="177"/>
              <w:ind w:left="110" w:right="-29"/>
              <w:rPr>
                <w:rFonts w:ascii="宋体" w:hAnsi="宋体" w:eastAsia="宋体" w:cs="宋体"/>
                <w:sz w:val="21"/>
              </w:rPr>
            </w:pPr>
            <w:r>
              <w:rPr>
                <w:rFonts w:ascii="宋体" w:hAnsi="宋体" w:eastAsia="宋体" w:cs="宋体"/>
                <w:spacing w:val="23"/>
                <w:w w:val="95"/>
                <w:sz w:val="21"/>
              </w:rPr>
              <w:t>（</w:t>
            </w:r>
            <w:r>
              <w:rPr>
                <w:rFonts w:ascii="Times New Roman" w:hAnsi="宋体" w:eastAsia="Times New Roman" w:cs="宋体"/>
                <w:spacing w:val="25"/>
                <w:w w:val="95"/>
                <w:sz w:val="21"/>
              </w:rPr>
              <w:t>13</w:t>
            </w:r>
            <w:r>
              <w:rPr>
                <w:rFonts w:ascii="宋体" w:hAnsi="宋体" w:eastAsia="宋体" w:cs="宋体"/>
                <w:spacing w:val="-75"/>
                <w:w w:val="95"/>
                <w:sz w:val="21"/>
              </w:rPr>
              <w:t>）</w:t>
            </w:r>
            <w:r>
              <w:rPr>
                <w:rFonts w:ascii="宋体" w:hAnsi="宋体" w:eastAsia="宋体" w:cs="宋体"/>
                <w:spacing w:val="-4"/>
                <w:w w:val="95"/>
                <w:sz w:val="21"/>
              </w:rPr>
              <w:t xml:space="preserve">研究与开发经费占 </w:t>
            </w:r>
            <w:r>
              <w:rPr>
                <w:rFonts w:ascii="Times New Roman" w:hAnsi="宋体" w:eastAsia="Times New Roman" w:cs="宋体"/>
                <w:w w:val="95"/>
                <w:sz w:val="21"/>
              </w:rPr>
              <w:t>GDP</w:t>
            </w:r>
            <w:r>
              <w:rPr>
                <w:rFonts w:ascii="Times New Roman" w:hAnsi="宋体" w:eastAsia="Times New Roman" w:cs="宋体"/>
                <w:spacing w:val="17"/>
                <w:sz w:val="21"/>
              </w:rPr>
              <w:t xml:space="preserve"> </w:t>
            </w:r>
            <w:r>
              <w:rPr>
                <w:rFonts w:ascii="宋体" w:hAnsi="宋体" w:eastAsia="宋体" w:cs="宋体"/>
                <w:spacing w:val="-47"/>
                <w:w w:val="95"/>
                <w:sz w:val="21"/>
              </w:rPr>
              <w:t>比重</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5A7EBDAD">
            <w:pPr>
              <w:spacing w:before="191"/>
              <w:ind w:left="148" w:right="131"/>
              <w:jc w:val="center"/>
              <w:rPr>
                <w:rFonts w:ascii="Times New Roman" w:hAnsi="宋体" w:eastAsia="宋体" w:cs="宋体"/>
                <w:sz w:val="21"/>
              </w:rPr>
            </w:pPr>
            <w:r>
              <w:rPr>
                <w:rFonts w:ascii="Times New Roman" w:hAnsi="宋体" w:eastAsia="宋体" w:cs="宋体"/>
                <w:spacing w:val="-5"/>
                <w:sz w:val="21"/>
              </w:rPr>
              <w:t>1.1</w:t>
            </w:r>
          </w:p>
        </w:tc>
        <w:tc>
          <w:tcPr>
            <w:tcW w:w="978" w:type="dxa"/>
          </w:tcPr>
          <w:p w14:paraId="4B3F7A1A">
            <w:pPr>
              <w:spacing w:before="191"/>
              <w:ind w:left="131" w:right="114"/>
              <w:jc w:val="center"/>
              <w:rPr>
                <w:rFonts w:ascii="Times New Roman" w:hAnsi="宋体" w:eastAsia="宋体" w:cs="宋体"/>
                <w:sz w:val="21"/>
              </w:rPr>
            </w:pPr>
            <w:r>
              <w:rPr>
                <w:rFonts w:ascii="Times New Roman" w:hAnsi="宋体" w:eastAsia="宋体" w:cs="宋体"/>
                <w:spacing w:val="-5"/>
                <w:sz w:val="21"/>
              </w:rPr>
              <w:t>1.4</w:t>
            </w:r>
          </w:p>
        </w:tc>
        <w:tc>
          <w:tcPr>
            <w:tcW w:w="944" w:type="dxa"/>
          </w:tcPr>
          <w:p w14:paraId="5D3C12A2">
            <w:pPr>
              <w:spacing w:before="21"/>
              <w:ind w:left="156"/>
              <w:rPr>
                <w:rFonts w:ascii="宋体" w:hAnsi="宋体" w:eastAsia="宋体" w:cs="宋体"/>
                <w:sz w:val="21"/>
              </w:rPr>
            </w:pPr>
            <w:r>
              <w:rPr>
                <w:rFonts w:ascii="宋体" w:hAnsi="宋体" w:eastAsia="宋体" w:cs="宋体"/>
                <w:spacing w:val="-4"/>
                <w:w w:val="95"/>
                <w:sz w:val="21"/>
              </w:rPr>
              <w:t>高于全</w:t>
            </w:r>
          </w:p>
          <w:p w14:paraId="64A3ACDD">
            <w:pPr>
              <w:spacing w:before="43"/>
              <w:ind w:left="156"/>
              <w:rPr>
                <w:rFonts w:ascii="宋体" w:hAnsi="宋体" w:eastAsia="宋体" w:cs="宋体"/>
                <w:sz w:val="21"/>
              </w:rPr>
            </w:pPr>
            <w:r>
              <w:rPr>
                <w:rFonts w:ascii="宋体" w:hAnsi="宋体" w:eastAsia="宋体" w:cs="宋体"/>
                <w:spacing w:val="-4"/>
                <w:w w:val="95"/>
                <w:sz w:val="21"/>
              </w:rPr>
              <w:t>市水平</w:t>
            </w:r>
          </w:p>
        </w:tc>
        <w:tc>
          <w:tcPr>
            <w:tcW w:w="914" w:type="dxa"/>
          </w:tcPr>
          <w:p w14:paraId="762B7638">
            <w:pPr>
              <w:spacing w:before="191"/>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7C633DAC">
            <w:pPr>
              <w:spacing w:before="177"/>
              <w:ind w:left="119"/>
              <w:rPr>
                <w:rFonts w:ascii="宋体" w:hAnsi="宋体" w:eastAsia="宋体" w:cs="宋体"/>
                <w:sz w:val="21"/>
              </w:rPr>
            </w:pPr>
            <w:r>
              <w:rPr>
                <w:rFonts w:ascii="宋体" w:hAnsi="宋体" w:eastAsia="宋体" w:cs="宋体"/>
                <w:spacing w:val="-4"/>
                <w:w w:val="95"/>
                <w:sz w:val="21"/>
              </w:rPr>
              <w:t>预期性</w:t>
            </w:r>
          </w:p>
        </w:tc>
      </w:tr>
      <w:tr w14:paraId="793C33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696" w:type="dxa"/>
            <w:vMerge w:val="continue"/>
            <w:tcBorders>
              <w:top w:val="nil"/>
            </w:tcBorders>
          </w:tcPr>
          <w:p w14:paraId="2A7E05B8">
            <w:pPr>
              <w:rPr>
                <w:sz w:val="2"/>
                <w:szCs w:val="2"/>
              </w:rPr>
            </w:pPr>
          </w:p>
        </w:tc>
        <w:tc>
          <w:tcPr>
            <w:tcW w:w="3766" w:type="dxa"/>
          </w:tcPr>
          <w:p w14:paraId="3FAE3ECF">
            <w:pPr>
              <w:spacing w:before="20"/>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14</w:t>
            </w:r>
            <w:r>
              <w:rPr>
                <w:rFonts w:ascii="宋体" w:hAnsi="宋体" w:eastAsia="宋体" w:cs="宋体"/>
                <w:w w:val="95"/>
                <w:sz w:val="21"/>
              </w:rPr>
              <w:t>）每万人口发明专利拥有量（件</w:t>
            </w:r>
            <w:r>
              <w:rPr>
                <w:rFonts w:ascii="宋体" w:hAnsi="宋体" w:eastAsia="宋体" w:cs="宋体"/>
                <w:spacing w:val="-10"/>
                <w:w w:val="95"/>
                <w:sz w:val="21"/>
              </w:rPr>
              <w:t>）</w:t>
            </w:r>
          </w:p>
          <w:p w14:paraId="1AAC524F">
            <w:pPr>
              <w:spacing w:before="57"/>
              <w:ind w:left="107"/>
              <w:rPr>
                <w:rFonts w:ascii="Times New Roman" w:hAnsi="宋体" w:eastAsia="宋体" w:cs="宋体"/>
                <w:sz w:val="21"/>
              </w:rPr>
            </w:pPr>
            <w:r>
              <w:rPr>
                <w:rFonts w:ascii="Times New Roman" w:hAnsi="宋体" w:eastAsia="宋体" w:cs="宋体"/>
                <w:w w:val="99"/>
                <w:sz w:val="21"/>
              </w:rPr>
              <w:t>*</w:t>
            </w:r>
          </w:p>
        </w:tc>
        <w:tc>
          <w:tcPr>
            <w:tcW w:w="1011" w:type="dxa"/>
          </w:tcPr>
          <w:p w14:paraId="5FDE62A2">
            <w:pPr>
              <w:spacing w:before="34"/>
              <w:ind w:left="19"/>
              <w:jc w:val="center"/>
              <w:rPr>
                <w:rFonts w:ascii="Times New Roman" w:hAnsi="宋体" w:eastAsia="宋体" w:cs="宋体"/>
                <w:sz w:val="21"/>
              </w:rPr>
            </w:pPr>
            <w:r>
              <w:rPr>
                <w:rFonts w:ascii="Times New Roman" w:hAnsi="宋体" w:eastAsia="宋体" w:cs="宋体"/>
                <w:w w:val="99"/>
                <w:sz w:val="21"/>
              </w:rPr>
              <w:t>4</w:t>
            </w:r>
          </w:p>
        </w:tc>
        <w:tc>
          <w:tcPr>
            <w:tcW w:w="978" w:type="dxa"/>
          </w:tcPr>
          <w:p w14:paraId="717ADB0F">
            <w:pPr>
              <w:spacing w:before="34"/>
              <w:ind w:left="131" w:right="114"/>
              <w:jc w:val="center"/>
              <w:rPr>
                <w:rFonts w:ascii="Times New Roman" w:hAnsi="宋体" w:eastAsia="宋体" w:cs="宋体"/>
                <w:sz w:val="21"/>
              </w:rPr>
            </w:pPr>
            <w:r>
              <w:rPr>
                <w:rFonts w:ascii="Times New Roman" w:hAnsi="宋体" w:eastAsia="宋体" w:cs="宋体"/>
                <w:spacing w:val="-4"/>
                <w:sz w:val="21"/>
              </w:rPr>
              <w:t>15.7</w:t>
            </w:r>
          </w:p>
        </w:tc>
        <w:tc>
          <w:tcPr>
            <w:tcW w:w="944" w:type="dxa"/>
          </w:tcPr>
          <w:p w14:paraId="1132B21B">
            <w:pPr>
              <w:spacing w:before="34"/>
              <w:ind w:left="302" w:right="282"/>
              <w:jc w:val="center"/>
              <w:rPr>
                <w:rFonts w:ascii="Times New Roman" w:hAnsi="宋体" w:eastAsia="宋体" w:cs="宋体"/>
                <w:sz w:val="21"/>
              </w:rPr>
            </w:pPr>
            <w:r>
              <w:rPr>
                <w:rFonts w:ascii="Times New Roman" w:hAnsi="宋体" w:eastAsia="宋体" w:cs="宋体"/>
                <w:spacing w:val="-5"/>
                <w:sz w:val="21"/>
              </w:rPr>
              <w:t>18</w:t>
            </w:r>
          </w:p>
        </w:tc>
        <w:tc>
          <w:tcPr>
            <w:tcW w:w="914" w:type="dxa"/>
          </w:tcPr>
          <w:p w14:paraId="60E77FC3">
            <w:pPr>
              <w:spacing w:before="34"/>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2C1D4065">
            <w:pPr>
              <w:spacing w:before="176"/>
              <w:ind w:left="119"/>
              <w:rPr>
                <w:rFonts w:ascii="宋体" w:hAnsi="宋体" w:eastAsia="宋体" w:cs="宋体"/>
                <w:sz w:val="21"/>
              </w:rPr>
            </w:pPr>
            <w:r>
              <w:rPr>
                <w:rFonts w:ascii="宋体" w:hAnsi="宋体" w:eastAsia="宋体" w:cs="宋体"/>
                <w:spacing w:val="-4"/>
                <w:w w:val="95"/>
                <w:sz w:val="21"/>
              </w:rPr>
              <w:t>预期性</w:t>
            </w:r>
          </w:p>
        </w:tc>
      </w:tr>
      <w:tr w14:paraId="6A4E79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8" w:hRule="atLeast"/>
        </w:trPr>
        <w:tc>
          <w:tcPr>
            <w:tcW w:w="696" w:type="dxa"/>
            <w:vMerge w:val="continue"/>
            <w:tcBorders>
              <w:top w:val="nil"/>
            </w:tcBorders>
          </w:tcPr>
          <w:p w14:paraId="158C4EDC">
            <w:pPr>
              <w:rPr>
                <w:sz w:val="2"/>
                <w:szCs w:val="2"/>
              </w:rPr>
            </w:pPr>
          </w:p>
        </w:tc>
        <w:tc>
          <w:tcPr>
            <w:tcW w:w="3766" w:type="dxa"/>
          </w:tcPr>
          <w:p w14:paraId="42BA04FF">
            <w:pPr>
              <w:spacing w:before="22"/>
              <w:ind w:left="107"/>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15</w:t>
            </w:r>
            <w:r>
              <w:rPr>
                <w:rFonts w:ascii="宋体" w:hAnsi="宋体" w:eastAsia="宋体" w:cs="宋体"/>
                <w:w w:val="95"/>
                <w:sz w:val="21"/>
              </w:rPr>
              <w:t>）研究经费投入增长</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Pr>
          <w:p w14:paraId="755E7184">
            <w:pPr>
              <w:spacing w:before="36"/>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4335CEB6">
            <w:pPr>
              <w:spacing w:before="36"/>
              <w:ind w:left="132" w:right="114"/>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Pr>
          <w:p w14:paraId="0247FC67">
            <w:pPr>
              <w:spacing w:before="36"/>
              <w:ind w:left="301"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14" w:type="dxa"/>
          </w:tcPr>
          <w:p w14:paraId="1EAABE8E">
            <w:pPr>
              <w:spacing w:before="36"/>
              <w:ind w:right="259"/>
              <w:jc w:val="right"/>
              <w:rPr>
                <w:rFonts w:ascii="Times New Roman" w:hAnsi="宋体" w:eastAsia="宋体" w:cs="宋体"/>
                <w:sz w:val="21"/>
              </w:rPr>
            </w:pPr>
            <w:r>
              <w:rPr>
                <w:rFonts w:ascii="Times New Roman" w:hAnsi="宋体" w:eastAsia="宋体" w:cs="宋体"/>
                <w:spacing w:val="-4"/>
                <w:sz w:val="21"/>
              </w:rPr>
              <w:t>[18]</w:t>
            </w:r>
          </w:p>
        </w:tc>
        <w:tc>
          <w:tcPr>
            <w:tcW w:w="871" w:type="dxa"/>
          </w:tcPr>
          <w:p w14:paraId="175D1DD7">
            <w:pPr>
              <w:spacing w:before="43"/>
              <w:ind w:left="119"/>
              <w:rPr>
                <w:rFonts w:ascii="宋体" w:hAnsi="宋体" w:eastAsia="宋体" w:cs="宋体"/>
                <w:sz w:val="21"/>
              </w:rPr>
            </w:pPr>
            <w:r>
              <w:rPr>
                <w:rFonts w:ascii="宋体" w:hAnsi="宋体" w:eastAsia="宋体" w:cs="宋体"/>
                <w:spacing w:val="-4"/>
                <w:w w:val="95"/>
                <w:sz w:val="21"/>
              </w:rPr>
              <w:t>预期性</w:t>
            </w:r>
          </w:p>
        </w:tc>
      </w:tr>
      <w:tr w14:paraId="37F3A3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696" w:type="dxa"/>
            <w:vMerge w:val="continue"/>
            <w:tcBorders>
              <w:top w:val="nil"/>
            </w:tcBorders>
          </w:tcPr>
          <w:p w14:paraId="5FA480BF">
            <w:pPr>
              <w:rPr>
                <w:sz w:val="2"/>
                <w:szCs w:val="2"/>
              </w:rPr>
            </w:pPr>
          </w:p>
        </w:tc>
        <w:tc>
          <w:tcPr>
            <w:tcW w:w="3766" w:type="dxa"/>
          </w:tcPr>
          <w:p w14:paraId="44EC0B35">
            <w:pPr>
              <w:spacing w:before="20"/>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16</w:t>
            </w:r>
            <w:r>
              <w:rPr>
                <w:rFonts w:ascii="宋体" w:hAnsi="宋体" w:eastAsia="宋体" w:cs="宋体"/>
                <w:w w:val="95"/>
                <w:sz w:val="21"/>
              </w:rPr>
              <w:t>）高新技术企业数量（个</w:t>
            </w:r>
            <w:r>
              <w:rPr>
                <w:rFonts w:ascii="宋体" w:hAnsi="宋体" w:eastAsia="宋体" w:cs="宋体"/>
                <w:spacing w:val="-10"/>
                <w:w w:val="95"/>
                <w:sz w:val="21"/>
              </w:rPr>
              <w:t>）</w:t>
            </w:r>
          </w:p>
        </w:tc>
        <w:tc>
          <w:tcPr>
            <w:tcW w:w="1011" w:type="dxa"/>
          </w:tcPr>
          <w:p w14:paraId="2E76D8B5">
            <w:pPr>
              <w:spacing w:before="44"/>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2064532D">
            <w:pPr>
              <w:spacing w:before="44"/>
              <w:ind w:left="131" w:right="114"/>
              <w:jc w:val="center"/>
              <w:rPr>
                <w:rFonts w:ascii="Times New Roman" w:hAnsi="宋体" w:eastAsia="宋体" w:cs="宋体"/>
                <w:sz w:val="21"/>
              </w:rPr>
            </w:pPr>
            <w:r>
              <w:rPr>
                <w:rFonts w:ascii="Times New Roman" w:hAnsi="宋体" w:eastAsia="宋体" w:cs="宋体"/>
                <w:spacing w:val="-5"/>
                <w:sz w:val="21"/>
              </w:rPr>
              <w:t>60</w:t>
            </w:r>
          </w:p>
        </w:tc>
        <w:tc>
          <w:tcPr>
            <w:tcW w:w="944" w:type="dxa"/>
          </w:tcPr>
          <w:p w14:paraId="43D79A66">
            <w:pPr>
              <w:spacing w:before="44"/>
              <w:ind w:left="302" w:right="282"/>
              <w:jc w:val="center"/>
              <w:rPr>
                <w:rFonts w:ascii="Times New Roman" w:hAnsi="宋体" w:eastAsia="宋体" w:cs="宋体"/>
                <w:sz w:val="21"/>
              </w:rPr>
            </w:pPr>
            <w:r>
              <w:rPr>
                <w:rFonts w:ascii="Times New Roman" w:hAnsi="宋体" w:eastAsia="宋体" w:cs="宋体"/>
                <w:spacing w:val="-5"/>
                <w:sz w:val="21"/>
              </w:rPr>
              <w:t>90</w:t>
            </w:r>
          </w:p>
        </w:tc>
        <w:tc>
          <w:tcPr>
            <w:tcW w:w="914" w:type="dxa"/>
          </w:tcPr>
          <w:p w14:paraId="414B059C">
            <w:pPr>
              <w:spacing w:before="44"/>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7623013E">
            <w:pPr>
              <w:spacing w:before="30"/>
              <w:ind w:left="119"/>
              <w:rPr>
                <w:rFonts w:ascii="宋体" w:hAnsi="宋体" w:eastAsia="宋体" w:cs="宋体"/>
                <w:sz w:val="21"/>
              </w:rPr>
            </w:pPr>
            <w:r>
              <w:rPr>
                <w:rFonts w:ascii="宋体" w:hAnsi="宋体" w:eastAsia="宋体" w:cs="宋体"/>
                <w:spacing w:val="-4"/>
                <w:w w:val="95"/>
                <w:sz w:val="21"/>
              </w:rPr>
              <w:t>预期性</w:t>
            </w:r>
          </w:p>
        </w:tc>
      </w:tr>
      <w:tr w14:paraId="2D9AA0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696" w:type="dxa"/>
            <w:vMerge w:val="continue"/>
            <w:tcBorders>
              <w:top w:val="nil"/>
            </w:tcBorders>
          </w:tcPr>
          <w:p w14:paraId="18E6A2C9">
            <w:pPr>
              <w:rPr>
                <w:sz w:val="2"/>
                <w:szCs w:val="2"/>
              </w:rPr>
            </w:pPr>
          </w:p>
        </w:tc>
        <w:tc>
          <w:tcPr>
            <w:tcW w:w="3766" w:type="dxa"/>
          </w:tcPr>
          <w:p w14:paraId="62FFC140">
            <w:pPr>
              <w:spacing w:before="20"/>
              <w:ind w:left="107"/>
              <w:rPr>
                <w:rFonts w:ascii="宋体" w:hAnsi="宋体" w:eastAsia="宋体" w:cs="宋体"/>
                <w:sz w:val="21"/>
              </w:rPr>
            </w:pPr>
            <w:r>
              <w:rPr>
                <w:rFonts w:ascii="宋体" w:hAnsi="宋体" w:eastAsia="宋体" w:cs="宋体"/>
                <w:spacing w:val="9"/>
                <w:w w:val="95"/>
                <w:sz w:val="21"/>
              </w:rPr>
              <w:t>（</w:t>
            </w:r>
            <w:r>
              <w:rPr>
                <w:rFonts w:ascii="Times New Roman" w:hAnsi="宋体" w:eastAsia="Times New Roman" w:cs="宋体"/>
                <w:spacing w:val="9"/>
                <w:w w:val="95"/>
                <w:sz w:val="21"/>
              </w:rPr>
              <w:t>17</w:t>
            </w:r>
            <w:r>
              <w:rPr>
                <w:rFonts w:ascii="宋体" w:hAnsi="宋体" w:eastAsia="宋体" w:cs="宋体"/>
                <w:spacing w:val="9"/>
                <w:w w:val="95"/>
                <w:sz w:val="21"/>
              </w:rPr>
              <w:t>）规上工业企业研发机构覆盖率</w:t>
            </w:r>
          </w:p>
          <w:p w14:paraId="08A591FD">
            <w:pPr>
              <w:spacing w:before="43"/>
              <w:ind w:left="107"/>
              <w:rPr>
                <w:rFonts w:ascii="宋体" w:hAnsi="宋体" w:eastAsia="宋体" w:cs="宋体"/>
                <w:sz w:val="21"/>
              </w:rPr>
            </w:pPr>
            <w:r>
              <w:rPr>
                <w:rFonts w:ascii="宋体" w:hAnsi="宋体" w:eastAsia="宋体" w:cs="宋体"/>
                <w:spacing w:val="-5"/>
                <w:sz w:val="21"/>
              </w:rPr>
              <w:t>（</w:t>
            </w:r>
            <w:r>
              <w:rPr>
                <w:rFonts w:ascii="Times New Roman" w:hAnsi="宋体" w:eastAsia="Times New Roman" w:cs="宋体"/>
                <w:spacing w:val="-5"/>
                <w:sz w:val="21"/>
              </w:rPr>
              <w:t>%</w:t>
            </w:r>
            <w:r>
              <w:rPr>
                <w:rFonts w:ascii="宋体" w:hAnsi="宋体" w:eastAsia="宋体" w:cs="宋体"/>
                <w:spacing w:val="-5"/>
                <w:sz w:val="21"/>
              </w:rPr>
              <w:t>）</w:t>
            </w:r>
          </w:p>
        </w:tc>
        <w:tc>
          <w:tcPr>
            <w:tcW w:w="1011" w:type="dxa"/>
          </w:tcPr>
          <w:p w14:paraId="52DE534D">
            <w:pPr>
              <w:spacing w:before="190"/>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362E9A3F">
            <w:pPr>
              <w:spacing w:before="190"/>
              <w:ind w:left="132" w:right="114"/>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Pr>
          <w:p w14:paraId="34E04498">
            <w:pPr>
              <w:spacing w:before="190"/>
              <w:ind w:left="302" w:right="282"/>
              <w:jc w:val="center"/>
              <w:rPr>
                <w:rFonts w:ascii="Times New Roman" w:hAnsi="宋体" w:eastAsia="宋体" w:cs="宋体"/>
                <w:sz w:val="21"/>
              </w:rPr>
            </w:pPr>
            <w:r>
              <w:rPr>
                <w:rFonts w:ascii="Times New Roman" w:hAnsi="宋体" w:eastAsia="宋体" w:cs="宋体"/>
                <w:spacing w:val="-5"/>
                <w:sz w:val="21"/>
              </w:rPr>
              <w:t>25</w:t>
            </w:r>
          </w:p>
        </w:tc>
        <w:tc>
          <w:tcPr>
            <w:tcW w:w="914" w:type="dxa"/>
          </w:tcPr>
          <w:p w14:paraId="1AB44FAA">
            <w:pPr>
              <w:spacing w:before="190"/>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1260FB70">
            <w:pPr>
              <w:spacing w:before="176"/>
              <w:ind w:left="107"/>
              <w:rPr>
                <w:rFonts w:ascii="宋体" w:hAnsi="宋体" w:eastAsia="宋体" w:cs="宋体"/>
                <w:sz w:val="21"/>
              </w:rPr>
            </w:pPr>
            <w:r>
              <w:rPr>
                <w:rFonts w:ascii="宋体" w:hAnsi="宋体" w:eastAsia="宋体" w:cs="宋体"/>
                <w:spacing w:val="-4"/>
                <w:w w:val="95"/>
                <w:sz w:val="21"/>
              </w:rPr>
              <w:t>预期性</w:t>
            </w:r>
          </w:p>
        </w:tc>
      </w:tr>
      <w:tr w14:paraId="30CE79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696" w:type="dxa"/>
            <w:vMerge w:val="continue"/>
            <w:tcBorders>
              <w:top w:val="nil"/>
            </w:tcBorders>
          </w:tcPr>
          <w:p w14:paraId="200D0E4C">
            <w:pPr>
              <w:rPr>
                <w:sz w:val="2"/>
                <w:szCs w:val="2"/>
              </w:rPr>
            </w:pPr>
          </w:p>
        </w:tc>
        <w:tc>
          <w:tcPr>
            <w:tcW w:w="3766" w:type="dxa"/>
          </w:tcPr>
          <w:p w14:paraId="2FEA3661">
            <w:pPr>
              <w:spacing w:before="31"/>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18</w:t>
            </w:r>
            <w:r>
              <w:rPr>
                <w:rFonts w:ascii="宋体" w:hAnsi="宋体" w:eastAsia="宋体" w:cs="宋体"/>
                <w:w w:val="95"/>
                <w:sz w:val="21"/>
              </w:rPr>
              <w:t>）新注册企业三年存活率</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4734E6A1">
            <w:pPr>
              <w:spacing w:before="45"/>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53807B97">
            <w:pPr>
              <w:spacing w:before="45"/>
              <w:ind w:left="131" w:right="114"/>
              <w:jc w:val="center"/>
              <w:rPr>
                <w:rFonts w:ascii="Times New Roman" w:hAnsi="宋体" w:eastAsia="宋体" w:cs="宋体"/>
                <w:sz w:val="21"/>
              </w:rPr>
            </w:pPr>
            <w:r>
              <w:rPr>
                <w:rFonts w:ascii="Times New Roman" w:hAnsi="宋体" w:eastAsia="宋体" w:cs="宋体"/>
                <w:spacing w:val="-5"/>
                <w:sz w:val="21"/>
              </w:rPr>
              <w:t>70</w:t>
            </w:r>
          </w:p>
        </w:tc>
        <w:tc>
          <w:tcPr>
            <w:tcW w:w="944" w:type="dxa"/>
          </w:tcPr>
          <w:p w14:paraId="0312262D">
            <w:pPr>
              <w:spacing w:before="45"/>
              <w:ind w:left="302" w:right="282"/>
              <w:jc w:val="center"/>
              <w:rPr>
                <w:rFonts w:ascii="Times New Roman" w:hAnsi="宋体" w:eastAsia="宋体" w:cs="宋体"/>
                <w:sz w:val="21"/>
              </w:rPr>
            </w:pPr>
            <w:r>
              <w:rPr>
                <w:rFonts w:ascii="Times New Roman" w:hAnsi="宋体" w:eastAsia="宋体" w:cs="宋体"/>
                <w:spacing w:val="-5"/>
                <w:sz w:val="21"/>
              </w:rPr>
              <w:t>80</w:t>
            </w:r>
          </w:p>
        </w:tc>
        <w:tc>
          <w:tcPr>
            <w:tcW w:w="914" w:type="dxa"/>
          </w:tcPr>
          <w:p w14:paraId="6A4F4969">
            <w:pPr>
              <w:spacing w:before="45"/>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7EC042C5">
            <w:pPr>
              <w:spacing w:before="31"/>
              <w:ind w:left="107"/>
              <w:rPr>
                <w:rFonts w:ascii="宋体" w:hAnsi="宋体" w:eastAsia="宋体" w:cs="宋体"/>
                <w:sz w:val="21"/>
              </w:rPr>
            </w:pPr>
            <w:r>
              <w:rPr>
                <w:rFonts w:ascii="宋体" w:hAnsi="宋体" w:eastAsia="宋体" w:cs="宋体"/>
                <w:spacing w:val="-4"/>
                <w:w w:val="95"/>
                <w:sz w:val="21"/>
              </w:rPr>
              <w:t>预期性</w:t>
            </w:r>
          </w:p>
        </w:tc>
      </w:tr>
      <w:tr w14:paraId="525955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2" w:hRule="atLeast"/>
        </w:trPr>
        <w:tc>
          <w:tcPr>
            <w:tcW w:w="696" w:type="dxa"/>
            <w:vMerge w:val="continue"/>
            <w:tcBorders>
              <w:top w:val="nil"/>
            </w:tcBorders>
          </w:tcPr>
          <w:p w14:paraId="7C19E4F8">
            <w:pPr>
              <w:rPr>
                <w:sz w:val="2"/>
                <w:szCs w:val="2"/>
              </w:rPr>
            </w:pPr>
          </w:p>
        </w:tc>
        <w:tc>
          <w:tcPr>
            <w:tcW w:w="3766" w:type="dxa"/>
          </w:tcPr>
          <w:p w14:paraId="0871FAA1">
            <w:pPr>
              <w:spacing w:before="30"/>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19</w:t>
            </w:r>
            <w:r>
              <w:rPr>
                <w:rFonts w:ascii="宋体" w:hAnsi="宋体" w:eastAsia="宋体" w:cs="宋体"/>
                <w:w w:val="95"/>
                <w:sz w:val="21"/>
              </w:rPr>
              <w:t>）</w:t>
            </w:r>
            <w:r>
              <w:rPr>
                <w:rFonts w:ascii="宋体" w:hAnsi="宋体" w:eastAsia="宋体" w:cs="宋体"/>
                <w:spacing w:val="-1"/>
                <w:w w:val="95"/>
                <w:sz w:val="21"/>
              </w:rPr>
              <w:t>净增企业法人单位数占企业法人</w:t>
            </w:r>
          </w:p>
          <w:p w14:paraId="17A8A1C5">
            <w:pPr>
              <w:spacing w:before="43"/>
              <w:ind w:left="107"/>
              <w:rPr>
                <w:rFonts w:ascii="宋体" w:hAnsi="宋体" w:eastAsia="宋体" w:cs="宋体"/>
                <w:sz w:val="21"/>
              </w:rPr>
            </w:pPr>
            <w:r>
              <w:rPr>
                <w:rFonts w:ascii="宋体" w:hAnsi="宋体" w:eastAsia="宋体" w:cs="宋体"/>
                <w:w w:val="95"/>
                <w:sz w:val="21"/>
              </w:rPr>
              <w:t>单位比重</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3B52CDA5">
            <w:pPr>
              <w:spacing w:before="8"/>
              <w:rPr>
                <w:rFonts w:ascii="黑体" w:hAnsi="宋体" w:eastAsia="宋体" w:cs="宋体"/>
                <w:sz w:val="15"/>
              </w:rPr>
            </w:pPr>
          </w:p>
          <w:p w14:paraId="72A80CED">
            <w:pPr>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3404E612">
            <w:pPr>
              <w:spacing w:before="8"/>
              <w:rPr>
                <w:rFonts w:ascii="黑体" w:hAnsi="宋体" w:eastAsia="宋体" w:cs="宋体"/>
                <w:sz w:val="15"/>
              </w:rPr>
            </w:pPr>
          </w:p>
          <w:p w14:paraId="3AFB11B0">
            <w:pPr>
              <w:ind w:left="131" w:right="114"/>
              <w:jc w:val="center"/>
              <w:rPr>
                <w:rFonts w:ascii="Times New Roman" w:hAnsi="宋体" w:eastAsia="宋体" w:cs="宋体"/>
                <w:sz w:val="21"/>
              </w:rPr>
            </w:pPr>
            <w:r>
              <w:rPr>
                <w:rFonts w:ascii="Times New Roman" w:hAnsi="宋体" w:eastAsia="宋体" w:cs="宋体"/>
                <w:spacing w:val="-5"/>
                <w:sz w:val="21"/>
              </w:rPr>
              <w:t>4.5</w:t>
            </w:r>
          </w:p>
        </w:tc>
        <w:tc>
          <w:tcPr>
            <w:tcW w:w="944" w:type="dxa"/>
          </w:tcPr>
          <w:p w14:paraId="4CE25BE9">
            <w:pPr>
              <w:spacing w:before="8"/>
              <w:rPr>
                <w:rFonts w:ascii="黑体" w:hAnsi="宋体" w:eastAsia="宋体" w:cs="宋体"/>
                <w:sz w:val="15"/>
              </w:rPr>
            </w:pPr>
          </w:p>
          <w:p w14:paraId="22ECE4B8">
            <w:pPr>
              <w:ind w:left="15"/>
              <w:jc w:val="center"/>
              <w:rPr>
                <w:rFonts w:ascii="Times New Roman" w:hAnsi="宋体" w:eastAsia="宋体" w:cs="宋体"/>
                <w:sz w:val="21"/>
              </w:rPr>
            </w:pPr>
            <w:r>
              <w:rPr>
                <w:rFonts w:ascii="Times New Roman" w:hAnsi="宋体" w:eastAsia="宋体" w:cs="宋体"/>
                <w:w w:val="99"/>
                <w:sz w:val="21"/>
              </w:rPr>
              <w:t>6</w:t>
            </w:r>
          </w:p>
        </w:tc>
        <w:tc>
          <w:tcPr>
            <w:tcW w:w="914" w:type="dxa"/>
          </w:tcPr>
          <w:p w14:paraId="750F2FF9">
            <w:pPr>
              <w:spacing w:before="8"/>
              <w:rPr>
                <w:rFonts w:ascii="黑体" w:hAnsi="宋体" w:eastAsia="宋体" w:cs="宋体"/>
                <w:sz w:val="15"/>
              </w:rPr>
            </w:pPr>
          </w:p>
          <w:p w14:paraId="62B04815">
            <w:pPr>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1FCA4BBC">
            <w:pPr>
              <w:spacing w:before="7"/>
              <w:rPr>
                <w:rFonts w:ascii="黑体" w:hAnsi="宋体" w:eastAsia="宋体" w:cs="宋体"/>
                <w:sz w:val="14"/>
              </w:rPr>
            </w:pPr>
          </w:p>
          <w:p w14:paraId="2EC839AC">
            <w:pPr>
              <w:ind w:left="107"/>
              <w:rPr>
                <w:rFonts w:ascii="宋体" w:hAnsi="宋体" w:eastAsia="宋体" w:cs="宋体"/>
                <w:sz w:val="21"/>
              </w:rPr>
            </w:pPr>
            <w:r>
              <w:rPr>
                <w:rFonts w:ascii="宋体" w:hAnsi="宋体" w:eastAsia="宋体" w:cs="宋体"/>
                <w:spacing w:val="-4"/>
                <w:w w:val="95"/>
                <w:sz w:val="21"/>
              </w:rPr>
              <w:t>预期性</w:t>
            </w:r>
          </w:p>
        </w:tc>
      </w:tr>
      <w:tr w14:paraId="21A4FA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tcBorders>
          </w:tcPr>
          <w:p w14:paraId="48256315">
            <w:pPr>
              <w:rPr>
                <w:sz w:val="2"/>
                <w:szCs w:val="2"/>
              </w:rPr>
            </w:pPr>
          </w:p>
        </w:tc>
        <w:tc>
          <w:tcPr>
            <w:tcW w:w="3766" w:type="dxa"/>
          </w:tcPr>
          <w:p w14:paraId="5D56FE42">
            <w:pPr>
              <w:spacing w:before="43"/>
              <w:ind w:left="107" w:right="-29"/>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20</w:t>
            </w:r>
            <w:r>
              <w:rPr>
                <w:rFonts w:ascii="宋体" w:hAnsi="宋体" w:eastAsia="宋体" w:cs="宋体"/>
                <w:w w:val="95"/>
                <w:sz w:val="21"/>
              </w:rPr>
              <w:t>）互联网数字经济增加值增速</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6D651DD0">
            <w:pPr>
              <w:spacing w:before="57"/>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5B35ADB8">
            <w:pPr>
              <w:spacing w:before="57"/>
              <w:ind w:left="132" w:right="114"/>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Pr>
          <w:p w14:paraId="3556611C">
            <w:pPr>
              <w:spacing w:before="57"/>
              <w:ind w:left="301"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14" w:type="dxa"/>
          </w:tcPr>
          <w:p w14:paraId="4DD82CEA">
            <w:pPr>
              <w:spacing w:before="57"/>
              <w:ind w:right="241"/>
              <w:jc w:val="right"/>
              <w:rPr>
                <w:rFonts w:ascii="Times New Roman" w:hAnsi="宋体" w:eastAsia="宋体" w:cs="宋体"/>
                <w:sz w:val="21"/>
              </w:rPr>
            </w:pPr>
            <w:r>
              <w:rPr>
                <w:rFonts w:ascii="Times New Roman" w:hAnsi="宋体" w:eastAsia="宋体" w:cs="宋体"/>
                <w:spacing w:val="-5"/>
                <w:sz w:val="21"/>
              </w:rPr>
              <w:t>10%</w:t>
            </w:r>
          </w:p>
        </w:tc>
        <w:tc>
          <w:tcPr>
            <w:tcW w:w="871" w:type="dxa"/>
          </w:tcPr>
          <w:p w14:paraId="793FDA41">
            <w:pPr>
              <w:spacing w:before="43"/>
              <w:ind w:left="107"/>
              <w:rPr>
                <w:rFonts w:ascii="宋体" w:hAnsi="宋体" w:eastAsia="宋体" w:cs="宋体"/>
                <w:sz w:val="21"/>
              </w:rPr>
            </w:pPr>
            <w:r>
              <w:rPr>
                <w:rFonts w:ascii="宋体" w:hAnsi="宋体" w:eastAsia="宋体" w:cs="宋体"/>
                <w:spacing w:val="-4"/>
                <w:w w:val="95"/>
                <w:sz w:val="21"/>
              </w:rPr>
              <w:t>预期性</w:t>
            </w:r>
          </w:p>
        </w:tc>
      </w:tr>
      <w:tr w14:paraId="165733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restart"/>
          </w:tcPr>
          <w:p w14:paraId="512084C5">
            <w:pPr>
              <w:rPr>
                <w:rFonts w:ascii="黑体" w:hAnsi="宋体" w:eastAsia="宋体" w:cs="宋体"/>
                <w:sz w:val="20"/>
              </w:rPr>
            </w:pPr>
          </w:p>
          <w:p w14:paraId="67926383">
            <w:pPr>
              <w:spacing w:before="6"/>
              <w:rPr>
                <w:rFonts w:ascii="黑体" w:hAnsi="宋体" w:eastAsia="宋体" w:cs="宋体"/>
                <w:sz w:val="15"/>
              </w:rPr>
            </w:pPr>
          </w:p>
          <w:p w14:paraId="760092A5">
            <w:pPr>
              <w:spacing w:line="278" w:lineRule="auto"/>
              <w:ind w:left="136" w:right="117"/>
              <w:rPr>
                <w:rFonts w:ascii="宋体" w:hAnsi="宋体" w:eastAsia="宋体" w:cs="宋体"/>
                <w:b/>
                <w:sz w:val="21"/>
              </w:rPr>
            </w:pPr>
            <w:r>
              <w:rPr>
                <w:rFonts w:ascii="宋体" w:hAnsi="宋体" w:eastAsia="宋体" w:cs="宋体"/>
                <w:b/>
                <w:spacing w:val="-6"/>
                <w:sz w:val="21"/>
              </w:rPr>
              <w:t>协调</w:t>
            </w:r>
            <w:r>
              <w:rPr>
                <w:rFonts w:ascii="宋体" w:hAnsi="宋体" w:eastAsia="宋体" w:cs="宋体"/>
                <w:b/>
                <w:spacing w:val="-5"/>
                <w:w w:val="95"/>
                <w:sz w:val="21"/>
              </w:rPr>
              <w:t>发展</w:t>
            </w:r>
          </w:p>
        </w:tc>
        <w:tc>
          <w:tcPr>
            <w:tcW w:w="3766" w:type="dxa"/>
          </w:tcPr>
          <w:p w14:paraId="0F06C007">
            <w:pPr>
              <w:spacing w:before="44"/>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21</w:t>
            </w:r>
            <w:r>
              <w:rPr>
                <w:rFonts w:ascii="宋体" w:hAnsi="宋体" w:eastAsia="宋体" w:cs="宋体"/>
                <w:w w:val="95"/>
                <w:sz w:val="21"/>
              </w:rPr>
              <w:t>）常住人口数（万人</w:t>
            </w:r>
            <w:r>
              <w:rPr>
                <w:rFonts w:ascii="宋体" w:hAnsi="宋体" w:eastAsia="宋体" w:cs="宋体"/>
                <w:spacing w:val="-10"/>
                <w:w w:val="95"/>
                <w:sz w:val="21"/>
              </w:rPr>
              <w:t>）</w:t>
            </w:r>
          </w:p>
        </w:tc>
        <w:tc>
          <w:tcPr>
            <w:tcW w:w="1011" w:type="dxa"/>
          </w:tcPr>
          <w:p w14:paraId="1101783B">
            <w:pPr>
              <w:spacing w:before="58"/>
              <w:ind w:left="148" w:right="129"/>
              <w:jc w:val="center"/>
              <w:rPr>
                <w:rFonts w:ascii="Times New Roman" w:hAnsi="宋体" w:eastAsia="宋体" w:cs="宋体"/>
                <w:sz w:val="21"/>
              </w:rPr>
            </w:pPr>
            <w:r>
              <w:rPr>
                <w:rFonts w:ascii="Times New Roman" w:hAnsi="宋体" w:eastAsia="宋体" w:cs="宋体"/>
                <w:spacing w:val="-4"/>
                <w:sz w:val="21"/>
              </w:rPr>
              <w:t>30.2</w:t>
            </w:r>
          </w:p>
        </w:tc>
        <w:tc>
          <w:tcPr>
            <w:tcW w:w="978" w:type="dxa"/>
          </w:tcPr>
          <w:p w14:paraId="006E1EF1">
            <w:pPr>
              <w:spacing w:before="58"/>
              <w:ind w:left="131" w:right="114"/>
              <w:jc w:val="center"/>
              <w:rPr>
                <w:rFonts w:ascii="Times New Roman" w:hAnsi="宋体" w:eastAsia="宋体" w:cs="宋体"/>
                <w:sz w:val="21"/>
              </w:rPr>
            </w:pPr>
            <w:r>
              <w:rPr>
                <w:rFonts w:ascii="Times New Roman" w:hAnsi="宋体" w:eastAsia="宋体" w:cs="宋体"/>
                <w:spacing w:val="-5"/>
                <w:sz w:val="21"/>
              </w:rPr>
              <w:t>60</w:t>
            </w:r>
          </w:p>
        </w:tc>
        <w:tc>
          <w:tcPr>
            <w:tcW w:w="944" w:type="dxa"/>
          </w:tcPr>
          <w:p w14:paraId="1BA5BD2C">
            <w:pPr>
              <w:spacing w:before="58"/>
              <w:ind w:left="300" w:right="282"/>
              <w:jc w:val="center"/>
              <w:rPr>
                <w:rFonts w:ascii="Times New Roman" w:hAnsi="宋体" w:eastAsia="宋体" w:cs="宋体"/>
                <w:sz w:val="21"/>
              </w:rPr>
            </w:pPr>
            <w:r>
              <w:rPr>
                <w:rFonts w:ascii="Times New Roman" w:hAnsi="宋体" w:eastAsia="宋体" w:cs="宋体"/>
                <w:spacing w:val="-5"/>
                <w:sz w:val="21"/>
              </w:rPr>
              <w:t>75</w:t>
            </w:r>
          </w:p>
        </w:tc>
        <w:tc>
          <w:tcPr>
            <w:tcW w:w="914" w:type="dxa"/>
          </w:tcPr>
          <w:p w14:paraId="40570E9D">
            <w:pPr>
              <w:spacing w:before="58"/>
              <w:ind w:right="217"/>
              <w:jc w:val="right"/>
              <w:rPr>
                <w:rFonts w:ascii="Times New Roman" w:hAnsi="宋体" w:eastAsia="宋体" w:cs="宋体"/>
                <w:sz w:val="21"/>
              </w:rPr>
            </w:pPr>
            <w:r>
              <w:rPr>
                <w:rFonts w:ascii="Times New Roman" w:hAnsi="宋体" w:eastAsia="宋体" w:cs="宋体"/>
                <w:spacing w:val="-4"/>
                <w:sz w:val="21"/>
              </w:rPr>
              <w:t>4.5%</w:t>
            </w:r>
          </w:p>
        </w:tc>
        <w:tc>
          <w:tcPr>
            <w:tcW w:w="871" w:type="dxa"/>
          </w:tcPr>
          <w:p w14:paraId="66D862E7">
            <w:pPr>
              <w:spacing w:before="44"/>
              <w:ind w:left="119"/>
              <w:rPr>
                <w:rFonts w:ascii="宋体" w:hAnsi="宋体" w:eastAsia="宋体" w:cs="宋体"/>
                <w:sz w:val="21"/>
              </w:rPr>
            </w:pPr>
            <w:r>
              <w:rPr>
                <w:rFonts w:ascii="宋体" w:hAnsi="宋体" w:eastAsia="宋体" w:cs="宋体"/>
                <w:spacing w:val="-4"/>
                <w:w w:val="95"/>
                <w:sz w:val="21"/>
              </w:rPr>
              <w:t>预期性</w:t>
            </w:r>
          </w:p>
        </w:tc>
      </w:tr>
      <w:tr w14:paraId="0E844D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8" w:hRule="atLeast"/>
        </w:trPr>
        <w:tc>
          <w:tcPr>
            <w:tcW w:w="696" w:type="dxa"/>
            <w:vMerge w:val="continue"/>
            <w:tcBorders>
              <w:top w:val="nil"/>
            </w:tcBorders>
          </w:tcPr>
          <w:p w14:paraId="2A6176D3">
            <w:pPr>
              <w:rPr>
                <w:sz w:val="2"/>
                <w:szCs w:val="2"/>
              </w:rPr>
            </w:pPr>
          </w:p>
        </w:tc>
        <w:tc>
          <w:tcPr>
            <w:tcW w:w="3766" w:type="dxa"/>
          </w:tcPr>
          <w:p w14:paraId="781844E1">
            <w:pPr>
              <w:spacing w:before="43"/>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22</w:t>
            </w:r>
            <w:r>
              <w:rPr>
                <w:rFonts w:ascii="宋体" w:hAnsi="宋体" w:eastAsia="宋体" w:cs="宋体"/>
                <w:w w:val="95"/>
                <w:sz w:val="21"/>
              </w:rPr>
              <w:t>）常住人口城镇化率</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56176FD6">
            <w:pPr>
              <w:spacing w:before="57"/>
              <w:ind w:left="148" w:right="129"/>
              <w:jc w:val="center"/>
              <w:rPr>
                <w:rFonts w:ascii="Times New Roman" w:hAnsi="宋体" w:eastAsia="宋体" w:cs="宋体"/>
                <w:sz w:val="21"/>
              </w:rPr>
            </w:pPr>
            <w:r>
              <w:rPr>
                <w:rFonts w:ascii="Times New Roman" w:hAnsi="宋体" w:eastAsia="宋体" w:cs="宋体"/>
                <w:spacing w:val="-5"/>
                <w:sz w:val="21"/>
              </w:rPr>
              <w:t>85</w:t>
            </w:r>
          </w:p>
        </w:tc>
        <w:tc>
          <w:tcPr>
            <w:tcW w:w="978" w:type="dxa"/>
          </w:tcPr>
          <w:p w14:paraId="5C2A4792">
            <w:pPr>
              <w:spacing w:before="57"/>
              <w:ind w:left="131" w:right="114"/>
              <w:jc w:val="center"/>
              <w:rPr>
                <w:rFonts w:ascii="Times New Roman" w:hAnsi="宋体" w:eastAsia="宋体" w:cs="宋体"/>
                <w:sz w:val="21"/>
              </w:rPr>
            </w:pPr>
            <w:r>
              <w:rPr>
                <w:rFonts w:ascii="Times New Roman" w:hAnsi="宋体" w:eastAsia="宋体" w:cs="宋体"/>
                <w:spacing w:val="-5"/>
                <w:sz w:val="21"/>
              </w:rPr>
              <w:t>87</w:t>
            </w:r>
          </w:p>
        </w:tc>
        <w:tc>
          <w:tcPr>
            <w:tcW w:w="944" w:type="dxa"/>
          </w:tcPr>
          <w:p w14:paraId="5D089C48">
            <w:pPr>
              <w:spacing w:before="57"/>
              <w:ind w:left="300" w:right="282"/>
              <w:jc w:val="center"/>
              <w:rPr>
                <w:rFonts w:ascii="Times New Roman" w:hAnsi="宋体" w:eastAsia="宋体" w:cs="宋体"/>
                <w:sz w:val="21"/>
              </w:rPr>
            </w:pPr>
            <w:r>
              <w:rPr>
                <w:rFonts w:ascii="Times New Roman" w:hAnsi="宋体" w:eastAsia="宋体" w:cs="宋体"/>
                <w:spacing w:val="-5"/>
                <w:sz w:val="21"/>
              </w:rPr>
              <w:t>92</w:t>
            </w:r>
          </w:p>
        </w:tc>
        <w:tc>
          <w:tcPr>
            <w:tcW w:w="914" w:type="dxa"/>
          </w:tcPr>
          <w:p w14:paraId="2E6053BE">
            <w:pPr>
              <w:spacing w:before="57"/>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407974D8">
            <w:pPr>
              <w:spacing w:before="43"/>
              <w:ind w:left="119"/>
              <w:rPr>
                <w:rFonts w:ascii="宋体" w:hAnsi="宋体" w:eastAsia="宋体" w:cs="宋体"/>
                <w:sz w:val="21"/>
              </w:rPr>
            </w:pPr>
            <w:r>
              <w:rPr>
                <w:rFonts w:ascii="宋体" w:hAnsi="宋体" w:eastAsia="宋体" w:cs="宋体"/>
                <w:spacing w:val="-4"/>
                <w:w w:val="95"/>
                <w:sz w:val="21"/>
              </w:rPr>
              <w:t>预期性</w:t>
            </w:r>
          </w:p>
        </w:tc>
      </w:tr>
      <w:tr w14:paraId="3E8289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tcBorders>
          </w:tcPr>
          <w:p w14:paraId="04A2ADB9">
            <w:pPr>
              <w:rPr>
                <w:sz w:val="2"/>
                <w:szCs w:val="2"/>
              </w:rPr>
            </w:pPr>
          </w:p>
        </w:tc>
        <w:tc>
          <w:tcPr>
            <w:tcW w:w="3766" w:type="dxa"/>
          </w:tcPr>
          <w:p w14:paraId="6FEF4754">
            <w:pPr>
              <w:spacing w:before="44"/>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23</w:t>
            </w:r>
            <w:r>
              <w:rPr>
                <w:rFonts w:ascii="宋体" w:hAnsi="宋体" w:eastAsia="宋体" w:cs="宋体"/>
                <w:w w:val="95"/>
                <w:sz w:val="21"/>
              </w:rPr>
              <w:t>）</w:t>
            </w:r>
            <w:r>
              <w:rPr>
                <w:rFonts w:ascii="宋体" w:hAnsi="宋体" w:eastAsia="宋体" w:cs="宋体"/>
                <w:spacing w:val="-1"/>
                <w:w w:val="95"/>
                <w:sz w:val="21"/>
              </w:rPr>
              <w:t>城乡居民可支配收入比</w:t>
            </w:r>
          </w:p>
        </w:tc>
        <w:tc>
          <w:tcPr>
            <w:tcW w:w="1011" w:type="dxa"/>
          </w:tcPr>
          <w:p w14:paraId="49905967">
            <w:pPr>
              <w:spacing w:before="58"/>
              <w:ind w:left="148" w:right="129"/>
              <w:jc w:val="center"/>
              <w:rPr>
                <w:rFonts w:ascii="Times New Roman" w:hAnsi="宋体" w:eastAsia="宋体" w:cs="宋体"/>
                <w:sz w:val="21"/>
              </w:rPr>
            </w:pPr>
            <w:r>
              <w:rPr>
                <w:rFonts w:ascii="Times New Roman" w:hAnsi="宋体" w:eastAsia="宋体" w:cs="宋体"/>
                <w:spacing w:val="-5"/>
                <w:sz w:val="21"/>
              </w:rPr>
              <w:t>3.2</w:t>
            </w:r>
          </w:p>
        </w:tc>
        <w:tc>
          <w:tcPr>
            <w:tcW w:w="978" w:type="dxa"/>
          </w:tcPr>
          <w:p w14:paraId="41C28FDF">
            <w:pPr>
              <w:spacing w:before="58"/>
              <w:ind w:left="131" w:right="114"/>
              <w:jc w:val="center"/>
              <w:rPr>
                <w:rFonts w:ascii="Times New Roman" w:hAnsi="宋体" w:eastAsia="宋体" w:cs="宋体"/>
                <w:sz w:val="21"/>
              </w:rPr>
            </w:pPr>
            <w:r>
              <w:rPr>
                <w:rFonts w:ascii="Times New Roman" w:hAnsi="宋体" w:eastAsia="宋体" w:cs="宋体"/>
                <w:spacing w:val="-4"/>
                <w:sz w:val="21"/>
              </w:rPr>
              <w:t>2.98</w:t>
            </w:r>
          </w:p>
        </w:tc>
        <w:tc>
          <w:tcPr>
            <w:tcW w:w="944" w:type="dxa"/>
          </w:tcPr>
          <w:p w14:paraId="6016347A">
            <w:pPr>
              <w:spacing w:before="58"/>
              <w:ind w:left="300" w:right="282"/>
              <w:jc w:val="center"/>
              <w:rPr>
                <w:rFonts w:ascii="Times New Roman" w:hAnsi="宋体" w:eastAsia="宋体" w:cs="宋体"/>
                <w:sz w:val="21"/>
              </w:rPr>
            </w:pPr>
            <w:r>
              <w:rPr>
                <w:rFonts w:ascii="Times New Roman" w:hAnsi="宋体" w:eastAsia="宋体" w:cs="宋体"/>
                <w:spacing w:val="-5"/>
                <w:sz w:val="21"/>
              </w:rPr>
              <w:t>2.7</w:t>
            </w:r>
          </w:p>
        </w:tc>
        <w:tc>
          <w:tcPr>
            <w:tcW w:w="914" w:type="dxa"/>
          </w:tcPr>
          <w:p w14:paraId="4EE81DB0">
            <w:pPr>
              <w:spacing w:before="58"/>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39C7BBF5">
            <w:pPr>
              <w:spacing w:before="44"/>
              <w:ind w:left="119"/>
              <w:rPr>
                <w:rFonts w:ascii="宋体" w:hAnsi="宋体" w:eastAsia="宋体" w:cs="宋体"/>
                <w:sz w:val="21"/>
              </w:rPr>
            </w:pPr>
            <w:r>
              <w:rPr>
                <w:rFonts w:ascii="宋体" w:hAnsi="宋体" w:eastAsia="宋体" w:cs="宋体"/>
                <w:spacing w:val="-4"/>
                <w:w w:val="95"/>
                <w:sz w:val="21"/>
              </w:rPr>
              <w:t>预期性</w:t>
            </w:r>
          </w:p>
        </w:tc>
      </w:tr>
      <w:tr w14:paraId="03F9E8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tcBorders>
          </w:tcPr>
          <w:p w14:paraId="30EAC212">
            <w:pPr>
              <w:rPr>
                <w:sz w:val="2"/>
                <w:szCs w:val="2"/>
              </w:rPr>
            </w:pPr>
          </w:p>
        </w:tc>
        <w:tc>
          <w:tcPr>
            <w:tcW w:w="3766" w:type="dxa"/>
          </w:tcPr>
          <w:p w14:paraId="3923FF09">
            <w:pPr>
              <w:spacing w:before="43"/>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24</w:t>
            </w:r>
            <w:r>
              <w:rPr>
                <w:rFonts w:ascii="宋体" w:hAnsi="宋体" w:eastAsia="宋体" w:cs="宋体"/>
                <w:w w:val="95"/>
                <w:sz w:val="21"/>
              </w:rPr>
              <w:t>）</w:t>
            </w:r>
            <w:r>
              <w:rPr>
                <w:rFonts w:ascii="宋体" w:hAnsi="宋体" w:eastAsia="宋体" w:cs="宋体"/>
                <w:spacing w:val="-1"/>
                <w:w w:val="95"/>
                <w:sz w:val="21"/>
              </w:rPr>
              <w:t>地区人均生产总值差异系数</w:t>
            </w:r>
          </w:p>
        </w:tc>
        <w:tc>
          <w:tcPr>
            <w:tcW w:w="1011" w:type="dxa"/>
          </w:tcPr>
          <w:p w14:paraId="34FBD596">
            <w:pPr>
              <w:spacing w:before="57"/>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3C3DA2C0">
            <w:pPr>
              <w:spacing w:before="57"/>
              <w:ind w:left="131" w:right="114"/>
              <w:jc w:val="center"/>
              <w:rPr>
                <w:rFonts w:ascii="Times New Roman" w:hAnsi="宋体" w:eastAsia="宋体" w:cs="宋体"/>
                <w:sz w:val="21"/>
              </w:rPr>
            </w:pPr>
            <w:r>
              <w:rPr>
                <w:rFonts w:ascii="Times New Roman" w:hAnsi="宋体" w:eastAsia="宋体" w:cs="宋体"/>
                <w:spacing w:val="-5"/>
                <w:sz w:val="21"/>
              </w:rPr>
              <w:t>0.5</w:t>
            </w:r>
          </w:p>
        </w:tc>
        <w:tc>
          <w:tcPr>
            <w:tcW w:w="944" w:type="dxa"/>
          </w:tcPr>
          <w:p w14:paraId="23996FA0">
            <w:pPr>
              <w:spacing w:before="57"/>
              <w:ind w:left="302" w:right="282"/>
              <w:jc w:val="center"/>
              <w:rPr>
                <w:rFonts w:ascii="Times New Roman" w:hAnsi="宋体" w:eastAsia="宋体" w:cs="宋体"/>
                <w:sz w:val="21"/>
              </w:rPr>
            </w:pPr>
            <w:r>
              <w:rPr>
                <w:rFonts w:ascii="Times New Roman" w:hAnsi="宋体" w:eastAsia="宋体" w:cs="宋体"/>
                <w:spacing w:val="-5"/>
                <w:sz w:val="21"/>
              </w:rPr>
              <w:t>0.3</w:t>
            </w:r>
          </w:p>
        </w:tc>
        <w:tc>
          <w:tcPr>
            <w:tcW w:w="914" w:type="dxa"/>
          </w:tcPr>
          <w:p w14:paraId="505C18BA">
            <w:pPr>
              <w:spacing w:before="57"/>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782D7BF9">
            <w:pPr>
              <w:spacing w:before="43"/>
              <w:ind w:left="119"/>
              <w:rPr>
                <w:rFonts w:ascii="宋体" w:hAnsi="宋体" w:eastAsia="宋体" w:cs="宋体"/>
                <w:sz w:val="21"/>
              </w:rPr>
            </w:pPr>
            <w:r>
              <w:rPr>
                <w:rFonts w:ascii="宋体" w:hAnsi="宋体" w:eastAsia="宋体" w:cs="宋体"/>
                <w:spacing w:val="-4"/>
                <w:w w:val="95"/>
                <w:sz w:val="21"/>
              </w:rPr>
              <w:t>预期性</w:t>
            </w:r>
          </w:p>
        </w:tc>
      </w:tr>
      <w:tr w14:paraId="747E2F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5" w:hRule="atLeast"/>
        </w:trPr>
        <w:tc>
          <w:tcPr>
            <w:tcW w:w="696" w:type="dxa"/>
            <w:tcBorders>
              <w:bottom w:val="nil"/>
            </w:tcBorders>
          </w:tcPr>
          <w:p w14:paraId="255C6FFA">
            <w:pPr>
              <w:spacing w:before="9"/>
              <w:rPr>
                <w:rFonts w:ascii="黑体" w:hAnsi="宋体" w:eastAsia="宋体" w:cs="宋体"/>
              </w:rPr>
            </w:pPr>
          </w:p>
          <w:p w14:paraId="6640871C">
            <w:pPr>
              <w:spacing w:line="310" w:lineRule="atLeast"/>
              <w:ind w:left="136" w:right="117"/>
              <w:rPr>
                <w:rFonts w:ascii="宋体" w:hAnsi="宋体" w:eastAsia="宋体" w:cs="宋体"/>
                <w:b/>
                <w:sz w:val="21"/>
              </w:rPr>
            </w:pPr>
            <w:r>
              <w:rPr>
                <w:rFonts w:ascii="宋体" w:hAnsi="宋体" w:eastAsia="宋体" w:cs="宋体"/>
                <w:b/>
                <w:spacing w:val="-6"/>
                <w:sz w:val="21"/>
              </w:rPr>
              <w:t>绿色</w:t>
            </w:r>
            <w:r>
              <w:rPr>
                <w:rFonts w:ascii="宋体" w:hAnsi="宋体" w:eastAsia="宋体" w:cs="宋体"/>
                <w:b/>
                <w:spacing w:val="-5"/>
                <w:w w:val="95"/>
                <w:sz w:val="21"/>
              </w:rPr>
              <w:t>发展</w:t>
            </w:r>
          </w:p>
        </w:tc>
        <w:tc>
          <w:tcPr>
            <w:tcW w:w="3766" w:type="dxa"/>
          </w:tcPr>
          <w:p w14:paraId="548C2D57">
            <w:pPr>
              <w:spacing w:before="12"/>
              <w:rPr>
                <w:rFonts w:ascii="黑体" w:hAnsi="宋体" w:eastAsia="宋体" w:cs="宋体"/>
                <w:sz w:val="25"/>
              </w:rPr>
            </w:pPr>
          </w:p>
          <w:p w14:paraId="20B4393A">
            <w:pPr>
              <w:ind w:left="107"/>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25</w:t>
            </w:r>
            <w:r>
              <w:rPr>
                <w:rFonts w:ascii="宋体" w:hAnsi="宋体" w:eastAsia="宋体" w:cs="宋体"/>
                <w:w w:val="95"/>
                <w:sz w:val="21"/>
              </w:rPr>
              <w:t>）单位</w:t>
            </w:r>
            <w:r>
              <w:rPr>
                <w:rFonts w:ascii="宋体" w:hAnsi="宋体" w:eastAsia="宋体" w:cs="宋体"/>
                <w:spacing w:val="3"/>
                <w:sz w:val="21"/>
              </w:rPr>
              <w:t xml:space="preserve"> </w:t>
            </w:r>
            <w:r>
              <w:rPr>
                <w:rFonts w:ascii="Times New Roman" w:hAnsi="宋体" w:eastAsia="Times New Roman" w:cs="宋体"/>
                <w:w w:val="95"/>
                <w:sz w:val="21"/>
              </w:rPr>
              <w:t>GDP</w:t>
            </w:r>
            <w:r>
              <w:rPr>
                <w:rFonts w:ascii="Times New Roman" w:hAnsi="宋体" w:eastAsia="Times New Roman" w:cs="宋体"/>
                <w:spacing w:val="59"/>
                <w:sz w:val="21"/>
              </w:rPr>
              <w:t xml:space="preserve"> </w:t>
            </w:r>
            <w:r>
              <w:rPr>
                <w:rFonts w:ascii="宋体" w:hAnsi="宋体" w:eastAsia="宋体" w:cs="宋体"/>
                <w:w w:val="95"/>
                <w:sz w:val="21"/>
              </w:rPr>
              <w:t>能源消耗降低</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Pr>
          <w:p w14:paraId="3D0418A6">
            <w:pPr>
              <w:rPr>
                <w:rFonts w:ascii="黑体" w:hAnsi="宋体" w:eastAsia="宋体" w:cs="宋体"/>
                <w:sz w:val="27"/>
              </w:rPr>
            </w:pPr>
          </w:p>
          <w:p w14:paraId="61326315">
            <w:pPr>
              <w:ind w:left="148" w:right="129"/>
              <w:jc w:val="center"/>
              <w:rPr>
                <w:rFonts w:ascii="Times New Roman" w:hAnsi="宋体" w:eastAsia="宋体" w:cs="宋体"/>
                <w:sz w:val="21"/>
              </w:rPr>
            </w:pPr>
            <w:r>
              <w:rPr>
                <w:rFonts w:ascii="Times New Roman" w:hAnsi="宋体" w:eastAsia="宋体" w:cs="宋体"/>
                <w:spacing w:val="-4"/>
                <w:sz w:val="21"/>
              </w:rPr>
              <w:t>0.35</w:t>
            </w:r>
          </w:p>
        </w:tc>
        <w:tc>
          <w:tcPr>
            <w:tcW w:w="1922" w:type="dxa"/>
            <w:gridSpan w:val="2"/>
          </w:tcPr>
          <w:p w14:paraId="6510011B">
            <w:pPr>
              <w:spacing w:before="12"/>
              <w:rPr>
                <w:rFonts w:ascii="黑体" w:hAnsi="宋体" w:eastAsia="宋体" w:cs="宋体"/>
                <w:sz w:val="25"/>
              </w:rPr>
            </w:pPr>
          </w:p>
          <w:p w14:paraId="320758E7">
            <w:pPr>
              <w:ind w:left="330"/>
              <w:rPr>
                <w:rFonts w:ascii="宋体" w:hAnsi="宋体" w:eastAsia="宋体" w:cs="宋体"/>
                <w:sz w:val="21"/>
              </w:rPr>
            </w:pPr>
            <w:r>
              <w:rPr>
                <w:rFonts w:ascii="宋体" w:hAnsi="宋体" w:eastAsia="宋体" w:cs="宋体"/>
                <w:spacing w:val="-2"/>
                <w:w w:val="95"/>
                <w:sz w:val="21"/>
              </w:rPr>
              <w:t>完成下达指标</w:t>
            </w:r>
          </w:p>
        </w:tc>
        <w:tc>
          <w:tcPr>
            <w:tcW w:w="914" w:type="dxa"/>
          </w:tcPr>
          <w:p w14:paraId="5EEA6591">
            <w:pPr>
              <w:rPr>
                <w:rFonts w:ascii="黑体" w:hAnsi="宋体" w:eastAsia="宋体" w:cs="宋体"/>
                <w:sz w:val="27"/>
              </w:rPr>
            </w:pPr>
          </w:p>
          <w:p w14:paraId="614748BC">
            <w:pPr>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06BE4511">
            <w:pPr>
              <w:spacing w:before="12"/>
              <w:rPr>
                <w:rFonts w:ascii="黑体" w:hAnsi="宋体" w:eastAsia="宋体" w:cs="宋体"/>
                <w:sz w:val="25"/>
              </w:rPr>
            </w:pPr>
          </w:p>
          <w:p w14:paraId="4C6C5ED0">
            <w:pPr>
              <w:ind w:left="119"/>
              <w:rPr>
                <w:rFonts w:ascii="宋体" w:hAnsi="宋体" w:eastAsia="宋体" w:cs="宋体"/>
                <w:sz w:val="21"/>
              </w:rPr>
            </w:pPr>
            <w:r>
              <w:rPr>
                <w:rFonts w:ascii="宋体" w:hAnsi="宋体" w:eastAsia="宋体" w:cs="宋体"/>
                <w:spacing w:val="-4"/>
                <w:w w:val="95"/>
                <w:sz w:val="21"/>
              </w:rPr>
              <w:t>约束性</w:t>
            </w:r>
          </w:p>
        </w:tc>
      </w:tr>
    </w:tbl>
    <w:p w14:paraId="66525D52">
      <w:pPr>
        <w:rPr>
          <w:sz w:val="21"/>
        </w:rPr>
        <w:sectPr>
          <w:pgSz w:w="11910" w:h="16840"/>
          <w:pgMar w:top="1640" w:right="1220" w:bottom="1160" w:left="1240" w:header="0" w:footer="975" w:gutter="0"/>
          <w:cols w:space="720" w:num="1"/>
        </w:sectPr>
      </w:pPr>
    </w:p>
    <w:p w14:paraId="30497D56">
      <w:pPr>
        <w:spacing w:before="7"/>
        <w:rPr>
          <w:rFonts w:ascii="黑体"/>
          <w:sz w:val="5"/>
          <w:szCs w:val="32"/>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96"/>
        <w:gridCol w:w="3766"/>
        <w:gridCol w:w="1011"/>
        <w:gridCol w:w="978"/>
        <w:gridCol w:w="944"/>
        <w:gridCol w:w="914"/>
        <w:gridCol w:w="871"/>
      </w:tblGrid>
      <w:tr w14:paraId="2E8085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restart"/>
            <w:tcBorders>
              <w:top w:val="nil"/>
              <w:bottom w:val="single" w:color="000000" w:sz="4" w:space="0"/>
            </w:tcBorders>
          </w:tcPr>
          <w:p w14:paraId="0E5A1886">
            <w:pPr>
              <w:rPr>
                <w:rFonts w:ascii="Times New Roman" w:hAnsi="宋体" w:eastAsia="宋体" w:cs="宋体"/>
                <w:sz w:val="20"/>
              </w:rPr>
            </w:pPr>
          </w:p>
        </w:tc>
        <w:tc>
          <w:tcPr>
            <w:tcW w:w="3766" w:type="dxa"/>
            <w:tcBorders>
              <w:top w:val="nil"/>
            </w:tcBorders>
          </w:tcPr>
          <w:p w14:paraId="316B7CB6">
            <w:pPr>
              <w:spacing w:before="42"/>
              <w:ind w:left="107"/>
              <w:rPr>
                <w:rFonts w:ascii="宋体" w:hAnsi="宋体" w:eastAsia="宋体" w:cs="宋体"/>
                <w:sz w:val="21"/>
              </w:rPr>
            </w:pPr>
            <w:r>
              <w:rPr>
                <w:rFonts w:ascii="宋体" w:hAnsi="宋体" w:eastAsia="宋体" w:cs="宋体"/>
                <w:w w:val="95"/>
                <w:position w:val="2"/>
                <w:sz w:val="21"/>
              </w:rPr>
              <w:t>（</w:t>
            </w:r>
            <w:r>
              <w:rPr>
                <w:rFonts w:ascii="Times New Roman" w:hAnsi="宋体" w:eastAsia="Times New Roman" w:cs="宋体"/>
                <w:w w:val="95"/>
                <w:position w:val="2"/>
                <w:sz w:val="21"/>
              </w:rPr>
              <w:t>26</w:t>
            </w:r>
            <w:r>
              <w:rPr>
                <w:rFonts w:ascii="宋体" w:hAnsi="宋体" w:eastAsia="宋体" w:cs="宋体"/>
                <w:w w:val="95"/>
                <w:position w:val="2"/>
                <w:sz w:val="21"/>
              </w:rPr>
              <w:t>）细颗粒物（</w:t>
            </w:r>
            <w:r>
              <w:rPr>
                <w:rFonts w:ascii="Times New Roman" w:hAnsi="宋体" w:eastAsia="Times New Roman" w:cs="宋体"/>
                <w:w w:val="95"/>
                <w:position w:val="2"/>
                <w:sz w:val="21"/>
              </w:rPr>
              <w:t>PM</w:t>
            </w:r>
            <w:r>
              <w:rPr>
                <w:rFonts w:ascii="Times New Roman" w:hAnsi="宋体" w:eastAsia="Times New Roman" w:cs="宋体"/>
                <w:w w:val="95"/>
                <w:sz w:val="13"/>
              </w:rPr>
              <w:t>2.5</w:t>
            </w:r>
            <w:r>
              <w:rPr>
                <w:rFonts w:ascii="宋体" w:hAnsi="宋体" w:eastAsia="宋体" w:cs="宋体"/>
                <w:w w:val="95"/>
                <w:position w:val="2"/>
                <w:sz w:val="21"/>
              </w:rPr>
              <w:t>）</w:t>
            </w:r>
            <w:r>
              <w:rPr>
                <w:rFonts w:ascii="宋体" w:hAnsi="宋体" w:eastAsia="宋体" w:cs="宋体"/>
                <w:spacing w:val="-3"/>
                <w:w w:val="95"/>
                <w:position w:val="2"/>
                <w:sz w:val="21"/>
              </w:rPr>
              <w:t>平均浓度</w:t>
            </w:r>
          </w:p>
        </w:tc>
        <w:tc>
          <w:tcPr>
            <w:tcW w:w="1011" w:type="dxa"/>
            <w:tcBorders>
              <w:top w:val="nil"/>
            </w:tcBorders>
          </w:tcPr>
          <w:p w14:paraId="039C1628">
            <w:pPr>
              <w:spacing w:before="59"/>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Borders>
              <w:top w:val="nil"/>
            </w:tcBorders>
          </w:tcPr>
          <w:p w14:paraId="160AAD50">
            <w:pPr>
              <w:spacing w:before="59"/>
              <w:ind w:left="131" w:right="114"/>
              <w:jc w:val="center"/>
              <w:rPr>
                <w:rFonts w:ascii="Times New Roman" w:hAnsi="宋体" w:eastAsia="宋体" w:cs="宋体"/>
                <w:sz w:val="21"/>
              </w:rPr>
            </w:pPr>
            <w:r>
              <w:rPr>
                <w:rFonts w:ascii="Times New Roman" w:hAnsi="宋体" w:eastAsia="宋体" w:cs="宋体"/>
                <w:spacing w:val="-5"/>
                <w:sz w:val="21"/>
              </w:rPr>
              <w:t>41</w:t>
            </w:r>
          </w:p>
        </w:tc>
        <w:tc>
          <w:tcPr>
            <w:tcW w:w="944" w:type="dxa"/>
            <w:tcBorders>
              <w:top w:val="nil"/>
            </w:tcBorders>
          </w:tcPr>
          <w:p w14:paraId="32A7930E">
            <w:pPr>
              <w:spacing w:before="59"/>
              <w:ind w:left="302" w:right="282"/>
              <w:jc w:val="center"/>
              <w:rPr>
                <w:rFonts w:ascii="Times New Roman" w:hAnsi="宋体" w:eastAsia="宋体" w:cs="宋体"/>
                <w:sz w:val="21"/>
              </w:rPr>
            </w:pPr>
            <w:r>
              <w:rPr>
                <w:rFonts w:ascii="Times New Roman" w:hAnsi="宋体" w:eastAsia="宋体" w:cs="宋体"/>
                <w:spacing w:val="-5"/>
                <w:sz w:val="21"/>
              </w:rPr>
              <w:t>30</w:t>
            </w:r>
          </w:p>
        </w:tc>
        <w:tc>
          <w:tcPr>
            <w:tcW w:w="914" w:type="dxa"/>
            <w:tcBorders>
              <w:top w:val="nil"/>
            </w:tcBorders>
          </w:tcPr>
          <w:p w14:paraId="61C15461">
            <w:pPr>
              <w:spacing w:before="59"/>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nil"/>
            </w:tcBorders>
          </w:tcPr>
          <w:p w14:paraId="50CEF457">
            <w:pPr>
              <w:spacing w:before="45"/>
              <w:ind w:left="119"/>
              <w:rPr>
                <w:rFonts w:ascii="宋体" w:hAnsi="宋体" w:eastAsia="宋体" w:cs="宋体"/>
                <w:sz w:val="21"/>
              </w:rPr>
            </w:pPr>
            <w:r>
              <w:rPr>
                <w:rFonts w:ascii="宋体" w:hAnsi="宋体" w:eastAsia="宋体" w:cs="宋体"/>
                <w:spacing w:val="-4"/>
                <w:w w:val="95"/>
                <w:sz w:val="21"/>
              </w:rPr>
              <w:t>约束性</w:t>
            </w:r>
          </w:p>
        </w:tc>
      </w:tr>
      <w:tr w14:paraId="782D69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696" w:type="dxa"/>
            <w:vMerge w:val="continue"/>
            <w:tcBorders>
              <w:top w:val="nil"/>
              <w:bottom w:val="single" w:color="000000" w:sz="4" w:space="0"/>
            </w:tcBorders>
          </w:tcPr>
          <w:p w14:paraId="137CF63A">
            <w:pPr>
              <w:rPr>
                <w:sz w:val="2"/>
                <w:szCs w:val="2"/>
              </w:rPr>
            </w:pPr>
          </w:p>
        </w:tc>
        <w:tc>
          <w:tcPr>
            <w:tcW w:w="3766" w:type="dxa"/>
          </w:tcPr>
          <w:p w14:paraId="3BFED2E2">
            <w:pPr>
              <w:spacing w:before="20"/>
              <w:ind w:left="107" w:right="-29"/>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27</w:t>
            </w:r>
            <w:r>
              <w:rPr>
                <w:rFonts w:ascii="宋体" w:hAnsi="宋体" w:eastAsia="宋体" w:cs="宋体"/>
                <w:w w:val="95"/>
                <w:sz w:val="21"/>
              </w:rPr>
              <w:t>）</w:t>
            </w:r>
            <w:r>
              <w:rPr>
                <w:rFonts w:ascii="宋体" w:hAnsi="宋体" w:eastAsia="宋体" w:cs="宋体"/>
                <w:spacing w:val="-10"/>
                <w:w w:val="95"/>
                <w:sz w:val="21"/>
              </w:rPr>
              <w:t xml:space="preserve">单位 </w:t>
            </w:r>
            <w:r>
              <w:rPr>
                <w:rFonts w:ascii="Times New Roman" w:hAnsi="宋体" w:eastAsia="Times New Roman" w:cs="宋体"/>
                <w:w w:val="95"/>
                <w:sz w:val="21"/>
              </w:rPr>
              <w:t>GDP</w:t>
            </w:r>
            <w:r>
              <w:rPr>
                <w:rFonts w:ascii="Times New Roman" w:hAnsi="宋体" w:eastAsia="Times New Roman" w:cs="宋体"/>
                <w:spacing w:val="20"/>
                <w:sz w:val="21"/>
              </w:rPr>
              <w:t xml:space="preserve"> </w:t>
            </w:r>
            <w:r>
              <w:rPr>
                <w:rFonts w:ascii="宋体" w:hAnsi="宋体" w:eastAsia="宋体" w:cs="宋体"/>
                <w:spacing w:val="-12"/>
                <w:w w:val="95"/>
                <w:sz w:val="21"/>
              </w:rPr>
              <w:t>二氧化碳排放降低</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p w14:paraId="39ECEA57">
            <w:pPr>
              <w:spacing w:before="57"/>
              <w:ind w:left="107"/>
              <w:rPr>
                <w:rFonts w:ascii="Times New Roman" w:hAnsi="宋体" w:eastAsia="宋体" w:cs="宋体"/>
                <w:sz w:val="21"/>
              </w:rPr>
            </w:pPr>
            <w:r>
              <w:rPr>
                <w:rFonts w:ascii="Times New Roman" w:hAnsi="宋体" w:eastAsia="宋体" w:cs="宋体"/>
                <w:w w:val="99"/>
                <w:sz w:val="21"/>
              </w:rPr>
              <w:t>*</w:t>
            </w:r>
          </w:p>
        </w:tc>
        <w:tc>
          <w:tcPr>
            <w:tcW w:w="1011" w:type="dxa"/>
          </w:tcPr>
          <w:p w14:paraId="50E6D4F6">
            <w:pPr>
              <w:spacing w:before="190"/>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1922" w:type="dxa"/>
            <w:gridSpan w:val="2"/>
          </w:tcPr>
          <w:p w14:paraId="4284B48A">
            <w:pPr>
              <w:spacing w:before="176"/>
              <w:ind w:left="330"/>
              <w:rPr>
                <w:rFonts w:ascii="宋体" w:hAnsi="宋体" w:eastAsia="宋体" w:cs="宋体"/>
                <w:sz w:val="21"/>
              </w:rPr>
            </w:pPr>
            <w:r>
              <w:rPr>
                <w:rFonts w:ascii="宋体" w:hAnsi="宋体" w:eastAsia="宋体" w:cs="宋体"/>
                <w:spacing w:val="-2"/>
                <w:w w:val="95"/>
                <w:sz w:val="21"/>
              </w:rPr>
              <w:t>完成下达指标</w:t>
            </w:r>
          </w:p>
        </w:tc>
        <w:tc>
          <w:tcPr>
            <w:tcW w:w="914" w:type="dxa"/>
          </w:tcPr>
          <w:p w14:paraId="780EDD6F">
            <w:pPr>
              <w:spacing w:before="190"/>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6D51DA37">
            <w:pPr>
              <w:spacing w:before="176"/>
              <w:ind w:left="119"/>
              <w:rPr>
                <w:rFonts w:ascii="宋体" w:hAnsi="宋体" w:eastAsia="宋体" w:cs="宋体"/>
                <w:sz w:val="21"/>
              </w:rPr>
            </w:pPr>
            <w:r>
              <w:rPr>
                <w:rFonts w:ascii="宋体" w:hAnsi="宋体" w:eastAsia="宋体" w:cs="宋体"/>
                <w:spacing w:val="-4"/>
                <w:w w:val="95"/>
                <w:sz w:val="21"/>
              </w:rPr>
              <w:t>约束性</w:t>
            </w:r>
          </w:p>
        </w:tc>
      </w:tr>
      <w:tr w14:paraId="6D93F7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bottom w:val="single" w:color="000000" w:sz="4" w:space="0"/>
            </w:tcBorders>
          </w:tcPr>
          <w:p w14:paraId="01389835">
            <w:pPr>
              <w:rPr>
                <w:sz w:val="2"/>
                <w:szCs w:val="2"/>
              </w:rPr>
            </w:pPr>
          </w:p>
        </w:tc>
        <w:tc>
          <w:tcPr>
            <w:tcW w:w="3766" w:type="dxa"/>
          </w:tcPr>
          <w:p w14:paraId="7333CE57">
            <w:pPr>
              <w:spacing w:before="43"/>
              <w:ind w:left="107"/>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28</w:t>
            </w:r>
            <w:r>
              <w:rPr>
                <w:rFonts w:ascii="宋体" w:hAnsi="宋体" w:eastAsia="宋体" w:cs="宋体"/>
                <w:w w:val="95"/>
                <w:sz w:val="21"/>
              </w:rPr>
              <w:t>）单位</w:t>
            </w:r>
            <w:r>
              <w:rPr>
                <w:rFonts w:ascii="宋体" w:hAnsi="宋体" w:eastAsia="宋体" w:cs="宋体"/>
                <w:spacing w:val="-2"/>
                <w:sz w:val="21"/>
              </w:rPr>
              <w:t xml:space="preserve"> </w:t>
            </w:r>
            <w:r>
              <w:rPr>
                <w:rFonts w:ascii="Times New Roman" w:hAnsi="宋体" w:eastAsia="Times New Roman" w:cs="宋体"/>
                <w:w w:val="95"/>
                <w:sz w:val="21"/>
              </w:rPr>
              <w:t>GDP</w:t>
            </w:r>
            <w:r>
              <w:rPr>
                <w:rFonts w:ascii="Times New Roman" w:hAnsi="宋体" w:eastAsia="Times New Roman" w:cs="宋体"/>
                <w:spacing w:val="53"/>
                <w:sz w:val="21"/>
              </w:rPr>
              <w:t xml:space="preserve"> </w:t>
            </w:r>
            <w:r>
              <w:rPr>
                <w:rFonts w:ascii="宋体" w:hAnsi="宋体" w:eastAsia="宋体" w:cs="宋体"/>
                <w:w w:val="95"/>
                <w:sz w:val="21"/>
              </w:rPr>
              <w:t>用水量降低</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Pr>
          <w:p w14:paraId="257FDC70">
            <w:pPr>
              <w:spacing w:before="57"/>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35388B3B">
            <w:pPr>
              <w:spacing w:before="57"/>
              <w:ind w:left="132" w:right="114"/>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Pr>
          <w:p w14:paraId="55422867">
            <w:pPr>
              <w:spacing w:before="57"/>
              <w:ind w:left="301"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14" w:type="dxa"/>
          </w:tcPr>
          <w:p w14:paraId="6614ECAE">
            <w:pPr>
              <w:spacing w:before="57"/>
              <w:ind w:right="259"/>
              <w:jc w:val="right"/>
              <w:rPr>
                <w:rFonts w:ascii="Times New Roman" w:hAnsi="宋体" w:eastAsia="宋体" w:cs="宋体"/>
                <w:sz w:val="21"/>
              </w:rPr>
            </w:pPr>
            <w:r>
              <w:rPr>
                <w:rFonts w:ascii="Times New Roman" w:hAnsi="宋体" w:eastAsia="宋体" w:cs="宋体"/>
                <w:spacing w:val="-4"/>
                <w:sz w:val="21"/>
              </w:rPr>
              <w:t>[15]</w:t>
            </w:r>
          </w:p>
        </w:tc>
        <w:tc>
          <w:tcPr>
            <w:tcW w:w="871" w:type="dxa"/>
          </w:tcPr>
          <w:p w14:paraId="4BC8B351">
            <w:pPr>
              <w:spacing w:before="43"/>
              <w:ind w:left="107"/>
              <w:rPr>
                <w:rFonts w:ascii="宋体" w:hAnsi="宋体" w:eastAsia="宋体" w:cs="宋体"/>
                <w:sz w:val="21"/>
              </w:rPr>
            </w:pPr>
            <w:r>
              <w:rPr>
                <w:rFonts w:ascii="宋体" w:hAnsi="宋体" w:eastAsia="宋体" w:cs="宋体"/>
                <w:spacing w:val="-4"/>
                <w:w w:val="95"/>
                <w:sz w:val="21"/>
              </w:rPr>
              <w:t>约束性</w:t>
            </w:r>
          </w:p>
        </w:tc>
      </w:tr>
      <w:tr w14:paraId="69CCF9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696" w:type="dxa"/>
            <w:vMerge w:val="continue"/>
            <w:tcBorders>
              <w:top w:val="nil"/>
              <w:bottom w:val="single" w:color="000000" w:sz="4" w:space="0"/>
            </w:tcBorders>
          </w:tcPr>
          <w:p w14:paraId="60918C1A">
            <w:pPr>
              <w:rPr>
                <w:sz w:val="2"/>
                <w:szCs w:val="2"/>
              </w:rPr>
            </w:pPr>
          </w:p>
        </w:tc>
        <w:tc>
          <w:tcPr>
            <w:tcW w:w="3766" w:type="dxa"/>
          </w:tcPr>
          <w:p w14:paraId="4AB89CC8">
            <w:pPr>
              <w:spacing w:before="20"/>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29</w:t>
            </w:r>
            <w:r>
              <w:rPr>
                <w:rFonts w:ascii="宋体" w:hAnsi="宋体" w:eastAsia="宋体" w:cs="宋体"/>
                <w:w w:val="95"/>
                <w:sz w:val="21"/>
              </w:rPr>
              <w:t>）</w:t>
            </w:r>
            <w:r>
              <w:rPr>
                <w:rFonts w:ascii="宋体" w:hAnsi="宋体" w:eastAsia="宋体" w:cs="宋体"/>
                <w:spacing w:val="-1"/>
                <w:w w:val="95"/>
                <w:sz w:val="21"/>
              </w:rPr>
              <w:t>非化石能源占能源消费总量比重</w:t>
            </w:r>
          </w:p>
          <w:p w14:paraId="27638E9B">
            <w:pPr>
              <w:spacing w:before="43"/>
              <w:ind w:left="107"/>
              <w:rPr>
                <w:rFonts w:ascii="Times New Roman" w:hAnsi="宋体" w:eastAsia="Times New Roman" w:cs="宋体"/>
                <w:sz w:val="21"/>
              </w:rPr>
            </w:pPr>
            <w:r>
              <w:rPr>
                <w:rFonts w:ascii="宋体" w:hAnsi="宋体" w:eastAsia="宋体" w:cs="宋体"/>
                <w:spacing w:val="-4"/>
                <w:sz w:val="21"/>
              </w:rPr>
              <w:t>（</w:t>
            </w:r>
            <w:r>
              <w:rPr>
                <w:rFonts w:ascii="Times New Roman" w:hAnsi="宋体" w:eastAsia="Times New Roman" w:cs="宋体"/>
                <w:spacing w:val="-4"/>
                <w:sz w:val="21"/>
              </w:rPr>
              <w:t>%</w:t>
            </w:r>
            <w:r>
              <w:rPr>
                <w:rFonts w:ascii="宋体" w:hAnsi="宋体" w:eastAsia="宋体" w:cs="宋体"/>
                <w:spacing w:val="-4"/>
                <w:sz w:val="21"/>
              </w:rPr>
              <w:t>）</w:t>
            </w:r>
            <w:r>
              <w:rPr>
                <w:rFonts w:ascii="Times New Roman" w:hAnsi="宋体" w:eastAsia="Times New Roman" w:cs="宋体"/>
                <w:spacing w:val="-4"/>
                <w:sz w:val="21"/>
              </w:rPr>
              <w:t>*</w:t>
            </w:r>
          </w:p>
        </w:tc>
        <w:tc>
          <w:tcPr>
            <w:tcW w:w="1011" w:type="dxa"/>
          </w:tcPr>
          <w:p w14:paraId="3162A401">
            <w:pPr>
              <w:spacing w:before="190"/>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303A9015">
            <w:pPr>
              <w:spacing w:before="190"/>
              <w:ind w:left="132" w:right="114"/>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Pr>
          <w:p w14:paraId="51B647AD">
            <w:pPr>
              <w:spacing w:before="20"/>
              <w:ind w:left="156"/>
              <w:rPr>
                <w:rFonts w:ascii="宋体" w:hAnsi="宋体" w:eastAsia="宋体" w:cs="宋体"/>
                <w:sz w:val="21"/>
              </w:rPr>
            </w:pPr>
            <w:r>
              <w:rPr>
                <w:rFonts w:ascii="宋体" w:hAnsi="宋体" w:eastAsia="宋体" w:cs="宋体"/>
                <w:spacing w:val="-4"/>
                <w:w w:val="95"/>
                <w:sz w:val="21"/>
              </w:rPr>
              <w:t>高于全</w:t>
            </w:r>
          </w:p>
          <w:p w14:paraId="58E88DB7">
            <w:pPr>
              <w:spacing w:before="43"/>
              <w:ind w:left="156"/>
              <w:rPr>
                <w:rFonts w:ascii="宋体" w:hAnsi="宋体" w:eastAsia="宋体" w:cs="宋体"/>
                <w:sz w:val="21"/>
              </w:rPr>
            </w:pPr>
            <w:r>
              <w:rPr>
                <w:rFonts w:ascii="宋体" w:hAnsi="宋体" w:eastAsia="宋体" w:cs="宋体"/>
                <w:spacing w:val="-4"/>
                <w:w w:val="95"/>
                <w:sz w:val="21"/>
              </w:rPr>
              <w:t>市水平</w:t>
            </w:r>
          </w:p>
        </w:tc>
        <w:tc>
          <w:tcPr>
            <w:tcW w:w="914" w:type="dxa"/>
          </w:tcPr>
          <w:p w14:paraId="6C918576">
            <w:pPr>
              <w:spacing w:before="190"/>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25B9F3DC">
            <w:pPr>
              <w:spacing w:before="176"/>
              <w:ind w:left="107"/>
              <w:rPr>
                <w:rFonts w:ascii="宋体" w:hAnsi="宋体" w:eastAsia="宋体" w:cs="宋体"/>
                <w:sz w:val="21"/>
              </w:rPr>
            </w:pPr>
            <w:r>
              <w:rPr>
                <w:rFonts w:ascii="宋体" w:hAnsi="宋体" w:eastAsia="宋体" w:cs="宋体"/>
                <w:spacing w:val="-4"/>
                <w:w w:val="95"/>
                <w:sz w:val="21"/>
              </w:rPr>
              <w:t>约束性</w:t>
            </w:r>
          </w:p>
        </w:tc>
      </w:tr>
      <w:tr w14:paraId="2EA130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696" w:type="dxa"/>
            <w:vMerge w:val="continue"/>
            <w:tcBorders>
              <w:top w:val="nil"/>
              <w:bottom w:val="single" w:color="000000" w:sz="4" w:space="0"/>
            </w:tcBorders>
          </w:tcPr>
          <w:p w14:paraId="778478D3">
            <w:pPr>
              <w:rPr>
                <w:sz w:val="2"/>
                <w:szCs w:val="2"/>
              </w:rPr>
            </w:pPr>
          </w:p>
        </w:tc>
        <w:tc>
          <w:tcPr>
            <w:tcW w:w="3766" w:type="dxa"/>
          </w:tcPr>
          <w:p w14:paraId="301C3AE7">
            <w:pPr>
              <w:spacing w:before="22"/>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30</w:t>
            </w:r>
            <w:r>
              <w:rPr>
                <w:rFonts w:ascii="宋体" w:hAnsi="宋体" w:eastAsia="宋体" w:cs="宋体"/>
                <w:w w:val="95"/>
                <w:sz w:val="21"/>
              </w:rPr>
              <w:t>）地表水治理达到或优于</w:t>
            </w:r>
            <w:r>
              <w:rPr>
                <w:rFonts w:ascii="宋体" w:hAnsi="宋体" w:eastAsia="宋体" w:cs="宋体"/>
                <w:spacing w:val="62"/>
                <w:sz w:val="21"/>
              </w:rPr>
              <w:t xml:space="preserve"> </w:t>
            </w:r>
            <w:r>
              <w:rPr>
                <w:rFonts w:ascii="Times New Roman" w:hAnsi="宋体" w:eastAsia="Times New Roman" w:cs="宋体"/>
                <w:w w:val="95"/>
                <w:sz w:val="21"/>
              </w:rPr>
              <w:t>III</w:t>
            </w:r>
            <w:r>
              <w:rPr>
                <w:rFonts w:ascii="Times New Roman" w:hAnsi="宋体" w:eastAsia="Times New Roman" w:cs="宋体"/>
                <w:spacing w:val="28"/>
                <w:sz w:val="21"/>
              </w:rPr>
              <w:t xml:space="preserve">  </w:t>
            </w:r>
            <w:r>
              <w:rPr>
                <w:rFonts w:ascii="宋体" w:hAnsi="宋体" w:eastAsia="宋体" w:cs="宋体"/>
                <w:spacing w:val="-5"/>
                <w:w w:val="95"/>
                <w:sz w:val="21"/>
              </w:rPr>
              <w:t>类水</w:t>
            </w:r>
          </w:p>
          <w:p w14:paraId="460C7A52">
            <w:pPr>
              <w:spacing w:before="43"/>
              <w:ind w:left="107"/>
              <w:rPr>
                <w:rFonts w:ascii="Times New Roman" w:hAnsi="宋体" w:eastAsia="Times New Roman" w:cs="宋体"/>
                <w:sz w:val="21"/>
              </w:rPr>
            </w:pPr>
            <w:r>
              <w:rPr>
                <w:rFonts w:ascii="宋体" w:hAnsi="宋体" w:eastAsia="宋体" w:cs="宋体"/>
                <w:w w:val="95"/>
                <w:sz w:val="21"/>
              </w:rPr>
              <w:t>体比例</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Pr>
          <w:p w14:paraId="67BD83CA">
            <w:pPr>
              <w:spacing w:before="192"/>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6C75BAB7">
            <w:pPr>
              <w:spacing w:before="192"/>
              <w:ind w:left="132" w:right="114"/>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Pr>
          <w:p w14:paraId="7B88F29E">
            <w:pPr>
              <w:spacing w:before="192"/>
              <w:ind w:left="302" w:right="282"/>
              <w:jc w:val="center"/>
              <w:rPr>
                <w:rFonts w:ascii="Times New Roman" w:hAnsi="宋体" w:eastAsia="宋体" w:cs="宋体"/>
                <w:sz w:val="21"/>
              </w:rPr>
            </w:pPr>
            <w:r>
              <w:rPr>
                <w:rFonts w:ascii="Times New Roman" w:hAnsi="宋体" w:eastAsia="宋体" w:cs="宋体"/>
                <w:spacing w:val="-5"/>
                <w:sz w:val="21"/>
              </w:rPr>
              <w:t>80</w:t>
            </w:r>
          </w:p>
        </w:tc>
        <w:tc>
          <w:tcPr>
            <w:tcW w:w="914" w:type="dxa"/>
          </w:tcPr>
          <w:p w14:paraId="4FD08637">
            <w:pPr>
              <w:spacing w:before="192"/>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0DB9DEB3">
            <w:pPr>
              <w:spacing w:before="178"/>
              <w:ind w:left="107"/>
              <w:rPr>
                <w:rFonts w:ascii="宋体" w:hAnsi="宋体" w:eastAsia="宋体" w:cs="宋体"/>
                <w:sz w:val="21"/>
              </w:rPr>
            </w:pPr>
            <w:r>
              <w:rPr>
                <w:rFonts w:ascii="宋体" w:hAnsi="宋体" w:eastAsia="宋体" w:cs="宋体"/>
                <w:spacing w:val="-4"/>
                <w:w w:val="95"/>
                <w:sz w:val="21"/>
              </w:rPr>
              <w:t>约束性</w:t>
            </w:r>
          </w:p>
        </w:tc>
      </w:tr>
      <w:tr w14:paraId="4B24E0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696" w:type="dxa"/>
            <w:vMerge w:val="continue"/>
            <w:tcBorders>
              <w:top w:val="nil"/>
              <w:bottom w:val="single" w:color="000000" w:sz="4" w:space="0"/>
            </w:tcBorders>
          </w:tcPr>
          <w:p w14:paraId="78BC3C74">
            <w:pPr>
              <w:rPr>
                <w:sz w:val="2"/>
                <w:szCs w:val="2"/>
              </w:rPr>
            </w:pPr>
          </w:p>
        </w:tc>
        <w:tc>
          <w:tcPr>
            <w:tcW w:w="3766" w:type="dxa"/>
          </w:tcPr>
          <w:p w14:paraId="68682C05">
            <w:pPr>
              <w:spacing w:before="177"/>
              <w:ind w:left="107"/>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31</w:t>
            </w:r>
            <w:r>
              <w:rPr>
                <w:rFonts w:ascii="宋体" w:hAnsi="宋体" w:eastAsia="宋体" w:cs="宋体"/>
                <w:w w:val="95"/>
                <w:sz w:val="21"/>
              </w:rPr>
              <w:t>）空气质量优良天数比例</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Pr>
          <w:p w14:paraId="7F6D9BA5">
            <w:pPr>
              <w:spacing w:before="191"/>
              <w:ind w:left="148" w:right="129"/>
              <w:jc w:val="center"/>
              <w:rPr>
                <w:rFonts w:ascii="Times New Roman" w:hAnsi="宋体" w:eastAsia="宋体" w:cs="宋体"/>
                <w:sz w:val="21"/>
              </w:rPr>
            </w:pPr>
            <w:r>
              <w:rPr>
                <w:rFonts w:ascii="Times New Roman" w:hAnsi="宋体" w:eastAsia="宋体" w:cs="宋体"/>
                <w:spacing w:val="-4"/>
                <w:sz w:val="21"/>
              </w:rPr>
              <w:t>71.6</w:t>
            </w:r>
          </w:p>
        </w:tc>
        <w:tc>
          <w:tcPr>
            <w:tcW w:w="978" w:type="dxa"/>
          </w:tcPr>
          <w:p w14:paraId="2AF9155C">
            <w:pPr>
              <w:spacing w:before="191"/>
              <w:ind w:left="303"/>
              <w:rPr>
                <w:rFonts w:ascii="Times New Roman" w:hAnsi="宋体" w:eastAsia="宋体" w:cs="宋体"/>
                <w:sz w:val="21"/>
              </w:rPr>
            </w:pPr>
            <w:r>
              <w:rPr>
                <w:rFonts w:ascii="Times New Roman" w:hAnsi="宋体" w:eastAsia="宋体" w:cs="宋体"/>
                <w:spacing w:val="-4"/>
                <w:sz w:val="21"/>
              </w:rPr>
              <w:t>81.4</w:t>
            </w:r>
          </w:p>
        </w:tc>
        <w:tc>
          <w:tcPr>
            <w:tcW w:w="944" w:type="dxa"/>
          </w:tcPr>
          <w:p w14:paraId="30B52D2F">
            <w:pPr>
              <w:spacing w:before="21"/>
              <w:ind w:left="156"/>
              <w:rPr>
                <w:rFonts w:ascii="宋体" w:hAnsi="宋体" w:eastAsia="宋体" w:cs="宋体"/>
                <w:sz w:val="21"/>
              </w:rPr>
            </w:pPr>
            <w:r>
              <w:rPr>
                <w:rFonts w:ascii="宋体" w:hAnsi="宋体" w:eastAsia="宋体" w:cs="宋体"/>
                <w:spacing w:val="-4"/>
                <w:w w:val="95"/>
                <w:sz w:val="21"/>
              </w:rPr>
              <w:t>高于全</w:t>
            </w:r>
          </w:p>
          <w:p w14:paraId="319337D8">
            <w:pPr>
              <w:spacing w:before="43"/>
              <w:ind w:left="156"/>
              <w:rPr>
                <w:rFonts w:ascii="宋体" w:hAnsi="宋体" w:eastAsia="宋体" w:cs="宋体"/>
                <w:sz w:val="21"/>
              </w:rPr>
            </w:pPr>
            <w:r>
              <w:rPr>
                <w:rFonts w:ascii="宋体" w:hAnsi="宋体" w:eastAsia="宋体" w:cs="宋体"/>
                <w:spacing w:val="-4"/>
                <w:w w:val="95"/>
                <w:sz w:val="21"/>
              </w:rPr>
              <w:t>市水平</w:t>
            </w:r>
          </w:p>
        </w:tc>
        <w:tc>
          <w:tcPr>
            <w:tcW w:w="914" w:type="dxa"/>
          </w:tcPr>
          <w:p w14:paraId="77D23627">
            <w:pPr>
              <w:spacing w:before="191"/>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56746A75">
            <w:pPr>
              <w:spacing w:before="177"/>
              <w:ind w:left="119"/>
              <w:rPr>
                <w:rFonts w:ascii="宋体" w:hAnsi="宋体" w:eastAsia="宋体" w:cs="宋体"/>
                <w:sz w:val="21"/>
              </w:rPr>
            </w:pPr>
            <w:r>
              <w:rPr>
                <w:rFonts w:ascii="宋体" w:hAnsi="宋体" w:eastAsia="宋体" w:cs="宋体"/>
                <w:spacing w:val="-4"/>
                <w:w w:val="95"/>
                <w:sz w:val="21"/>
              </w:rPr>
              <w:t>约束性</w:t>
            </w:r>
          </w:p>
        </w:tc>
      </w:tr>
      <w:tr w14:paraId="4A1869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bottom w:val="single" w:color="000000" w:sz="4" w:space="0"/>
            </w:tcBorders>
          </w:tcPr>
          <w:p w14:paraId="60CEDBD9">
            <w:pPr>
              <w:rPr>
                <w:sz w:val="2"/>
                <w:szCs w:val="2"/>
              </w:rPr>
            </w:pPr>
          </w:p>
        </w:tc>
        <w:tc>
          <w:tcPr>
            <w:tcW w:w="3766" w:type="dxa"/>
          </w:tcPr>
          <w:p w14:paraId="7AD4F336">
            <w:pPr>
              <w:spacing w:before="44"/>
              <w:ind w:left="107" w:right="-29"/>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32</w:t>
            </w:r>
            <w:r>
              <w:rPr>
                <w:rFonts w:ascii="宋体" w:hAnsi="宋体" w:eastAsia="宋体" w:cs="宋体"/>
                <w:w w:val="95"/>
                <w:sz w:val="21"/>
              </w:rPr>
              <w:t>）城市生活垃圾无害化处理率</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56836796">
            <w:pPr>
              <w:spacing w:before="58"/>
              <w:ind w:left="148" w:right="129"/>
              <w:jc w:val="center"/>
              <w:rPr>
                <w:rFonts w:ascii="Times New Roman" w:hAnsi="宋体" w:eastAsia="宋体" w:cs="宋体"/>
                <w:sz w:val="21"/>
              </w:rPr>
            </w:pPr>
            <w:r>
              <w:rPr>
                <w:rFonts w:ascii="Times New Roman" w:hAnsi="宋体" w:eastAsia="宋体" w:cs="宋体"/>
                <w:spacing w:val="-5"/>
                <w:sz w:val="21"/>
              </w:rPr>
              <w:t>100</w:t>
            </w:r>
          </w:p>
        </w:tc>
        <w:tc>
          <w:tcPr>
            <w:tcW w:w="978" w:type="dxa"/>
          </w:tcPr>
          <w:p w14:paraId="0A29C0D5">
            <w:pPr>
              <w:spacing w:before="58"/>
              <w:ind w:left="330"/>
              <w:rPr>
                <w:rFonts w:ascii="Times New Roman" w:hAnsi="宋体" w:eastAsia="宋体" w:cs="宋体"/>
                <w:sz w:val="21"/>
              </w:rPr>
            </w:pPr>
            <w:r>
              <w:rPr>
                <w:rFonts w:ascii="Times New Roman" w:hAnsi="宋体" w:eastAsia="宋体" w:cs="宋体"/>
                <w:spacing w:val="-5"/>
                <w:sz w:val="21"/>
              </w:rPr>
              <w:t>100</w:t>
            </w:r>
          </w:p>
        </w:tc>
        <w:tc>
          <w:tcPr>
            <w:tcW w:w="944" w:type="dxa"/>
          </w:tcPr>
          <w:p w14:paraId="7ED76EF6">
            <w:pPr>
              <w:spacing w:before="58"/>
              <w:ind w:right="291"/>
              <w:jc w:val="right"/>
              <w:rPr>
                <w:rFonts w:ascii="Times New Roman" w:hAnsi="宋体" w:eastAsia="宋体" w:cs="宋体"/>
                <w:sz w:val="21"/>
              </w:rPr>
            </w:pPr>
            <w:r>
              <w:rPr>
                <w:rFonts w:ascii="Times New Roman" w:hAnsi="宋体" w:eastAsia="宋体" w:cs="宋体"/>
                <w:spacing w:val="-5"/>
                <w:sz w:val="21"/>
              </w:rPr>
              <w:t>100</w:t>
            </w:r>
          </w:p>
        </w:tc>
        <w:tc>
          <w:tcPr>
            <w:tcW w:w="914" w:type="dxa"/>
          </w:tcPr>
          <w:p w14:paraId="29C8CD6D">
            <w:pPr>
              <w:spacing w:before="58"/>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177DA465">
            <w:pPr>
              <w:spacing w:before="44"/>
              <w:ind w:left="119"/>
              <w:rPr>
                <w:rFonts w:ascii="宋体" w:hAnsi="宋体" w:eastAsia="宋体" w:cs="宋体"/>
                <w:sz w:val="21"/>
              </w:rPr>
            </w:pPr>
            <w:r>
              <w:rPr>
                <w:rFonts w:ascii="宋体" w:hAnsi="宋体" w:eastAsia="宋体" w:cs="宋体"/>
                <w:spacing w:val="-4"/>
                <w:w w:val="95"/>
                <w:sz w:val="21"/>
              </w:rPr>
              <w:t>约束性</w:t>
            </w:r>
          </w:p>
        </w:tc>
      </w:tr>
      <w:tr w14:paraId="32EEF1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8" w:hRule="atLeast"/>
        </w:trPr>
        <w:tc>
          <w:tcPr>
            <w:tcW w:w="696" w:type="dxa"/>
            <w:vMerge w:val="continue"/>
            <w:tcBorders>
              <w:top w:val="nil"/>
              <w:bottom w:val="single" w:color="000000" w:sz="4" w:space="0"/>
            </w:tcBorders>
          </w:tcPr>
          <w:p w14:paraId="258E26B8">
            <w:pPr>
              <w:rPr>
                <w:sz w:val="2"/>
                <w:szCs w:val="2"/>
              </w:rPr>
            </w:pPr>
          </w:p>
        </w:tc>
        <w:tc>
          <w:tcPr>
            <w:tcW w:w="3766" w:type="dxa"/>
          </w:tcPr>
          <w:p w14:paraId="59701AD6">
            <w:pPr>
              <w:spacing w:before="43"/>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33</w:t>
            </w:r>
            <w:r>
              <w:rPr>
                <w:rFonts w:ascii="宋体" w:hAnsi="宋体" w:eastAsia="宋体" w:cs="宋体"/>
                <w:w w:val="95"/>
                <w:sz w:val="21"/>
              </w:rPr>
              <w:t>）城镇污水集中处理率</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3CC27436">
            <w:pPr>
              <w:spacing w:before="57"/>
              <w:ind w:left="148" w:right="129"/>
              <w:jc w:val="center"/>
              <w:rPr>
                <w:rFonts w:ascii="Times New Roman" w:hAnsi="宋体" w:eastAsia="宋体" w:cs="宋体"/>
                <w:sz w:val="21"/>
              </w:rPr>
            </w:pPr>
            <w:r>
              <w:rPr>
                <w:rFonts w:ascii="Times New Roman" w:hAnsi="宋体" w:eastAsia="宋体" w:cs="宋体"/>
                <w:spacing w:val="-4"/>
                <w:sz w:val="21"/>
              </w:rPr>
              <w:t>95.5</w:t>
            </w:r>
          </w:p>
        </w:tc>
        <w:tc>
          <w:tcPr>
            <w:tcW w:w="978" w:type="dxa"/>
          </w:tcPr>
          <w:p w14:paraId="0AF107BF">
            <w:pPr>
              <w:spacing w:before="57"/>
              <w:ind w:left="131" w:right="114"/>
              <w:jc w:val="center"/>
              <w:rPr>
                <w:rFonts w:ascii="Times New Roman" w:hAnsi="宋体" w:eastAsia="宋体" w:cs="宋体"/>
                <w:sz w:val="21"/>
              </w:rPr>
            </w:pPr>
            <w:r>
              <w:rPr>
                <w:rFonts w:ascii="Times New Roman" w:hAnsi="宋体" w:eastAsia="宋体" w:cs="宋体"/>
                <w:spacing w:val="-5"/>
                <w:sz w:val="21"/>
              </w:rPr>
              <w:t>96</w:t>
            </w:r>
          </w:p>
        </w:tc>
        <w:tc>
          <w:tcPr>
            <w:tcW w:w="944" w:type="dxa"/>
          </w:tcPr>
          <w:p w14:paraId="5BC2F2D7">
            <w:pPr>
              <w:spacing w:before="57"/>
              <w:ind w:left="302" w:right="282"/>
              <w:jc w:val="center"/>
              <w:rPr>
                <w:rFonts w:ascii="Times New Roman" w:hAnsi="宋体" w:eastAsia="宋体" w:cs="宋体"/>
                <w:sz w:val="21"/>
              </w:rPr>
            </w:pPr>
            <w:r>
              <w:rPr>
                <w:rFonts w:ascii="Times New Roman" w:hAnsi="宋体" w:eastAsia="宋体" w:cs="宋体"/>
                <w:spacing w:val="-5"/>
                <w:sz w:val="21"/>
              </w:rPr>
              <w:t>98</w:t>
            </w:r>
          </w:p>
        </w:tc>
        <w:tc>
          <w:tcPr>
            <w:tcW w:w="914" w:type="dxa"/>
          </w:tcPr>
          <w:p w14:paraId="60EB14BE">
            <w:pPr>
              <w:spacing w:before="57"/>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3587B9C8">
            <w:pPr>
              <w:spacing w:before="43"/>
              <w:ind w:left="119"/>
              <w:rPr>
                <w:rFonts w:ascii="宋体" w:hAnsi="宋体" w:eastAsia="宋体" w:cs="宋体"/>
                <w:sz w:val="21"/>
              </w:rPr>
            </w:pPr>
            <w:r>
              <w:rPr>
                <w:rFonts w:ascii="宋体" w:hAnsi="宋体" w:eastAsia="宋体" w:cs="宋体"/>
                <w:spacing w:val="-4"/>
                <w:w w:val="95"/>
                <w:sz w:val="21"/>
              </w:rPr>
              <w:t>约束性</w:t>
            </w:r>
          </w:p>
        </w:tc>
      </w:tr>
      <w:tr w14:paraId="5D85D6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bottom w:val="single" w:color="000000" w:sz="4" w:space="0"/>
            </w:tcBorders>
          </w:tcPr>
          <w:p w14:paraId="13BAEA72">
            <w:pPr>
              <w:rPr>
                <w:sz w:val="2"/>
                <w:szCs w:val="2"/>
              </w:rPr>
            </w:pPr>
          </w:p>
        </w:tc>
        <w:tc>
          <w:tcPr>
            <w:tcW w:w="3766" w:type="dxa"/>
          </w:tcPr>
          <w:p w14:paraId="04C0D469">
            <w:pPr>
              <w:spacing w:before="44"/>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34</w:t>
            </w:r>
            <w:r>
              <w:rPr>
                <w:rFonts w:ascii="宋体" w:hAnsi="宋体" w:eastAsia="宋体" w:cs="宋体"/>
                <w:w w:val="95"/>
                <w:sz w:val="21"/>
              </w:rPr>
              <w:t>）人均公共绿地面积（平方米</w:t>
            </w:r>
            <w:r>
              <w:rPr>
                <w:rFonts w:ascii="宋体" w:hAnsi="宋体" w:eastAsia="宋体" w:cs="宋体"/>
                <w:spacing w:val="-10"/>
                <w:w w:val="95"/>
                <w:sz w:val="21"/>
              </w:rPr>
              <w:t>）</w:t>
            </w:r>
          </w:p>
        </w:tc>
        <w:tc>
          <w:tcPr>
            <w:tcW w:w="1011" w:type="dxa"/>
          </w:tcPr>
          <w:p w14:paraId="74A16E13">
            <w:pPr>
              <w:spacing w:before="58"/>
              <w:ind w:left="148" w:right="129"/>
              <w:jc w:val="center"/>
              <w:rPr>
                <w:rFonts w:ascii="Times New Roman" w:hAnsi="宋体" w:eastAsia="宋体" w:cs="宋体"/>
                <w:sz w:val="21"/>
              </w:rPr>
            </w:pPr>
            <w:r>
              <w:rPr>
                <w:rFonts w:ascii="Times New Roman" w:hAnsi="宋体" w:eastAsia="宋体" w:cs="宋体"/>
                <w:spacing w:val="-5"/>
                <w:sz w:val="21"/>
              </w:rPr>
              <w:t>16</w:t>
            </w:r>
          </w:p>
        </w:tc>
        <w:tc>
          <w:tcPr>
            <w:tcW w:w="978" w:type="dxa"/>
          </w:tcPr>
          <w:p w14:paraId="7008B600">
            <w:pPr>
              <w:spacing w:before="58"/>
              <w:ind w:right="231"/>
              <w:jc w:val="right"/>
              <w:rPr>
                <w:rFonts w:ascii="Times New Roman" w:hAnsi="宋体" w:eastAsia="宋体" w:cs="宋体"/>
                <w:sz w:val="21"/>
              </w:rPr>
            </w:pPr>
            <w:r>
              <w:rPr>
                <w:rFonts w:ascii="Times New Roman" w:hAnsi="宋体" w:eastAsia="宋体" w:cs="宋体"/>
                <w:spacing w:val="-2"/>
                <w:sz w:val="21"/>
              </w:rPr>
              <w:t>20.04</w:t>
            </w:r>
          </w:p>
        </w:tc>
        <w:tc>
          <w:tcPr>
            <w:tcW w:w="944" w:type="dxa"/>
          </w:tcPr>
          <w:p w14:paraId="193B1BCF">
            <w:pPr>
              <w:spacing w:before="58"/>
              <w:ind w:right="212"/>
              <w:jc w:val="right"/>
              <w:rPr>
                <w:rFonts w:ascii="Times New Roman" w:hAnsi="宋体" w:eastAsia="宋体" w:cs="宋体"/>
                <w:sz w:val="21"/>
              </w:rPr>
            </w:pPr>
            <w:r>
              <w:rPr>
                <w:rFonts w:ascii="Times New Roman" w:hAnsi="宋体" w:eastAsia="宋体" w:cs="宋体"/>
                <w:spacing w:val="-2"/>
                <w:sz w:val="21"/>
              </w:rPr>
              <w:t>20.57</w:t>
            </w:r>
          </w:p>
        </w:tc>
        <w:tc>
          <w:tcPr>
            <w:tcW w:w="914" w:type="dxa"/>
          </w:tcPr>
          <w:p w14:paraId="0BA686C8">
            <w:pPr>
              <w:spacing w:before="58"/>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0E8D4B13">
            <w:pPr>
              <w:spacing w:before="44"/>
              <w:ind w:left="107"/>
              <w:rPr>
                <w:rFonts w:ascii="宋体" w:hAnsi="宋体" w:eastAsia="宋体" w:cs="宋体"/>
                <w:sz w:val="21"/>
              </w:rPr>
            </w:pPr>
            <w:r>
              <w:rPr>
                <w:rFonts w:ascii="宋体" w:hAnsi="宋体" w:eastAsia="宋体" w:cs="宋体"/>
                <w:spacing w:val="-4"/>
                <w:w w:val="95"/>
                <w:sz w:val="21"/>
              </w:rPr>
              <w:t>约束性</w:t>
            </w:r>
          </w:p>
        </w:tc>
      </w:tr>
      <w:tr w14:paraId="62703E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bottom w:val="single" w:color="000000" w:sz="4" w:space="0"/>
            </w:tcBorders>
          </w:tcPr>
          <w:p w14:paraId="7270478B">
            <w:pPr>
              <w:rPr>
                <w:sz w:val="2"/>
                <w:szCs w:val="2"/>
              </w:rPr>
            </w:pPr>
          </w:p>
        </w:tc>
        <w:tc>
          <w:tcPr>
            <w:tcW w:w="3766" w:type="dxa"/>
          </w:tcPr>
          <w:p w14:paraId="58759582">
            <w:pPr>
              <w:spacing w:before="43"/>
              <w:ind w:left="107"/>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35</w:t>
            </w:r>
            <w:r>
              <w:rPr>
                <w:rFonts w:ascii="宋体" w:hAnsi="宋体" w:eastAsia="宋体" w:cs="宋体"/>
                <w:w w:val="95"/>
                <w:sz w:val="21"/>
              </w:rPr>
              <w:t>）森林覆盖率</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Pr>
          <w:p w14:paraId="31F5795D">
            <w:pPr>
              <w:spacing w:before="57"/>
              <w:ind w:left="148" w:right="129"/>
              <w:jc w:val="center"/>
              <w:rPr>
                <w:rFonts w:ascii="Times New Roman" w:hAnsi="宋体" w:eastAsia="宋体" w:cs="宋体"/>
                <w:sz w:val="21"/>
              </w:rPr>
            </w:pPr>
            <w:r>
              <w:rPr>
                <w:rFonts w:ascii="Times New Roman" w:hAnsi="宋体" w:eastAsia="宋体" w:cs="宋体"/>
                <w:spacing w:val="-4"/>
                <w:sz w:val="21"/>
              </w:rPr>
              <w:t>5.94</w:t>
            </w:r>
          </w:p>
        </w:tc>
        <w:tc>
          <w:tcPr>
            <w:tcW w:w="978" w:type="dxa"/>
          </w:tcPr>
          <w:p w14:paraId="313DB629">
            <w:pPr>
              <w:spacing w:before="57"/>
              <w:ind w:left="303"/>
              <w:rPr>
                <w:rFonts w:ascii="Times New Roman" w:hAnsi="宋体" w:eastAsia="宋体" w:cs="宋体"/>
                <w:sz w:val="21"/>
              </w:rPr>
            </w:pPr>
            <w:r>
              <w:rPr>
                <w:rFonts w:ascii="Times New Roman" w:hAnsi="宋体" w:eastAsia="宋体" w:cs="宋体"/>
                <w:spacing w:val="-4"/>
                <w:sz w:val="21"/>
              </w:rPr>
              <w:t>8.66</w:t>
            </w:r>
          </w:p>
        </w:tc>
        <w:tc>
          <w:tcPr>
            <w:tcW w:w="944" w:type="dxa"/>
          </w:tcPr>
          <w:p w14:paraId="2782006A">
            <w:pPr>
              <w:spacing w:before="57"/>
              <w:ind w:right="179"/>
              <w:jc w:val="right"/>
              <w:rPr>
                <w:rFonts w:ascii="Times New Roman" w:hAnsi="宋体" w:eastAsia="宋体" w:cs="宋体"/>
                <w:sz w:val="13"/>
              </w:rPr>
            </w:pPr>
            <w:r>
              <w:rPr>
                <w:rFonts w:ascii="Times New Roman" w:hAnsi="宋体" w:eastAsia="宋体" w:cs="宋体"/>
                <w:spacing w:val="-2"/>
                <w:sz w:val="21"/>
              </w:rPr>
              <w:t>20.04</w:t>
            </w:r>
            <w:r>
              <w:rPr>
                <w:rFonts w:ascii="Times New Roman" w:hAnsi="宋体" w:eastAsia="宋体" w:cs="宋体"/>
                <w:spacing w:val="-2"/>
                <w:position w:val="7"/>
                <w:sz w:val="13"/>
              </w:rPr>
              <w:t>#</w:t>
            </w:r>
          </w:p>
        </w:tc>
        <w:tc>
          <w:tcPr>
            <w:tcW w:w="914" w:type="dxa"/>
          </w:tcPr>
          <w:p w14:paraId="41569ADB">
            <w:pPr>
              <w:spacing w:before="57"/>
              <w:ind w:right="261"/>
              <w:jc w:val="right"/>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327F8DD0">
            <w:pPr>
              <w:spacing w:before="43"/>
              <w:ind w:left="107"/>
              <w:rPr>
                <w:rFonts w:ascii="宋体" w:hAnsi="宋体" w:eastAsia="宋体" w:cs="宋体"/>
                <w:sz w:val="21"/>
              </w:rPr>
            </w:pPr>
            <w:r>
              <w:rPr>
                <w:rFonts w:ascii="宋体" w:hAnsi="宋体" w:eastAsia="宋体" w:cs="宋体"/>
                <w:spacing w:val="-4"/>
                <w:w w:val="95"/>
                <w:sz w:val="21"/>
              </w:rPr>
              <w:t>约束性</w:t>
            </w:r>
          </w:p>
        </w:tc>
      </w:tr>
      <w:tr w14:paraId="7F2E9C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bottom w:val="single" w:color="000000" w:sz="4" w:space="0"/>
            </w:tcBorders>
          </w:tcPr>
          <w:p w14:paraId="071F66B5">
            <w:pPr>
              <w:rPr>
                <w:sz w:val="2"/>
                <w:szCs w:val="2"/>
              </w:rPr>
            </w:pPr>
          </w:p>
        </w:tc>
        <w:tc>
          <w:tcPr>
            <w:tcW w:w="3766" w:type="dxa"/>
          </w:tcPr>
          <w:p w14:paraId="5AB3D46A">
            <w:pPr>
              <w:spacing w:before="44"/>
              <w:ind w:left="107"/>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36</w:t>
            </w:r>
            <w:r>
              <w:rPr>
                <w:rFonts w:ascii="宋体" w:hAnsi="宋体" w:eastAsia="宋体" w:cs="宋体"/>
                <w:w w:val="95"/>
                <w:sz w:val="21"/>
              </w:rPr>
              <w:t>）湿地覆盖率</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Pr>
          <w:p w14:paraId="3FE8DC38">
            <w:pPr>
              <w:spacing w:before="58"/>
              <w:ind w:left="148" w:right="130"/>
              <w:jc w:val="center"/>
              <w:rPr>
                <w:rFonts w:ascii="Times New Roman" w:hAnsi="宋体" w:eastAsia="宋体" w:cs="宋体"/>
                <w:sz w:val="21"/>
              </w:rPr>
            </w:pPr>
            <w:r>
              <w:rPr>
                <w:rFonts w:ascii="Times New Roman" w:hAnsi="宋体" w:eastAsia="宋体" w:cs="宋体"/>
                <w:spacing w:val="-2"/>
                <w:w w:val="95"/>
                <w:sz w:val="21"/>
              </w:rPr>
              <w:t>-</w:t>
            </w:r>
            <w:r>
              <w:rPr>
                <w:rFonts w:ascii="Times New Roman" w:hAnsi="宋体" w:eastAsia="宋体" w:cs="宋体"/>
                <w:spacing w:val="-10"/>
                <w:w w:val="95"/>
                <w:sz w:val="21"/>
              </w:rPr>
              <w:t>-</w:t>
            </w:r>
          </w:p>
        </w:tc>
        <w:tc>
          <w:tcPr>
            <w:tcW w:w="978" w:type="dxa"/>
          </w:tcPr>
          <w:p w14:paraId="635537E5">
            <w:pPr>
              <w:spacing w:before="58"/>
              <w:ind w:left="131" w:right="114"/>
              <w:jc w:val="center"/>
              <w:rPr>
                <w:rFonts w:ascii="Times New Roman" w:hAnsi="宋体" w:eastAsia="宋体" w:cs="宋体"/>
                <w:sz w:val="21"/>
              </w:rPr>
            </w:pPr>
            <w:r>
              <w:rPr>
                <w:rFonts w:ascii="Times New Roman" w:hAnsi="宋体" w:eastAsia="宋体" w:cs="宋体"/>
                <w:spacing w:val="-5"/>
                <w:sz w:val="21"/>
              </w:rPr>
              <w:t>81</w:t>
            </w:r>
          </w:p>
        </w:tc>
        <w:tc>
          <w:tcPr>
            <w:tcW w:w="944" w:type="dxa"/>
          </w:tcPr>
          <w:p w14:paraId="574E2714">
            <w:pPr>
              <w:spacing w:before="58"/>
              <w:ind w:left="302" w:right="282"/>
              <w:jc w:val="center"/>
              <w:rPr>
                <w:rFonts w:ascii="Times New Roman" w:hAnsi="宋体" w:eastAsia="宋体" w:cs="宋体"/>
                <w:sz w:val="21"/>
              </w:rPr>
            </w:pPr>
            <w:r>
              <w:rPr>
                <w:rFonts w:ascii="Times New Roman" w:hAnsi="宋体" w:eastAsia="宋体" w:cs="宋体"/>
                <w:spacing w:val="-5"/>
                <w:sz w:val="21"/>
              </w:rPr>
              <w:t>85</w:t>
            </w:r>
          </w:p>
        </w:tc>
        <w:tc>
          <w:tcPr>
            <w:tcW w:w="914" w:type="dxa"/>
          </w:tcPr>
          <w:p w14:paraId="6C3E10C4">
            <w:pPr>
              <w:spacing w:before="58"/>
              <w:ind w:right="261"/>
              <w:jc w:val="right"/>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24161BA0">
            <w:pPr>
              <w:spacing w:before="44"/>
              <w:ind w:left="107"/>
              <w:rPr>
                <w:rFonts w:ascii="宋体" w:hAnsi="宋体" w:eastAsia="宋体" w:cs="宋体"/>
                <w:sz w:val="21"/>
              </w:rPr>
            </w:pPr>
            <w:r>
              <w:rPr>
                <w:rFonts w:ascii="宋体" w:hAnsi="宋体" w:eastAsia="宋体" w:cs="宋体"/>
                <w:spacing w:val="-4"/>
                <w:w w:val="95"/>
                <w:sz w:val="21"/>
              </w:rPr>
              <w:t>约束性</w:t>
            </w:r>
          </w:p>
        </w:tc>
      </w:tr>
      <w:tr w14:paraId="0383D1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696" w:type="dxa"/>
            <w:vMerge w:val="continue"/>
            <w:tcBorders>
              <w:top w:val="nil"/>
              <w:bottom w:val="single" w:color="000000" w:sz="4" w:space="0"/>
            </w:tcBorders>
          </w:tcPr>
          <w:p w14:paraId="3A3D3A44">
            <w:pPr>
              <w:rPr>
                <w:sz w:val="2"/>
                <w:szCs w:val="2"/>
              </w:rPr>
            </w:pPr>
          </w:p>
        </w:tc>
        <w:tc>
          <w:tcPr>
            <w:tcW w:w="3766" w:type="dxa"/>
          </w:tcPr>
          <w:p w14:paraId="59F11D24">
            <w:pPr>
              <w:spacing w:before="177"/>
              <w:ind w:left="107"/>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37</w:t>
            </w:r>
            <w:r>
              <w:rPr>
                <w:rFonts w:ascii="宋体" w:hAnsi="宋体" w:eastAsia="宋体" w:cs="宋体"/>
                <w:w w:val="95"/>
                <w:sz w:val="21"/>
              </w:rPr>
              <w:t>）水土保持率</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Pr>
          <w:p w14:paraId="11F7D123">
            <w:pPr>
              <w:spacing w:before="191"/>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6B1EE422">
            <w:pPr>
              <w:spacing w:before="191"/>
              <w:ind w:left="132" w:right="114"/>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Pr>
          <w:p w14:paraId="1B22E3F1">
            <w:pPr>
              <w:spacing w:before="22"/>
              <w:ind w:left="156"/>
              <w:rPr>
                <w:rFonts w:ascii="宋体" w:hAnsi="宋体" w:eastAsia="宋体" w:cs="宋体"/>
                <w:sz w:val="21"/>
              </w:rPr>
            </w:pPr>
            <w:r>
              <w:rPr>
                <w:rFonts w:ascii="宋体" w:hAnsi="宋体" w:eastAsia="宋体" w:cs="宋体"/>
                <w:spacing w:val="-4"/>
                <w:w w:val="95"/>
                <w:sz w:val="21"/>
              </w:rPr>
              <w:t>高于全</w:t>
            </w:r>
          </w:p>
          <w:p w14:paraId="248F4422">
            <w:pPr>
              <w:spacing w:before="42"/>
              <w:ind w:left="156"/>
              <w:rPr>
                <w:rFonts w:ascii="宋体" w:hAnsi="宋体" w:eastAsia="宋体" w:cs="宋体"/>
                <w:sz w:val="21"/>
              </w:rPr>
            </w:pPr>
            <w:r>
              <w:rPr>
                <w:rFonts w:ascii="宋体" w:hAnsi="宋体" w:eastAsia="宋体" w:cs="宋体"/>
                <w:spacing w:val="-4"/>
                <w:w w:val="95"/>
                <w:sz w:val="21"/>
              </w:rPr>
              <w:t>市水平</w:t>
            </w:r>
          </w:p>
        </w:tc>
        <w:tc>
          <w:tcPr>
            <w:tcW w:w="914" w:type="dxa"/>
          </w:tcPr>
          <w:p w14:paraId="27358CF1">
            <w:pPr>
              <w:spacing w:before="191"/>
              <w:ind w:right="261"/>
              <w:jc w:val="right"/>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4C6CC30E">
            <w:pPr>
              <w:spacing w:before="177"/>
              <w:ind w:left="107"/>
              <w:rPr>
                <w:rFonts w:ascii="宋体" w:hAnsi="宋体" w:eastAsia="宋体" w:cs="宋体"/>
                <w:sz w:val="21"/>
              </w:rPr>
            </w:pPr>
            <w:r>
              <w:rPr>
                <w:rFonts w:ascii="宋体" w:hAnsi="宋体" w:eastAsia="宋体" w:cs="宋体"/>
                <w:spacing w:val="-4"/>
                <w:w w:val="95"/>
                <w:sz w:val="21"/>
              </w:rPr>
              <w:t>约束性</w:t>
            </w:r>
          </w:p>
        </w:tc>
      </w:tr>
      <w:tr w14:paraId="6BDEFD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bottom w:val="single" w:color="000000" w:sz="4" w:space="0"/>
            </w:tcBorders>
          </w:tcPr>
          <w:p w14:paraId="72FD2E39">
            <w:pPr>
              <w:rPr>
                <w:sz w:val="2"/>
                <w:szCs w:val="2"/>
              </w:rPr>
            </w:pPr>
          </w:p>
        </w:tc>
        <w:tc>
          <w:tcPr>
            <w:tcW w:w="3766" w:type="dxa"/>
          </w:tcPr>
          <w:p w14:paraId="75E33059">
            <w:pPr>
              <w:spacing w:before="45"/>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38</w:t>
            </w:r>
            <w:r>
              <w:rPr>
                <w:rFonts w:ascii="宋体" w:hAnsi="宋体" w:eastAsia="宋体" w:cs="宋体"/>
                <w:w w:val="95"/>
                <w:sz w:val="21"/>
              </w:rPr>
              <w:t>）</w:t>
            </w:r>
            <w:r>
              <w:rPr>
                <w:rFonts w:ascii="宋体" w:hAnsi="宋体" w:eastAsia="宋体" w:cs="宋体"/>
                <w:spacing w:val="-1"/>
                <w:w w:val="95"/>
                <w:sz w:val="21"/>
              </w:rPr>
              <w:t>重要水功能区水质达标率</w:t>
            </w:r>
          </w:p>
        </w:tc>
        <w:tc>
          <w:tcPr>
            <w:tcW w:w="1011" w:type="dxa"/>
          </w:tcPr>
          <w:p w14:paraId="27C2B90D">
            <w:pPr>
              <w:spacing w:before="59"/>
              <w:ind w:left="148" w:right="130"/>
              <w:jc w:val="center"/>
              <w:rPr>
                <w:rFonts w:ascii="Times New Roman" w:hAnsi="宋体" w:eastAsia="宋体" w:cs="宋体"/>
                <w:sz w:val="21"/>
              </w:rPr>
            </w:pPr>
            <w:r>
              <w:rPr>
                <w:rFonts w:ascii="Times New Roman" w:hAnsi="宋体" w:eastAsia="宋体" w:cs="宋体"/>
                <w:spacing w:val="-2"/>
                <w:w w:val="95"/>
                <w:sz w:val="21"/>
              </w:rPr>
              <w:t>-</w:t>
            </w:r>
            <w:r>
              <w:rPr>
                <w:rFonts w:ascii="Times New Roman" w:hAnsi="宋体" w:eastAsia="宋体" w:cs="宋体"/>
                <w:spacing w:val="-10"/>
                <w:w w:val="95"/>
                <w:sz w:val="21"/>
              </w:rPr>
              <w:t>-</w:t>
            </w:r>
          </w:p>
        </w:tc>
        <w:tc>
          <w:tcPr>
            <w:tcW w:w="978" w:type="dxa"/>
          </w:tcPr>
          <w:p w14:paraId="7441DECB">
            <w:pPr>
              <w:spacing w:before="59"/>
              <w:ind w:left="330"/>
              <w:rPr>
                <w:rFonts w:ascii="Times New Roman" w:hAnsi="宋体" w:eastAsia="宋体" w:cs="宋体"/>
                <w:sz w:val="21"/>
              </w:rPr>
            </w:pPr>
            <w:r>
              <w:rPr>
                <w:rFonts w:ascii="Times New Roman" w:hAnsi="宋体" w:eastAsia="宋体" w:cs="宋体"/>
                <w:spacing w:val="-5"/>
                <w:sz w:val="21"/>
              </w:rPr>
              <w:t>100</w:t>
            </w:r>
          </w:p>
        </w:tc>
        <w:tc>
          <w:tcPr>
            <w:tcW w:w="944" w:type="dxa"/>
          </w:tcPr>
          <w:p w14:paraId="1E0CFEFE">
            <w:pPr>
              <w:spacing w:before="59"/>
              <w:ind w:right="291"/>
              <w:jc w:val="right"/>
              <w:rPr>
                <w:rFonts w:ascii="Times New Roman" w:hAnsi="宋体" w:eastAsia="宋体" w:cs="宋体"/>
                <w:sz w:val="21"/>
              </w:rPr>
            </w:pPr>
            <w:r>
              <w:rPr>
                <w:rFonts w:ascii="Times New Roman" w:hAnsi="宋体" w:eastAsia="宋体" w:cs="宋体"/>
                <w:spacing w:val="-5"/>
                <w:sz w:val="21"/>
              </w:rPr>
              <w:t>100</w:t>
            </w:r>
          </w:p>
        </w:tc>
        <w:tc>
          <w:tcPr>
            <w:tcW w:w="914" w:type="dxa"/>
          </w:tcPr>
          <w:p w14:paraId="739F29D1">
            <w:pPr>
              <w:spacing w:before="59"/>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3C142512">
            <w:pPr>
              <w:spacing w:before="45"/>
              <w:ind w:left="107"/>
              <w:rPr>
                <w:rFonts w:ascii="宋体" w:hAnsi="宋体" w:eastAsia="宋体" w:cs="宋体"/>
                <w:sz w:val="21"/>
              </w:rPr>
            </w:pPr>
            <w:r>
              <w:rPr>
                <w:rFonts w:ascii="宋体" w:hAnsi="宋体" w:eastAsia="宋体" w:cs="宋体"/>
                <w:spacing w:val="-4"/>
                <w:w w:val="95"/>
                <w:sz w:val="21"/>
              </w:rPr>
              <w:t>约束性</w:t>
            </w:r>
          </w:p>
        </w:tc>
      </w:tr>
      <w:tr w14:paraId="79DBA5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1" w:hRule="atLeast"/>
        </w:trPr>
        <w:tc>
          <w:tcPr>
            <w:tcW w:w="696" w:type="dxa"/>
            <w:vMerge w:val="restart"/>
            <w:tcBorders>
              <w:top w:val="single" w:color="000000" w:sz="4" w:space="0"/>
              <w:left w:val="single" w:color="000000" w:sz="4" w:space="0"/>
              <w:bottom w:val="single" w:color="000000" w:sz="4" w:space="0"/>
              <w:right w:val="single" w:color="000000" w:sz="4" w:space="0"/>
            </w:tcBorders>
          </w:tcPr>
          <w:p w14:paraId="64C242E0">
            <w:pPr>
              <w:spacing w:before="12" w:line="310" w:lineRule="atLeast"/>
              <w:ind w:left="112" w:right="151"/>
              <w:rPr>
                <w:rFonts w:ascii="宋体" w:hAnsi="宋体" w:eastAsia="宋体" w:cs="宋体"/>
                <w:b/>
                <w:sz w:val="21"/>
              </w:rPr>
            </w:pPr>
            <w:r>
              <w:rPr>
                <w:rFonts w:ascii="宋体" w:hAnsi="宋体" w:eastAsia="宋体" w:cs="宋体"/>
                <w:b/>
                <w:spacing w:val="-6"/>
                <w:sz w:val="21"/>
              </w:rPr>
              <w:t>开放</w:t>
            </w:r>
            <w:r>
              <w:rPr>
                <w:rFonts w:ascii="宋体" w:hAnsi="宋体" w:eastAsia="宋体" w:cs="宋体"/>
                <w:b/>
                <w:spacing w:val="-5"/>
                <w:w w:val="95"/>
                <w:sz w:val="21"/>
              </w:rPr>
              <w:t>发展</w:t>
            </w:r>
          </w:p>
        </w:tc>
        <w:tc>
          <w:tcPr>
            <w:tcW w:w="3766" w:type="dxa"/>
            <w:tcBorders>
              <w:left w:val="single" w:color="000000" w:sz="4" w:space="0"/>
              <w:bottom w:val="single" w:color="000000" w:sz="4" w:space="0"/>
              <w:right w:val="single" w:color="000000" w:sz="4" w:space="0"/>
            </w:tcBorders>
          </w:tcPr>
          <w:p w14:paraId="0B8C6A50">
            <w:pPr>
              <w:spacing w:before="29"/>
              <w:ind w:left="112"/>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39</w:t>
            </w:r>
            <w:r>
              <w:rPr>
                <w:rFonts w:ascii="宋体" w:hAnsi="宋体" w:eastAsia="宋体" w:cs="宋体"/>
                <w:w w:val="95"/>
                <w:sz w:val="21"/>
              </w:rPr>
              <w:t>）对外贸易进出口总额（亿元</w:t>
            </w:r>
            <w:r>
              <w:rPr>
                <w:rFonts w:ascii="宋体" w:hAnsi="宋体" w:eastAsia="宋体" w:cs="宋体"/>
                <w:spacing w:val="-10"/>
                <w:w w:val="95"/>
                <w:sz w:val="21"/>
              </w:rPr>
              <w:t>）</w:t>
            </w:r>
          </w:p>
        </w:tc>
        <w:tc>
          <w:tcPr>
            <w:tcW w:w="1011" w:type="dxa"/>
            <w:tcBorders>
              <w:left w:val="single" w:color="000000" w:sz="4" w:space="0"/>
              <w:bottom w:val="single" w:color="000000" w:sz="4" w:space="0"/>
              <w:right w:val="single" w:color="000000" w:sz="4" w:space="0"/>
            </w:tcBorders>
          </w:tcPr>
          <w:p w14:paraId="24D737DC">
            <w:pPr>
              <w:spacing w:before="43"/>
              <w:ind w:left="231" w:right="211"/>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Borders>
              <w:left w:val="single" w:color="000000" w:sz="4" w:space="0"/>
              <w:bottom w:val="single" w:color="000000" w:sz="4" w:space="0"/>
              <w:right w:val="single" w:color="000000" w:sz="4" w:space="0"/>
            </w:tcBorders>
          </w:tcPr>
          <w:p w14:paraId="6F86C09F">
            <w:pPr>
              <w:spacing w:before="43"/>
              <w:ind w:left="348" w:right="330"/>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Borders>
              <w:left w:val="single" w:color="000000" w:sz="4" w:space="0"/>
              <w:bottom w:val="single" w:color="000000" w:sz="4" w:space="0"/>
              <w:right w:val="single" w:color="000000" w:sz="4" w:space="0"/>
            </w:tcBorders>
          </w:tcPr>
          <w:p w14:paraId="1F987B77">
            <w:pPr>
              <w:spacing w:before="43"/>
              <w:ind w:left="332" w:right="313"/>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14" w:type="dxa"/>
            <w:tcBorders>
              <w:left w:val="single" w:color="000000" w:sz="4" w:space="0"/>
              <w:bottom w:val="single" w:color="000000" w:sz="4" w:space="0"/>
              <w:right w:val="single" w:color="000000" w:sz="4" w:space="0"/>
            </w:tcBorders>
          </w:tcPr>
          <w:p w14:paraId="37C546B1">
            <w:pPr>
              <w:spacing w:before="43"/>
              <w:ind w:left="305" w:right="288"/>
              <w:jc w:val="center"/>
              <w:rPr>
                <w:rFonts w:ascii="Times New Roman" w:hAnsi="宋体" w:eastAsia="宋体" w:cs="宋体"/>
                <w:sz w:val="21"/>
              </w:rPr>
            </w:pPr>
            <w:r>
              <w:rPr>
                <w:rFonts w:ascii="Times New Roman" w:hAnsi="宋体" w:eastAsia="宋体" w:cs="宋体"/>
                <w:spacing w:val="-5"/>
                <w:sz w:val="21"/>
              </w:rPr>
              <w:t>3%</w:t>
            </w:r>
          </w:p>
        </w:tc>
        <w:tc>
          <w:tcPr>
            <w:tcW w:w="871" w:type="dxa"/>
            <w:tcBorders>
              <w:left w:val="single" w:color="000000" w:sz="4" w:space="0"/>
              <w:bottom w:val="single" w:color="000000" w:sz="4" w:space="0"/>
              <w:right w:val="single" w:color="000000" w:sz="4" w:space="0"/>
            </w:tcBorders>
          </w:tcPr>
          <w:p w14:paraId="2635D290">
            <w:pPr>
              <w:spacing w:before="29"/>
              <w:ind w:left="124"/>
              <w:rPr>
                <w:rFonts w:ascii="宋体" w:hAnsi="宋体" w:eastAsia="宋体" w:cs="宋体"/>
                <w:sz w:val="21"/>
              </w:rPr>
            </w:pPr>
            <w:r>
              <w:rPr>
                <w:rFonts w:ascii="宋体" w:hAnsi="宋体" w:eastAsia="宋体" w:cs="宋体"/>
                <w:spacing w:val="-4"/>
                <w:w w:val="95"/>
                <w:sz w:val="21"/>
              </w:rPr>
              <w:t>预期性</w:t>
            </w:r>
          </w:p>
        </w:tc>
      </w:tr>
      <w:tr w14:paraId="560496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atLeast"/>
        </w:trPr>
        <w:tc>
          <w:tcPr>
            <w:tcW w:w="696" w:type="dxa"/>
            <w:vMerge w:val="continue"/>
            <w:tcBorders>
              <w:top w:val="nil"/>
              <w:left w:val="single" w:color="000000" w:sz="4" w:space="0"/>
              <w:bottom w:val="single" w:color="000000" w:sz="4" w:space="0"/>
              <w:right w:val="single" w:color="000000" w:sz="4" w:space="0"/>
            </w:tcBorders>
          </w:tcPr>
          <w:p w14:paraId="7A5A62AF">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7888DE43">
            <w:pPr>
              <w:spacing w:before="38"/>
              <w:ind w:left="112"/>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40</w:t>
            </w:r>
            <w:r>
              <w:rPr>
                <w:rFonts w:ascii="宋体" w:hAnsi="宋体" w:eastAsia="宋体" w:cs="宋体"/>
                <w:w w:val="95"/>
                <w:sz w:val="21"/>
              </w:rPr>
              <w:t>）招商引资到位资金（亿元</w:t>
            </w:r>
            <w:r>
              <w:rPr>
                <w:rFonts w:ascii="宋体" w:hAnsi="宋体" w:eastAsia="宋体" w:cs="宋体"/>
                <w:spacing w:val="-10"/>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35C3B8EF">
            <w:pPr>
              <w:spacing w:before="52"/>
              <w:ind w:left="231" w:right="211"/>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Borders>
              <w:top w:val="single" w:color="000000" w:sz="4" w:space="0"/>
              <w:left w:val="single" w:color="000000" w:sz="4" w:space="0"/>
              <w:bottom w:val="single" w:color="000000" w:sz="4" w:space="0"/>
              <w:right w:val="single" w:color="000000" w:sz="4" w:space="0"/>
            </w:tcBorders>
          </w:tcPr>
          <w:p w14:paraId="309A87C2">
            <w:pPr>
              <w:spacing w:before="52"/>
              <w:ind w:right="244"/>
              <w:jc w:val="right"/>
              <w:rPr>
                <w:rFonts w:ascii="Times New Roman" w:hAnsi="宋体" w:eastAsia="宋体" w:cs="宋体"/>
                <w:sz w:val="21"/>
              </w:rPr>
            </w:pPr>
            <w:r>
              <w:rPr>
                <w:rFonts w:ascii="Times New Roman" w:hAnsi="宋体" w:eastAsia="宋体" w:cs="宋体"/>
                <w:spacing w:val="-2"/>
                <w:sz w:val="21"/>
              </w:rPr>
              <w:t>[438]</w:t>
            </w:r>
          </w:p>
        </w:tc>
        <w:tc>
          <w:tcPr>
            <w:tcW w:w="944" w:type="dxa"/>
            <w:tcBorders>
              <w:top w:val="single" w:color="000000" w:sz="4" w:space="0"/>
              <w:left w:val="single" w:color="000000" w:sz="4" w:space="0"/>
              <w:bottom w:val="single" w:color="000000" w:sz="4" w:space="0"/>
              <w:right w:val="single" w:color="000000" w:sz="4" w:space="0"/>
            </w:tcBorders>
          </w:tcPr>
          <w:p w14:paraId="3356FCA3">
            <w:pPr>
              <w:spacing w:before="52"/>
              <w:ind w:right="226"/>
              <w:jc w:val="right"/>
              <w:rPr>
                <w:rFonts w:ascii="Times New Roman" w:hAnsi="宋体" w:eastAsia="宋体" w:cs="宋体"/>
                <w:sz w:val="21"/>
              </w:rPr>
            </w:pPr>
            <w:r>
              <w:rPr>
                <w:rFonts w:ascii="Times New Roman" w:hAnsi="宋体" w:eastAsia="宋体" w:cs="宋体"/>
                <w:spacing w:val="-2"/>
                <w:sz w:val="21"/>
              </w:rPr>
              <w:t>[450]</w:t>
            </w:r>
          </w:p>
        </w:tc>
        <w:tc>
          <w:tcPr>
            <w:tcW w:w="914" w:type="dxa"/>
            <w:tcBorders>
              <w:top w:val="single" w:color="000000" w:sz="4" w:space="0"/>
              <w:left w:val="single" w:color="000000" w:sz="4" w:space="0"/>
              <w:bottom w:val="single" w:color="000000" w:sz="4" w:space="0"/>
              <w:right w:val="single" w:color="000000" w:sz="4" w:space="0"/>
            </w:tcBorders>
          </w:tcPr>
          <w:p w14:paraId="2B26C6EB">
            <w:pPr>
              <w:spacing w:before="52"/>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09A9E6B6">
            <w:pPr>
              <w:spacing w:before="38"/>
              <w:ind w:left="124"/>
              <w:rPr>
                <w:rFonts w:ascii="宋体" w:hAnsi="宋体" w:eastAsia="宋体" w:cs="宋体"/>
                <w:sz w:val="21"/>
              </w:rPr>
            </w:pPr>
            <w:r>
              <w:rPr>
                <w:rFonts w:ascii="宋体" w:hAnsi="宋体" w:eastAsia="宋体" w:cs="宋体"/>
                <w:spacing w:val="-4"/>
                <w:w w:val="95"/>
                <w:sz w:val="21"/>
              </w:rPr>
              <w:t>预期性</w:t>
            </w:r>
          </w:p>
        </w:tc>
      </w:tr>
      <w:tr w14:paraId="0EBA84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696" w:type="dxa"/>
            <w:vMerge w:val="restart"/>
            <w:tcBorders>
              <w:top w:val="single" w:color="000000" w:sz="4" w:space="0"/>
              <w:left w:val="single" w:color="000000" w:sz="4" w:space="0"/>
              <w:bottom w:val="single" w:color="000000" w:sz="4" w:space="0"/>
              <w:right w:val="single" w:color="000000" w:sz="4" w:space="0"/>
            </w:tcBorders>
          </w:tcPr>
          <w:p w14:paraId="09118A07">
            <w:pPr>
              <w:rPr>
                <w:rFonts w:ascii="黑体" w:hAnsi="宋体" w:eastAsia="宋体" w:cs="宋体"/>
                <w:sz w:val="20"/>
              </w:rPr>
            </w:pPr>
          </w:p>
          <w:p w14:paraId="00E8F55B">
            <w:pPr>
              <w:rPr>
                <w:rFonts w:ascii="黑体" w:hAnsi="宋体" w:eastAsia="宋体" w:cs="宋体"/>
                <w:sz w:val="20"/>
              </w:rPr>
            </w:pPr>
          </w:p>
          <w:p w14:paraId="04194A20">
            <w:pPr>
              <w:rPr>
                <w:rFonts w:ascii="黑体" w:hAnsi="宋体" w:eastAsia="宋体" w:cs="宋体"/>
                <w:sz w:val="20"/>
              </w:rPr>
            </w:pPr>
          </w:p>
          <w:p w14:paraId="593D6B97">
            <w:pPr>
              <w:rPr>
                <w:rFonts w:ascii="黑体" w:hAnsi="宋体" w:eastAsia="宋体" w:cs="宋体"/>
                <w:sz w:val="20"/>
              </w:rPr>
            </w:pPr>
          </w:p>
          <w:p w14:paraId="24556D83">
            <w:pPr>
              <w:rPr>
                <w:rFonts w:ascii="黑体" w:hAnsi="宋体" w:eastAsia="宋体" w:cs="宋体"/>
                <w:sz w:val="20"/>
              </w:rPr>
            </w:pPr>
          </w:p>
          <w:p w14:paraId="7C56F328">
            <w:pPr>
              <w:rPr>
                <w:rFonts w:ascii="黑体" w:hAnsi="宋体" w:eastAsia="宋体" w:cs="宋体"/>
                <w:sz w:val="20"/>
              </w:rPr>
            </w:pPr>
          </w:p>
          <w:p w14:paraId="2EBB4B0E">
            <w:pPr>
              <w:rPr>
                <w:rFonts w:ascii="黑体" w:hAnsi="宋体" w:eastAsia="宋体" w:cs="宋体"/>
                <w:sz w:val="20"/>
              </w:rPr>
            </w:pPr>
          </w:p>
          <w:p w14:paraId="623B25EF">
            <w:pPr>
              <w:rPr>
                <w:rFonts w:ascii="黑体" w:hAnsi="宋体" w:eastAsia="宋体" w:cs="宋体"/>
                <w:sz w:val="20"/>
              </w:rPr>
            </w:pPr>
          </w:p>
          <w:p w14:paraId="122B3777">
            <w:pPr>
              <w:rPr>
                <w:rFonts w:ascii="黑体" w:hAnsi="宋体" w:eastAsia="宋体" w:cs="宋体"/>
                <w:sz w:val="20"/>
              </w:rPr>
            </w:pPr>
          </w:p>
          <w:p w14:paraId="1EFB8A74">
            <w:pPr>
              <w:spacing w:before="4"/>
              <w:rPr>
                <w:rFonts w:ascii="黑体" w:hAnsi="宋体" w:eastAsia="宋体" w:cs="宋体"/>
                <w:sz w:val="21"/>
              </w:rPr>
            </w:pPr>
          </w:p>
          <w:p w14:paraId="32FB3CCA">
            <w:pPr>
              <w:spacing w:line="278" w:lineRule="auto"/>
              <w:ind w:left="112" w:right="151"/>
              <w:rPr>
                <w:rFonts w:ascii="宋体" w:hAnsi="宋体" w:eastAsia="宋体" w:cs="宋体"/>
                <w:b/>
                <w:sz w:val="21"/>
              </w:rPr>
            </w:pPr>
            <w:r>
              <w:rPr>
                <w:rFonts w:ascii="宋体" w:hAnsi="宋体" w:eastAsia="宋体" w:cs="宋体"/>
                <w:b/>
                <w:spacing w:val="-6"/>
                <w:sz w:val="21"/>
              </w:rPr>
              <w:t>共享</w:t>
            </w:r>
            <w:r>
              <w:rPr>
                <w:rFonts w:ascii="宋体" w:hAnsi="宋体" w:eastAsia="宋体" w:cs="宋体"/>
                <w:b/>
                <w:spacing w:val="-5"/>
                <w:w w:val="95"/>
                <w:sz w:val="21"/>
              </w:rPr>
              <w:t>发展</w:t>
            </w:r>
          </w:p>
        </w:tc>
        <w:tc>
          <w:tcPr>
            <w:tcW w:w="3766" w:type="dxa"/>
            <w:tcBorders>
              <w:top w:val="single" w:color="000000" w:sz="4" w:space="0"/>
              <w:left w:val="single" w:color="000000" w:sz="4" w:space="0"/>
              <w:bottom w:val="single" w:color="000000" w:sz="4" w:space="0"/>
              <w:right w:val="single" w:color="000000" w:sz="4" w:space="0"/>
            </w:tcBorders>
          </w:tcPr>
          <w:p w14:paraId="6B57D125">
            <w:pPr>
              <w:spacing w:before="177"/>
              <w:ind w:left="112"/>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41</w:t>
            </w:r>
            <w:r>
              <w:rPr>
                <w:rFonts w:ascii="宋体" w:hAnsi="宋体" w:eastAsia="宋体" w:cs="宋体"/>
                <w:w w:val="95"/>
                <w:sz w:val="21"/>
              </w:rPr>
              <w:t>）城镇调查失业率</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22FF6863">
            <w:pPr>
              <w:spacing w:before="191"/>
              <w:ind w:left="231" w:right="211"/>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Borders>
              <w:top w:val="single" w:color="000000" w:sz="4" w:space="0"/>
              <w:left w:val="single" w:color="000000" w:sz="4" w:space="0"/>
              <w:bottom w:val="single" w:color="000000" w:sz="4" w:space="0"/>
              <w:right w:val="single" w:color="000000" w:sz="4" w:space="0"/>
            </w:tcBorders>
          </w:tcPr>
          <w:p w14:paraId="3B545FD4">
            <w:pPr>
              <w:spacing w:before="191"/>
              <w:ind w:left="348" w:right="330"/>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Borders>
              <w:top w:val="single" w:color="000000" w:sz="4" w:space="0"/>
              <w:left w:val="single" w:color="000000" w:sz="4" w:space="0"/>
              <w:bottom w:val="single" w:color="000000" w:sz="4" w:space="0"/>
              <w:right w:val="single" w:color="000000" w:sz="4" w:space="0"/>
            </w:tcBorders>
          </w:tcPr>
          <w:p w14:paraId="2EED14E5">
            <w:pPr>
              <w:spacing w:before="21"/>
              <w:ind w:left="161"/>
              <w:rPr>
                <w:rFonts w:ascii="宋体" w:hAnsi="宋体" w:eastAsia="宋体" w:cs="宋体"/>
                <w:sz w:val="21"/>
              </w:rPr>
            </w:pPr>
            <w:r>
              <w:rPr>
                <w:rFonts w:ascii="宋体" w:hAnsi="宋体" w:eastAsia="宋体" w:cs="宋体"/>
                <w:spacing w:val="-4"/>
                <w:w w:val="95"/>
                <w:sz w:val="21"/>
              </w:rPr>
              <w:t>低于全</w:t>
            </w:r>
          </w:p>
          <w:p w14:paraId="5847569A">
            <w:pPr>
              <w:spacing w:before="43"/>
              <w:ind w:left="161"/>
              <w:rPr>
                <w:rFonts w:ascii="宋体" w:hAnsi="宋体" w:eastAsia="宋体" w:cs="宋体"/>
                <w:sz w:val="21"/>
              </w:rPr>
            </w:pPr>
            <w:r>
              <w:rPr>
                <w:rFonts w:ascii="宋体" w:hAnsi="宋体" w:eastAsia="宋体" w:cs="宋体"/>
                <w:spacing w:val="-4"/>
                <w:w w:val="95"/>
                <w:sz w:val="21"/>
              </w:rPr>
              <w:t>市水平</w:t>
            </w:r>
          </w:p>
        </w:tc>
        <w:tc>
          <w:tcPr>
            <w:tcW w:w="914" w:type="dxa"/>
            <w:tcBorders>
              <w:top w:val="single" w:color="000000" w:sz="4" w:space="0"/>
              <w:left w:val="single" w:color="000000" w:sz="4" w:space="0"/>
              <w:bottom w:val="single" w:color="000000" w:sz="4" w:space="0"/>
              <w:right w:val="single" w:color="000000" w:sz="4" w:space="0"/>
            </w:tcBorders>
          </w:tcPr>
          <w:p w14:paraId="43D241BD">
            <w:pPr>
              <w:spacing w:before="191"/>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7430C9CC">
            <w:pPr>
              <w:spacing w:before="177"/>
              <w:ind w:left="124"/>
              <w:rPr>
                <w:rFonts w:ascii="宋体" w:hAnsi="宋体" w:eastAsia="宋体" w:cs="宋体"/>
                <w:sz w:val="21"/>
              </w:rPr>
            </w:pPr>
            <w:r>
              <w:rPr>
                <w:rFonts w:ascii="宋体" w:hAnsi="宋体" w:eastAsia="宋体" w:cs="宋体"/>
                <w:spacing w:val="-4"/>
                <w:w w:val="95"/>
                <w:sz w:val="21"/>
              </w:rPr>
              <w:t>约束性</w:t>
            </w:r>
          </w:p>
        </w:tc>
      </w:tr>
      <w:tr w14:paraId="4FA343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atLeast"/>
        </w:trPr>
        <w:tc>
          <w:tcPr>
            <w:tcW w:w="696" w:type="dxa"/>
            <w:vMerge w:val="continue"/>
            <w:tcBorders>
              <w:top w:val="nil"/>
              <w:left w:val="single" w:color="000000" w:sz="4" w:space="0"/>
              <w:bottom w:val="single" w:color="000000" w:sz="4" w:space="0"/>
              <w:right w:val="single" w:color="000000" w:sz="4" w:space="0"/>
            </w:tcBorders>
          </w:tcPr>
          <w:p w14:paraId="247FEA17">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5A442BA7">
            <w:pPr>
              <w:spacing w:before="40"/>
              <w:ind w:left="112"/>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42</w:t>
            </w:r>
            <w:r>
              <w:rPr>
                <w:rFonts w:ascii="宋体" w:hAnsi="宋体" w:eastAsia="宋体" w:cs="宋体"/>
                <w:w w:val="95"/>
                <w:sz w:val="21"/>
              </w:rPr>
              <w:t>）城镇居民人均可支配收入</w:t>
            </w:r>
            <w:r>
              <w:rPr>
                <w:rFonts w:ascii="Times New Roman" w:hAnsi="宋体" w:eastAsia="Times New Roman" w:cs="宋体"/>
                <w:spacing w:val="-10"/>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044B8176">
            <w:pPr>
              <w:spacing w:before="35"/>
              <w:ind w:left="231" w:right="214"/>
              <w:jc w:val="center"/>
              <w:rPr>
                <w:rFonts w:ascii="Times New Roman" w:hAnsi="宋体" w:eastAsia="宋体" w:cs="宋体"/>
                <w:sz w:val="21"/>
              </w:rPr>
            </w:pPr>
            <w:r>
              <w:rPr>
                <w:rFonts w:ascii="Times New Roman" w:hAnsi="宋体" w:eastAsia="宋体" w:cs="宋体"/>
                <w:spacing w:val="-2"/>
                <w:sz w:val="21"/>
              </w:rPr>
              <w:t>30360</w:t>
            </w:r>
          </w:p>
        </w:tc>
        <w:tc>
          <w:tcPr>
            <w:tcW w:w="978" w:type="dxa"/>
            <w:tcBorders>
              <w:top w:val="single" w:color="000000" w:sz="4" w:space="0"/>
              <w:left w:val="single" w:color="000000" w:sz="4" w:space="0"/>
              <w:bottom w:val="single" w:color="000000" w:sz="4" w:space="0"/>
              <w:right w:val="single" w:color="000000" w:sz="4" w:space="0"/>
            </w:tcBorders>
          </w:tcPr>
          <w:p w14:paraId="5FB22C89">
            <w:pPr>
              <w:spacing w:before="54"/>
              <w:ind w:right="209"/>
              <w:jc w:val="right"/>
              <w:rPr>
                <w:rFonts w:ascii="Times New Roman" w:hAnsi="宋体" w:eastAsia="宋体" w:cs="宋体"/>
                <w:sz w:val="21"/>
              </w:rPr>
            </w:pPr>
            <w:r>
              <w:rPr>
                <w:rFonts w:ascii="Times New Roman" w:hAnsi="宋体" w:eastAsia="宋体" w:cs="宋体"/>
                <w:spacing w:val="-2"/>
                <w:sz w:val="21"/>
              </w:rPr>
              <w:t>43578</w:t>
            </w:r>
          </w:p>
        </w:tc>
        <w:tc>
          <w:tcPr>
            <w:tcW w:w="944" w:type="dxa"/>
            <w:tcBorders>
              <w:top w:val="single" w:color="000000" w:sz="4" w:space="0"/>
              <w:left w:val="single" w:color="000000" w:sz="4" w:space="0"/>
              <w:bottom w:val="single" w:color="000000" w:sz="4" w:space="0"/>
              <w:right w:val="single" w:color="000000" w:sz="4" w:space="0"/>
            </w:tcBorders>
          </w:tcPr>
          <w:p w14:paraId="5163651A">
            <w:pPr>
              <w:spacing w:before="54"/>
              <w:ind w:right="193"/>
              <w:jc w:val="right"/>
              <w:rPr>
                <w:rFonts w:ascii="Times New Roman" w:hAnsi="宋体" w:eastAsia="宋体" w:cs="宋体"/>
                <w:sz w:val="21"/>
              </w:rPr>
            </w:pPr>
            <w:r>
              <w:rPr>
                <w:rFonts w:ascii="Times New Roman" w:hAnsi="宋体" w:eastAsia="宋体" w:cs="宋体"/>
                <w:spacing w:val="-2"/>
                <w:sz w:val="21"/>
              </w:rPr>
              <w:t>60600</w:t>
            </w:r>
          </w:p>
        </w:tc>
        <w:tc>
          <w:tcPr>
            <w:tcW w:w="914" w:type="dxa"/>
            <w:tcBorders>
              <w:top w:val="single" w:color="000000" w:sz="4" w:space="0"/>
              <w:left w:val="single" w:color="000000" w:sz="4" w:space="0"/>
              <w:bottom w:val="single" w:color="000000" w:sz="4" w:space="0"/>
              <w:right w:val="single" w:color="000000" w:sz="4" w:space="0"/>
            </w:tcBorders>
          </w:tcPr>
          <w:p w14:paraId="6D2A6E69">
            <w:pPr>
              <w:spacing w:before="54"/>
              <w:ind w:left="305" w:right="288"/>
              <w:jc w:val="center"/>
              <w:rPr>
                <w:rFonts w:ascii="Times New Roman" w:hAnsi="宋体" w:eastAsia="宋体" w:cs="宋体"/>
                <w:sz w:val="21"/>
              </w:rPr>
            </w:pPr>
            <w:r>
              <w:rPr>
                <w:rFonts w:ascii="Times New Roman" w:hAnsi="宋体" w:eastAsia="宋体" w:cs="宋体"/>
                <w:spacing w:val="-5"/>
                <w:sz w:val="21"/>
              </w:rPr>
              <w:t>7%</w:t>
            </w:r>
          </w:p>
        </w:tc>
        <w:tc>
          <w:tcPr>
            <w:tcW w:w="871" w:type="dxa"/>
            <w:tcBorders>
              <w:top w:val="single" w:color="000000" w:sz="4" w:space="0"/>
              <w:left w:val="single" w:color="000000" w:sz="4" w:space="0"/>
              <w:bottom w:val="single" w:color="000000" w:sz="4" w:space="0"/>
              <w:right w:val="single" w:color="000000" w:sz="4" w:space="0"/>
            </w:tcBorders>
          </w:tcPr>
          <w:p w14:paraId="0FDA956E">
            <w:pPr>
              <w:spacing w:before="40"/>
              <w:ind w:left="124"/>
              <w:rPr>
                <w:rFonts w:ascii="宋体" w:hAnsi="宋体" w:eastAsia="宋体" w:cs="宋体"/>
                <w:sz w:val="21"/>
              </w:rPr>
            </w:pPr>
            <w:r>
              <w:rPr>
                <w:rFonts w:ascii="宋体" w:hAnsi="宋体" w:eastAsia="宋体" w:cs="宋体"/>
                <w:spacing w:val="-4"/>
                <w:w w:val="95"/>
                <w:sz w:val="21"/>
              </w:rPr>
              <w:t>预期性</w:t>
            </w:r>
          </w:p>
        </w:tc>
      </w:tr>
      <w:tr w14:paraId="0A51D8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8" w:hRule="atLeast"/>
        </w:trPr>
        <w:tc>
          <w:tcPr>
            <w:tcW w:w="696" w:type="dxa"/>
            <w:vMerge w:val="continue"/>
            <w:tcBorders>
              <w:top w:val="nil"/>
              <w:left w:val="single" w:color="000000" w:sz="4" w:space="0"/>
              <w:bottom w:val="single" w:color="000000" w:sz="4" w:space="0"/>
              <w:right w:val="single" w:color="000000" w:sz="4" w:space="0"/>
            </w:tcBorders>
          </w:tcPr>
          <w:p w14:paraId="45747FD4">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2158BAF7">
            <w:pPr>
              <w:spacing w:before="39"/>
              <w:ind w:left="112"/>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43</w:t>
            </w:r>
            <w:r>
              <w:rPr>
                <w:rFonts w:ascii="宋体" w:hAnsi="宋体" w:eastAsia="宋体" w:cs="宋体"/>
                <w:w w:val="95"/>
                <w:sz w:val="21"/>
              </w:rPr>
              <w:t>）农村居民人均可支配收入</w:t>
            </w:r>
            <w:r>
              <w:rPr>
                <w:rFonts w:ascii="Times New Roman" w:hAnsi="宋体" w:eastAsia="Times New Roman" w:cs="宋体"/>
                <w:spacing w:val="-10"/>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64094C20">
            <w:pPr>
              <w:spacing w:before="34"/>
              <w:ind w:left="231" w:right="212"/>
              <w:jc w:val="center"/>
              <w:rPr>
                <w:rFonts w:ascii="Times New Roman" w:hAnsi="宋体" w:eastAsia="宋体" w:cs="宋体"/>
                <w:sz w:val="21"/>
              </w:rPr>
            </w:pPr>
            <w:r>
              <w:rPr>
                <w:rFonts w:ascii="Times New Roman" w:hAnsi="宋体" w:eastAsia="宋体" w:cs="宋体"/>
                <w:spacing w:val="-4"/>
                <w:sz w:val="21"/>
              </w:rPr>
              <w:t>9940</w:t>
            </w:r>
          </w:p>
        </w:tc>
        <w:tc>
          <w:tcPr>
            <w:tcW w:w="978" w:type="dxa"/>
            <w:tcBorders>
              <w:top w:val="single" w:color="000000" w:sz="4" w:space="0"/>
              <w:left w:val="single" w:color="000000" w:sz="4" w:space="0"/>
              <w:bottom w:val="single" w:color="000000" w:sz="4" w:space="0"/>
              <w:right w:val="single" w:color="000000" w:sz="4" w:space="0"/>
            </w:tcBorders>
          </w:tcPr>
          <w:p w14:paraId="53BA62E2">
            <w:pPr>
              <w:spacing w:before="53"/>
              <w:ind w:right="209"/>
              <w:jc w:val="right"/>
              <w:rPr>
                <w:rFonts w:ascii="Times New Roman" w:hAnsi="宋体" w:eastAsia="宋体" w:cs="宋体"/>
                <w:sz w:val="21"/>
              </w:rPr>
            </w:pPr>
            <w:r>
              <w:rPr>
                <w:rFonts w:ascii="Times New Roman" w:hAnsi="宋体" w:eastAsia="宋体" w:cs="宋体"/>
                <w:spacing w:val="-2"/>
                <w:sz w:val="21"/>
              </w:rPr>
              <w:t>14602</w:t>
            </w:r>
          </w:p>
        </w:tc>
        <w:tc>
          <w:tcPr>
            <w:tcW w:w="944" w:type="dxa"/>
            <w:tcBorders>
              <w:top w:val="single" w:color="000000" w:sz="4" w:space="0"/>
              <w:left w:val="single" w:color="000000" w:sz="4" w:space="0"/>
              <w:bottom w:val="single" w:color="000000" w:sz="4" w:space="0"/>
              <w:right w:val="single" w:color="000000" w:sz="4" w:space="0"/>
            </w:tcBorders>
          </w:tcPr>
          <w:p w14:paraId="30704A39">
            <w:pPr>
              <w:spacing w:before="53"/>
              <w:ind w:right="193"/>
              <w:jc w:val="right"/>
              <w:rPr>
                <w:rFonts w:ascii="Times New Roman" w:hAnsi="宋体" w:eastAsia="宋体" w:cs="宋体"/>
                <w:sz w:val="21"/>
              </w:rPr>
            </w:pPr>
            <w:r>
              <w:rPr>
                <w:rFonts w:ascii="Times New Roman" w:hAnsi="宋体" w:eastAsia="宋体" w:cs="宋体"/>
                <w:spacing w:val="-2"/>
                <w:sz w:val="21"/>
              </w:rPr>
              <w:t>20600</w:t>
            </w:r>
          </w:p>
        </w:tc>
        <w:tc>
          <w:tcPr>
            <w:tcW w:w="914" w:type="dxa"/>
            <w:tcBorders>
              <w:top w:val="single" w:color="000000" w:sz="4" w:space="0"/>
              <w:left w:val="single" w:color="000000" w:sz="4" w:space="0"/>
              <w:bottom w:val="single" w:color="000000" w:sz="4" w:space="0"/>
              <w:right w:val="single" w:color="000000" w:sz="4" w:space="0"/>
            </w:tcBorders>
          </w:tcPr>
          <w:p w14:paraId="5EDC498B">
            <w:pPr>
              <w:spacing w:before="53"/>
              <w:ind w:right="219"/>
              <w:jc w:val="right"/>
              <w:rPr>
                <w:rFonts w:ascii="Times New Roman" w:hAnsi="宋体" w:eastAsia="宋体" w:cs="宋体"/>
                <w:sz w:val="21"/>
              </w:rPr>
            </w:pPr>
            <w:r>
              <w:rPr>
                <w:rFonts w:ascii="Times New Roman" w:hAnsi="宋体" w:eastAsia="宋体" w:cs="宋体"/>
                <w:spacing w:val="-4"/>
                <w:sz w:val="21"/>
              </w:rPr>
              <w:t>7.5%</w:t>
            </w:r>
          </w:p>
        </w:tc>
        <w:tc>
          <w:tcPr>
            <w:tcW w:w="871" w:type="dxa"/>
            <w:tcBorders>
              <w:top w:val="single" w:color="000000" w:sz="4" w:space="0"/>
              <w:left w:val="single" w:color="000000" w:sz="4" w:space="0"/>
              <w:bottom w:val="single" w:color="000000" w:sz="4" w:space="0"/>
              <w:right w:val="single" w:color="000000" w:sz="4" w:space="0"/>
            </w:tcBorders>
          </w:tcPr>
          <w:p w14:paraId="43FE355C">
            <w:pPr>
              <w:spacing w:before="39"/>
              <w:ind w:left="124"/>
              <w:rPr>
                <w:rFonts w:ascii="宋体" w:hAnsi="宋体" w:eastAsia="宋体" w:cs="宋体"/>
                <w:sz w:val="21"/>
              </w:rPr>
            </w:pPr>
            <w:r>
              <w:rPr>
                <w:rFonts w:ascii="宋体" w:hAnsi="宋体" w:eastAsia="宋体" w:cs="宋体"/>
                <w:spacing w:val="-4"/>
                <w:w w:val="95"/>
                <w:sz w:val="21"/>
              </w:rPr>
              <w:t>预期性</w:t>
            </w:r>
          </w:p>
        </w:tc>
      </w:tr>
      <w:tr w14:paraId="6FDA95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atLeast"/>
        </w:trPr>
        <w:tc>
          <w:tcPr>
            <w:tcW w:w="696" w:type="dxa"/>
            <w:vMerge w:val="continue"/>
            <w:tcBorders>
              <w:top w:val="nil"/>
              <w:left w:val="single" w:color="000000" w:sz="4" w:space="0"/>
              <w:bottom w:val="single" w:color="000000" w:sz="4" w:space="0"/>
              <w:right w:val="single" w:color="000000" w:sz="4" w:space="0"/>
            </w:tcBorders>
          </w:tcPr>
          <w:p w14:paraId="00E88473">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732DE1C0">
            <w:pPr>
              <w:spacing w:before="39"/>
              <w:ind w:left="112"/>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44</w:t>
            </w:r>
            <w:r>
              <w:rPr>
                <w:rFonts w:ascii="宋体" w:hAnsi="宋体" w:eastAsia="宋体" w:cs="宋体"/>
                <w:w w:val="95"/>
                <w:sz w:val="21"/>
              </w:rPr>
              <w:t>）预期寿命（岁</w:t>
            </w:r>
            <w:r>
              <w:rPr>
                <w:rFonts w:ascii="宋体" w:hAnsi="宋体" w:eastAsia="宋体" w:cs="宋体"/>
                <w:spacing w:val="-5"/>
                <w:w w:val="95"/>
                <w:sz w:val="21"/>
              </w:rPr>
              <w:t>）</w:t>
            </w:r>
            <w:r>
              <w:rPr>
                <w:rFonts w:ascii="Times New Roman" w:hAnsi="宋体" w:eastAsia="Times New Roman" w:cs="宋体"/>
                <w:spacing w:val="-5"/>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423A88DF">
            <w:pPr>
              <w:spacing w:before="34"/>
              <w:ind w:left="231" w:right="211"/>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Borders>
              <w:top w:val="single" w:color="000000" w:sz="4" w:space="0"/>
              <w:left w:val="single" w:color="000000" w:sz="4" w:space="0"/>
              <w:bottom w:val="single" w:color="000000" w:sz="4" w:space="0"/>
              <w:right w:val="single" w:color="000000" w:sz="4" w:space="0"/>
            </w:tcBorders>
          </w:tcPr>
          <w:p w14:paraId="5AA1BDA2">
            <w:pPr>
              <w:spacing w:before="53"/>
              <w:ind w:left="308"/>
              <w:rPr>
                <w:rFonts w:ascii="Times New Roman" w:hAnsi="宋体" w:eastAsia="宋体" w:cs="宋体"/>
                <w:sz w:val="21"/>
              </w:rPr>
            </w:pPr>
            <w:r>
              <w:rPr>
                <w:rFonts w:ascii="Times New Roman" w:hAnsi="宋体" w:eastAsia="宋体" w:cs="宋体"/>
                <w:spacing w:val="-4"/>
                <w:sz w:val="21"/>
              </w:rPr>
              <w:t>76.2</w:t>
            </w:r>
          </w:p>
        </w:tc>
        <w:tc>
          <w:tcPr>
            <w:tcW w:w="944" w:type="dxa"/>
            <w:tcBorders>
              <w:top w:val="single" w:color="000000" w:sz="4" w:space="0"/>
              <w:left w:val="single" w:color="000000" w:sz="4" w:space="0"/>
              <w:bottom w:val="single" w:color="000000" w:sz="4" w:space="0"/>
              <w:right w:val="single" w:color="000000" w:sz="4" w:space="0"/>
            </w:tcBorders>
          </w:tcPr>
          <w:p w14:paraId="09F4DBE7">
            <w:pPr>
              <w:spacing w:before="53"/>
              <w:ind w:right="270"/>
              <w:jc w:val="right"/>
              <w:rPr>
                <w:rFonts w:ascii="Times New Roman" w:hAnsi="宋体" w:eastAsia="宋体" w:cs="宋体"/>
                <w:sz w:val="21"/>
              </w:rPr>
            </w:pPr>
            <w:r>
              <w:rPr>
                <w:rFonts w:ascii="Times New Roman" w:hAnsi="宋体" w:eastAsia="宋体" w:cs="宋体"/>
                <w:spacing w:val="-4"/>
                <w:sz w:val="21"/>
              </w:rPr>
              <w:t>78.2</w:t>
            </w:r>
          </w:p>
        </w:tc>
        <w:tc>
          <w:tcPr>
            <w:tcW w:w="914" w:type="dxa"/>
            <w:tcBorders>
              <w:top w:val="single" w:color="000000" w:sz="4" w:space="0"/>
              <w:left w:val="single" w:color="000000" w:sz="4" w:space="0"/>
              <w:bottom w:val="single" w:color="000000" w:sz="4" w:space="0"/>
              <w:right w:val="single" w:color="000000" w:sz="4" w:space="0"/>
            </w:tcBorders>
          </w:tcPr>
          <w:p w14:paraId="11A4DD8D">
            <w:pPr>
              <w:spacing w:before="53"/>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7CD41946">
            <w:pPr>
              <w:spacing w:before="39"/>
              <w:ind w:left="124"/>
              <w:rPr>
                <w:rFonts w:ascii="宋体" w:hAnsi="宋体" w:eastAsia="宋体" w:cs="宋体"/>
                <w:sz w:val="21"/>
              </w:rPr>
            </w:pPr>
            <w:r>
              <w:rPr>
                <w:rFonts w:ascii="宋体" w:hAnsi="宋体" w:eastAsia="宋体" w:cs="宋体"/>
                <w:spacing w:val="-4"/>
                <w:w w:val="95"/>
                <w:sz w:val="21"/>
              </w:rPr>
              <w:t>预期性</w:t>
            </w:r>
          </w:p>
        </w:tc>
      </w:tr>
      <w:tr w14:paraId="7DC349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atLeast"/>
        </w:trPr>
        <w:tc>
          <w:tcPr>
            <w:tcW w:w="696" w:type="dxa"/>
            <w:vMerge w:val="continue"/>
            <w:tcBorders>
              <w:top w:val="nil"/>
              <w:left w:val="single" w:color="000000" w:sz="4" w:space="0"/>
              <w:bottom w:val="single" w:color="000000" w:sz="4" w:space="0"/>
              <w:right w:val="single" w:color="000000" w:sz="4" w:space="0"/>
            </w:tcBorders>
          </w:tcPr>
          <w:p w14:paraId="2F9F9DF2">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197B0C15">
            <w:pPr>
              <w:spacing w:before="39"/>
              <w:ind w:left="112"/>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45</w:t>
            </w:r>
            <w:r>
              <w:rPr>
                <w:rFonts w:ascii="宋体" w:hAnsi="宋体" w:eastAsia="宋体" w:cs="宋体"/>
                <w:w w:val="95"/>
                <w:sz w:val="21"/>
              </w:rPr>
              <w:t>）城乡居民养老保险参保率</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208B39D4">
            <w:pPr>
              <w:spacing w:before="36"/>
              <w:ind w:left="231" w:right="212"/>
              <w:jc w:val="center"/>
              <w:rPr>
                <w:rFonts w:ascii="Times New Roman" w:hAnsi="宋体" w:eastAsia="宋体" w:cs="宋体"/>
                <w:sz w:val="21"/>
              </w:rPr>
            </w:pPr>
            <w:r>
              <w:rPr>
                <w:rFonts w:ascii="Times New Roman" w:hAnsi="宋体" w:eastAsia="宋体" w:cs="宋体"/>
                <w:spacing w:val="-5"/>
                <w:sz w:val="21"/>
              </w:rPr>
              <w:t>95</w:t>
            </w:r>
          </w:p>
        </w:tc>
        <w:tc>
          <w:tcPr>
            <w:tcW w:w="978" w:type="dxa"/>
            <w:tcBorders>
              <w:top w:val="single" w:color="000000" w:sz="4" w:space="0"/>
              <w:left w:val="single" w:color="000000" w:sz="4" w:space="0"/>
              <w:bottom w:val="single" w:color="000000" w:sz="4" w:space="0"/>
              <w:right w:val="single" w:color="000000" w:sz="4" w:space="0"/>
            </w:tcBorders>
          </w:tcPr>
          <w:p w14:paraId="18363656">
            <w:pPr>
              <w:spacing w:before="53"/>
              <w:ind w:left="308"/>
              <w:rPr>
                <w:rFonts w:ascii="Times New Roman" w:hAnsi="宋体" w:eastAsia="宋体" w:cs="宋体"/>
                <w:sz w:val="21"/>
              </w:rPr>
            </w:pPr>
            <w:r>
              <w:rPr>
                <w:rFonts w:ascii="Times New Roman" w:hAnsi="宋体" w:eastAsia="宋体" w:cs="宋体"/>
                <w:spacing w:val="-4"/>
                <w:sz w:val="21"/>
              </w:rPr>
              <w:t>98.3</w:t>
            </w:r>
          </w:p>
        </w:tc>
        <w:tc>
          <w:tcPr>
            <w:tcW w:w="944" w:type="dxa"/>
            <w:tcBorders>
              <w:top w:val="single" w:color="000000" w:sz="4" w:space="0"/>
              <w:left w:val="single" w:color="000000" w:sz="4" w:space="0"/>
              <w:bottom w:val="single" w:color="000000" w:sz="4" w:space="0"/>
              <w:right w:val="single" w:color="000000" w:sz="4" w:space="0"/>
            </w:tcBorders>
          </w:tcPr>
          <w:p w14:paraId="72CF3D2F">
            <w:pPr>
              <w:spacing w:before="53"/>
              <w:ind w:right="296"/>
              <w:jc w:val="right"/>
              <w:rPr>
                <w:rFonts w:ascii="Times New Roman" w:hAnsi="宋体" w:eastAsia="宋体" w:cs="宋体"/>
                <w:sz w:val="21"/>
              </w:rPr>
            </w:pPr>
            <w:r>
              <w:rPr>
                <w:rFonts w:ascii="Times New Roman" w:hAnsi="宋体" w:eastAsia="宋体" w:cs="宋体"/>
                <w:spacing w:val="-5"/>
                <w:sz w:val="21"/>
              </w:rPr>
              <w:t>125</w:t>
            </w:r>
          </w:p>
        </w:tc>
        <w:tc>
          <w:tcPr>
            <w:tcW w:w="914" w:type="dxa"/>
            <w:tcBorders>
              <w:top w:val="single" w:color="000000" w:sz="4" w:space="0"/>
              <w:left w:val="single" w:color="000000" w:sz="4" w:space="0"/>
              <w:bottom w:val="single" w:color="000000" w:sz="4" w:space="0"/>
              <w:right w:val="single" w:color="000000" w:sz="4" w:space="0"/>
            </w:tcBorders>
          </w:tcPr>
          <w:p w14:paraId="136B19E8">
            <w:pPr>
              <w:spacing w:before="53"/>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0ECD8711">
            <w:pPr>
              <w:spacing w:before="39"/>
              <w:ind w:left="124"/>
              <w:rPr>
                <w:rFonts w:ascii="宋体" w:hAnsi="宋体" w:eastAsia="宋体" w:cs="宋体"/>
                <w:sz w:val="21"/>
              </w:rPr>
            </w:pPr>
            <w:r>
              <w:rPr>
                <w:rFonts w:ascii="宋体" w:hAnsi="宋体" w:eastAsia="宋体" w:cs="宋体"/>
                <w:spacing w:val="-4"/>
                <w:w w:val="95"/>
                <w:sz w:val="21"/>
              </w:rPr>
              <w:t>预期性</w:t>
            </w:r>
          </w:p>
        </w:tc>
      </w:tr>
      <w:tr w14:paraId="748F6C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696" w:type="dxa"/>
            <w:vMerge w:val="continue"/>
            <w:tcBorders>
              <w:top w:val="nil"/>
              <w:left w:val="single" w:color="000000" w:sz="4" w:space="0"/>
              <w:bottom w:val="single" w:color="000000" w:sz="4" w:space="0"/>
              <w:right w:val="single" w:color="000000" w:sz="4" w:space="0"/>
            </w:tcBorders>
          </w:tcPr>
          <w:p w14:paraId="47F9DB81">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5766BC0E">
            <w:pPr>
              <w:spacing w:before="21"/>
              <w:ind w:left="112"/>
              <w:rPr>
                <w:rFonts w:ascii="宋体" w:hAnsi="宋体" w:eastAsia="宋体" w:cs="宋体"/>
                <w:sz w:val="21"/>
              </w:rPr>
            </w:pPr>
            <w:r>
              <w:rPr>
                <w:rFonts w:ascii="宋体" w:hAnsi="宋体" w:eastAsia="宋体" w:cs="宋体"/>
                <w:spacing w:val="9"/>
                <w:w w:val="95"/>
                <w:sz w:val="21"/>
              </w:rPr>
              <w:t>（</w:t>
            </w:r>
            <w:r>
              <w:rPr>
                <w:rFonts w:ascii="Times New Roman" w:hAnsi="宋体" w:eastAsia="Times New Roman" w:cs="宋体"/>
                <w:spacing w:val="9"/>
                <w:w w:val="95"/>
                <w:sz w:val="21"/>
              </w:rPr>
              <w:t>46</w:t>
            </w:r>
            <w:r>
              <w:rPr>
                <w:rFonts w:ascii="宋体" w:hAnsi="宋体" w:eastAsia="宋体" w:cs="宋体"/>
                <w:spacing w:val="9"/>
                <w:w w:val="95"/>
                <w:sz w:val="21"/>
              </w:rPr>
              <w:t>）城乡居民基本医疗保险参保率</w:t>
            </w:r>
          </w:p>
          <w:p w14:paraId="1B4936E9">
            <w:pPr>
              <w:spacing w:before="43"/>
              <w:ind w:left="112"/>
              <w:rPr>
                <w:rFonts w:ascii="宋体" w:hAnsi="宋体" w:eastAsia="宋体" w:cs="宋体"/>
                <w:sz w:val="21"/>
              </w:rPr>
            </w:pPr>
            <w:r>
              <w:rPr>
                <w:rFonts w:ascii="宋体" w:hAnsi="宋体" w:eastAsia="宋体" w:cs="宋体"/>
                <w:spacing w:val="-5"/>
                <w:sz w:val="21"/>
              </w:rPr>
              <w:t>（</w:t>
            </w:r>
            <w:r>
              <w:rPr>
                <w:rFonts w:ascii="Times New Roman" w:hAnsi="宋体" w:eastAsia="Times New Roman" w:cs="宋体"/>
                <w:spacing w:val="-5"/>
                <w:sz w:val="21"/>
              </w:rPr>
              <w:t>%</w:t>
            </w:r>
            <w:r>
              <w:rPr>
                <w:rFonts w:ascii="宋体" w:hAnsi="宋体" w:eastAsia="宋体" w:cs="宋体"/>
                <w:spacing w:val="-5"/>
                <w:sz w:val="21"/>
              </w:rPr>
              <w:t>）</w:t>
            </w:r>
          </w:p>
        </w:tc>
        <w:tc>
          <w:tcPr>
            <w:tcW w:w="1011" w:type="dxa"/>
            <w:tcBorders>
              <w:top w:val="single" w:color="000000" w:sz="4" w:space="0"/>
              <w:left w:val="single" w:color="000000" w:sz="4" w:space="0"/>
              <w:bottom w:val="single" w:color="000000" w:sz="4" w:space="0"/>
              <w:right w:val="single" w:color="000000" w:sz="4" w:space="0"/>
            </w:tcBorders>
          </w:tcPr>
          <w:p w14:paraId="62CC499B">
            <w:pPr>
              <w:spacing w:before="35"/>
              <w:ind w:left="231" w:right="212"/>
              <w:jc w:val="center"/>
              <w:rPr>
                <w:rFonts w:ascii="Times New Roman" w:hAnsi="宋体" w:eastAsia="宋体" w:cs="宋体"/>
                <w:sz w:val="21"/>
              </w:rPr>
            </w:pPr>
            <w:r>
              <w:rPr>
                <w:rFonts w:ascii="Times New Roman" w:hAnsi="宋体" w:eastAsia="宋体" w:cs="宋体"/>
                <w:spacing w:val="-5"/>
                <w:sz w:val="21"/>
              </w:rPr>
              <w:t>94</w:t>
            </w:r>
          </w:p>
        </w:tc>
        <w:tc>
          <w:tcPr>
            <w:tcW w:w="978" w:type="dxa"/>
            <w:tcBorders>
              <w:top w:val="single" w:color="000000" w:sz="4" w:space="0"/>
              <w:left w:val="single" w:color="000000" w:sz="4" w:space="0"/>
              <w:bottom w:val="single" w:color="000000" w:sz="4" w:space="0"/>
              <w:right w:val="single" w:color="000000" w:sz="4" w:space="0"/>
            </w:tcBorders>
          </w:tcPr>
          <w:p w14:paraId="5230ABA7">
            <w:pPr>
              <w:spacing w:before="191"/>
              <w:ind w:left="335"/>
              <w:rPr>
                <w:rFonts w:ascii="Times New Roman" w:hAnsi="宋体" w:eastAsia="宋体" w:cs="宋体"/>
                <w:sz w:val="21"/>
              </w:rPr>
            </w:pPr>
            <w:r>
              <w:rPr>
                <w:rFonts w:ascii="Times New Roman" w:hAnsi="宋体" w:eastAsia="宋体" w:cs="宋体"/>
                <w:spacing w:val="-5"/>
                <w:sz w:val="21"/>
              </w:rPr>
              <w:t>107</w:t>
            </w:r>
          </w:p>
        </w:tc>
        <w:tc>
          <w:tcPr>
            <w:tcW w:w="944" w:type="dxa"/>
            <w:tcBorders>
              <w:top w:val="single" w:color="000000" w:sz="4" w:space="0"/>
              <w:left w:val="single" w:color="000000" w:sz="4" w:space="0"/>
              <w:bottom w:val="single" w:color="000000" w:sz="4" w:space="0"/>
              <w:right w:val="single" w:color="000000" w:sz="4" w:space="0"/>
            </w:tcBorders>
          </w:tcPr>
          <w:p w14:paraId="30361889">
            <w:pPr>
              <w:spacing w:before="191"/>
              <w:ind w:right="296"/>
              <w:jc w:val="right"/>
              <w:rPr>
                <w:rFonts w:ascii="Times New Roman" w:hAnsi="宋体" w:eastAsia="宋体" w:cs="宋体"/>
                <w:sz w:val="21"/>
              </w:rPr>
            </w:pPr>
            <w:r>
              <w:rPr>
                <w:rFonts w:ascii="Times New Roman" w:hAnsi="宋体" w:eastAsia="宋体" w:cs="宋体"/>
                <w:spacing w:val="-5"/>
                <w:sz w:val="21"/>
              </w:rPr>
              <w:t>120</w:t>
            </w:r>
          </w:p>
        </w:tc>
        <w:tc>
          <w:tcPr>
            <w:tcW w:w="914" w:type="dxa"/>
            <w:tcBorders>
              <w:top w:val="single" w:color="000000" w:sz="4" w:space="0"/>
              <w:left w:val="single" w:color="000000" w:sz="4" w:space="0"/>
              <w:bottom w:val="single" w:color="000000" w:sz="4" w:space="0"/>
              <w:right w:val="single" w:color="000000" w:sz="4" w:space="0"/>
            </w:tcBorders>
          </w:tcPr>
          <w:p w14:paraId="265804B5">
            <w:pPr>
              <w:spacing w:before="191"/>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19B94B6E">
            <w:pPr>
              <w:spacing w:before="178"/>
              <w:ind w:left="124"/>
              <w:rPr>
                <w:rFonts w:ascii="宋体" w:hAnsi="宋体" w:eastAsia="宋体" w:cs="宋体"/>
                <w:sz w:val="21"/>
              </w:rPr>
            </w:pPr>
            <w:r>
              <w:rPr>
                <w:rFonts w:ascii="宋体" w:hAnsi="宋体" w:eastAsia="宋体" w:cs="宋体"/>
                <w:spacing w:val="-4"/>
                <w:w w:val="95"/>
                <w:sz w:val="21"/>
              </w:rPr>
              <w:t>预期性</w:t>
            </w:r>
          </w:p>
        </w:tc>
      </w:tr>
      <w:tr w14:paraId="31D39F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atLeast"/>
        </w:trPr>
        <w:tc>
          <w:tcPr>
            <w:tcW w:w="696" w:type="dxa"/>
            <w:vMerge w:val="continue"/>
            <w:tcBorders>
              <w:top w:val="nil"/>
              <w:left w:val="single" w:color="000000" w:sz="4" w:space="0"/>
              <w:bottom w:val="single" w:color="000000" w:sz="4" w:space="0"/>
              <w:right w:val="single" w:color="000000" w:sz="4" w:space="0"/>
            </w:tcBorders>
          </w:tcPr>
          <w:p w14:paraId="3D503313">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48C4432F">
            <w:pPr>
              <w:spacing w:before="38"/>
              <w:ind w:left="112"/>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47</w:t>
            </w:r>
            <w:r>
              <w:rPr>
                <w:rFonts w:ascii="宋体" w:hAnsi="宋体" w:eastAsia="宋体" w:cs="宋体"/>
                <w:w w:val="95"/>
                <w:sz w:val="21"/>
              </w:rPr>
              <w:t>）每千人口执业（助理）医师数</w:t>
            </w:r>
            <w:r>
              <w:rPr>
                <w:rFonts w:ascii="Times New Roman" w:hAnsi="宋体" w:eastAsia="Times New Roman" w:cs="宋体"/>
                <w:spacing w:val="-10"/>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2C522F67">
            <w:pPr>
              <w:spacing w:before="35"/>
              <w:ind w:left="19"/>
              <w:jc w:val="center"/>
              <w:rPr>
                <w:rFonts w:ascii="Times New Roman" w:hAnsi="宋体" w:eastAsia="宋体" w:cs="宋体"/>
                <w:sz w:val="21"/>
              </w:rPr>
            </w:pPr>
            <w:r>
              <w:rPr>
                <w:rFonts w:ascii="Times New Roman" w:hAnsi="宋体" w:eastAsia="宋体" w:cs="宋体"/>
                <w:w w:val="99"/>
                <w:sz w:val="21"/>
              </w:rPr>
              <w:t>6</w:t>
            </w:r>
          </w:p>
        </w:tc>
        <w:tc>
          <w:tcPr>
            <w:tcW w:w="978" w:type="dxa"/>
            <w:tcBorders>
              <w:top w:val="single" w:color="000000" w:sz="4" w:space="0"/>
              <w:left w:val="single" w:color="000000" w:sz="4" w:space="0"/>
              <w:bottom w:val="single" w:color="000000" w:sz="4" w:space="0"/>
              <w:right w:val="single" w:color="000000" w:sz="4" w:space="0"/>
            </w:tcBorders>
          </w:tcPr>
          <w:p w14:paraId="67F14746">
            <w:pPr>
              <w:spacing w:before="52"/>
              <w:ind w:left="348" w:right="331"/>
              <w:jc w:val="center"/>
              <w:rPr>
                <w:rFonts w:ascii="Times New Roman" w:hAnsi="宋体" w:eastAsia="宋体" w:cs="宋体"/>
                <w:sz w:val="21"/>
              </w:rPr>
            </w:pPr>
            <w:r>
              <w:rPr>
                <w:rFonts w:ascii="Times New Roman" w:hAnsi="宋体" w:eastAsia="宋体" w:cs="宋体"/>
                <w:spacing w:val="-5"/>
                <w:sz w:val="21"/>
              </w:rPr>
              <w:t>6.5</w:t>
            </w:r>
          </w:p>
        </w:tc>
        <w:tc>
          <w:tcPr>
            <w:tcW w:w="944" w:type="dxa"/>
            <w:tcBorders>
              <w:top w:val="single" w:color="000000" w:sz="4" w:space="0"/>
              <w:left w:val="single" w:color="000000" w:sz="4" w:space="0"/>
              <w:bottom w:val="single" w:color="000000" w:sz="4" w:space="0"/>
              <w:right w:val="single" w:color="000000" w:sz="4" w:space="0"/>
            </w:tcBorders>
          </w:tcPr>
          <w:p w14:paraId="2E4845DC">
            <w:pPr>
              <w:spacing w:before="52"/>
              <w:ind w:left="333" w:right="313"/>
              <w:jc w:val="center"/>
              <w:rPr>
                <w:rFonts w:ascii="Times New Roman" w:hAnsi="宋体" w:eastAsia="宋体" w:cs="宋体"/>
                <w:sz w:val="21"/>
              </w:rPr>
            </w:pPr>
            <w:r>
              <w:rPr>
                <w:rFonts w:ascii="Times New Roman" w:hAnsi="宋体" w:eastAsia="宋体" w:cs="宋体"/>
                <w:spacing w:val="-5"/>
                <w:sz w:val="21"/>
              </w:rPr>
              <w:t>8.2</w:t>
            </w:r>
          </w:p>
        </w:tc>
        <w:tc>
          <w:tcPr>
            <w:tcW w:w="914" w:type="dxa"/>
            <w:tcBorders>
              <w:top w:val="single" w:color="000000" w:sz="4" w:space="0"/>
              <w:left w:val="single" w:color="000000" w:sz="4" w:space="0"/>
              <w:bottom w:val="single" w:color="000000" w:sz="4" w:space="0"/>
              <w:right w:val="single" w:color="000000" w:sz="4" w:space="0"/>
            </w:tcBorders>
          </w:tcPr>
          <w:p w14:paraId="25ACE54F">
            <w:pPr>
              <w:spacing w:before="52"/>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74E5E01D">
            <w:pPr>
              <w:spacing w:before="38"/>
              <w:ind w:left="124"/>
              <w:rPr>
                <w:rFonts w:ascii="宋体" w:hAnsi="宋体" w:eastAsia="宋体" w:cs="宋体"/>
                <w:sz w:val="21"/>
              </w:rPr>
            </w:pPr>
            <w:r>
              <w:rPr>
                <w:rFonts w:ascii="宋体" w:hAnsi="宋体" w:eastAsia="宋体" w:cs="宋体"/>
                <w:spacing w:val="-4"/>
                <w:w w:val="95"/>
                <w:sz w:val="21"/>
              </w:rPr>
              <w:t>预期性</w:t>
            </w:r>
          </w:p>
        </w:tc>
      </w:tr>
      <w:tr w14:paraId="4382F4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696" w:type="dxa"/>
            <w:vMerge w:val="continue"/>
            <w:tcBorders>
              <w:top w:val="nil"/>
              <w:left w:val="single" w:color="000000" w:sz="4" w:space="0"/>
              <w:bottom w:val="single" w:color="000000" w:sz="4" w:space="0"/>
              <w:right w:val="single" w:color="000000" w:sz="4" w:space="0"/>
            </w:tcBorders>
          </w:tcPr>
          <w:p w14:paraId="1E91A861">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54F55F50">
            <w:pPr>
              <w:spacing w:before="21"/>
              <w:ind w:left="112"/>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48</w:t>
            </w:r>
            <w:r>
              <w:rPr>
                <w:rFonts w:ascii="宋体" w:hAnsi="宋体" w:eastAsia="宋体" w:cs="宋体"/>
                <w:w w:val="95"/>
                <w:sz w:val="21"/>
              </w:rPr>
              <w:t>）每千人口拥有</w:t>
            </w:r>
            <w:r>
              <w:rPr>
                <w:rFonts w:ascii="宋体" w:hAnsi="宋体" w:eastAsia="宋体" w:cs="宋体"/>
                <w:spacing w:val="5"/>
                <w:sz w:val="21"/>
              </w:rPr>
              <w:t xml:space="preserve"> </w:t>
            </w:r>
            <w:r>
              <w:rPr>
                <w:rFonts w:ascii="Times New Roman" w:hAnsi="宋体" w:eastAsia="Times New Roman" w:cs="宋体"/>
                <w:w w:val="95"/>
                <w:sz w:val="21"/>
              </w:rPr>
              <w:t>3</w:t>
            </w:r>
            <w:r>
              <w:rPr>
                <w:rFonts w:ascii="Times New Roman" w:hAnsi="宋体" w:eastAsia="Times New Roman" w:cs="宋体"/>
                <w:spacing w:val="61"/>
                <w:sz w:val="21"/>
              </w:rPr>
              <w:t xml:space="preserve"> </w:t>
            </w:r>
            <w:r>
              <w:rPr>
                <w:rFonts w:ascii="宋体" w:hAnsi="宋体" w:eastAsia="宋体" w:cs="宋体"/>
                <w:spacing w:val="-2"/>
                <w:w w:val="95"/>
                <w:sz w:val="21"/>
              </w:rPr>
              <w:t>岁以下婴幼儿托</w:t>
            </w:r>
          </w:p>
          <w:p w14:paraId="6456643D">
            <w:pPr>
              <w:spacing w:before="43"/>
              <w:ind w:left="112"/>
              <w:rPr>
                <w:rFonts w:ascii="Times New Roman" w:hAnsi="宋体" w:eastAsia="Times New Roman" w:cs="宋体"/>
                <w:sz w:val="21"/>
              </w:rPr>
            </w:pPr>
            <w:r>
              <w:rPr>
                <w:rFonts w:ascii="宋体" w:hAnsi="宋体" w:eastAsia="宋体" w:cs="宋体"/>
                <w:w w:val="95"/>
                <w:sz w:val="21"/>
              </w:rPr>
              <w:t>位数（个</w:t>
            </w:r>
            <w:r>
              <w:rPr>
                <w:rFonts w:ascii="宋体" w:hAnsi="宋体" w:eastAsia="宋体" w:cs="宋体"/>
                <w:spacing w:val="-5"/>
                <w:w w:val="95"/>
                <w:sz w:val="21"/>
              </w:rPr>
              <w:t>）</w:t>
            </w:r>
            <w:r>
              <w:rPr>
                <w:rFonts w:ascii="Times New Roman" w:hAnsi="宋体" w:eastAsia="Times New Roman" w:cs="宋体"/>
                <w:spacing w:val="-5"/>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615072BE">
            <w:pPr>
              <w:spacing w:before="191"/>
              <w:ind w:left="19"/>
              <w:jc w:val="center"/>
              <w:rPr>
                <w:rFonts w:ascii="Times New Roman" w:hAnsi="宋体" w:eastAsia="宋体" w:cs="宋体"/>
                <w:sz w:val="21"/>
              </w:rPr>
            </w:pPr>
            <w:r>
              <w:rPr>
                <w:rFonts w:ascii="Times New Roman" w:hAnsi="宋体" w:eastAsia="宋体" w:cs="宋体"/>
                <w:w w:val="99"/>
                <w:sz w:val="21"/>
              </w:rPr>
              <w:t>0</w:t>
            </w:r>
          </w:p>
        </w:tc>
        <w:tc>
          <w:tcPr>
            <w:tcW w:w="978" w:type="dxa"/>
            <w:tcBorders>
              <w:top w:val="single" w:color="000000" w:sz="4" w:space="0"/>
              <w:left w:val="single" w:color="000000" w:sz="4" w:space="0"/>
              <w:bottom w:val="single" w:color="000000" w:sz="4" w:space="0"/>
              <w:right w:val="single" w:color="000000" w:sz="4" w:space="0"/>
            </w:tcBorders>
          </w:tcPr>
          <w:p w14:paraId="664EC328">
            <w:pPr>
              <w:spacing w:before="191"/>
              <w:ind w:left="348" w:right="331"/>
              <w:jc w:val="center"/>
              <w:rPr>
                <w:rFonts w:ascii="Times New Roman" w:hAnsi="宋体" w:eastAsia="宋体" w:cs="宋体"/>
                <w:sz w:val="21"/>
              </w:rPr>
            </w:pPr>
            <w:r>
              <w:rPr>
                <w:rFonts w:ascii="Times New Roman" w:hAnsi="宋体" w:eastAsia="宋体" w:cs="宋体"/>
                <w:spacing w:val="-5"/>
                <w:sz w:val="21"/>
              </w:rPr>
              <w:t>0.2</w:t>
            </w:r>
          </w:p>
        </w:tc>
        <w:tc>
          <w:tcPr>
            <w:tcW w:w="944" w:type="dxa"/>
            <w:tcBorders>
              <w:top w:val="single" w:color="000000" w:sz="4" w:space="0"/>
              <w:left w:val="single" w:color="000000" w:sz="4" w:space="0"/>
              <w:bottom w:val="single" w:color="000000" w:sz="4" w:space="0"/>
              <w:right w:val="single" w:color="000000" w:sz="4" w:space="0"/>
            </w:tcBorders>
          </w:tcPr>
          <w:p w14:paraId="76A1B117">
            <w:pPr>
              <w:spacing w:before="191"/>
              <w:ind w:left="15"/>
              <w:jc w:val="center"/>
              <w:rPr>
                <w:rFonts w:ascii="Times New Roman" w:hAnsi="宋体" w:eastAsia="宋体" w:cs="宋体"/>
                <w:sz w:val="21"/>
              </w:rPr>
            </w:pPr>
            <w:r>
              <w:rPr>
                <w:rFonts w:ascii="Times New Roman" w:hAnsi="宋体" w:eastAsia="宋体" w:cs="宋体"/>
                <w:w w:val="99"/>
                <w:sz w:val="21"/>
              </w:rPr>
              <w:t>2</w:t>
            </w:r>
          </w:p>
        </w:tc>
        <w:tc>
          <w:tcPr>
            <w:tcW w:w="914" w:type="dxa"/>
            <w:tcBorders>
              <w:top w:val="single" w:color="000000" w:sz="4" w:space="0"/>
              <w:left w:val="single" w:color="000000" w:sz="4" w:space="0"/>
              <w:bottom w:val="single" w:color="000000" w:sz="4" w:space="0"/>
              <w:right w:val="single" w:color="000000" w:sz="4" w:space="0"/>
            </w:tcBorders>
          </w:tcPr>
          <w:p w14:paraId="3413BE36">
            <w:pPr>
              <w:spacing w:before="191"/>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7474E505">
            <w:pPr>
              <w:spacing w:before="177"/>
              <w:ind w:left="124"/>
              <w:rPr>
                <w:rFonts w:ascii="宋体" w:hAnsi="宋体" w:eastAsia="宋体" w:cs="宋体"/>
                <w:sz w:val="21"/>
              </w:rPr>
            </w:pPr>
            <w:r>
              <w:rPr>
                <w:rFonts w:ascii="宋体" w:hAnsi="宋体" w:eastAsia="宋体" w:cs="宋体"/>
                <w:spacing w:val="-4"/>
                <w:w w:val="95"/>
                <w:sz w:val="21"/>
              </w:rPr>
              <w:t>预期性</w:t>
            </w:r>
          </w:p>
        </w:tc>
      </w:tr>
      <w:tr w14:paraId="4FB923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atLeast"/>
        </w:trPr>
        <w:tc>
          <w:tcPr>
            <w:tcW w:w="696" w:type="dxa"/>
            <w:vMerge w:val="continue"/>
            <w:tcBorders>
              <w:top w:val="nil"/>
              <w:left w:val="single" w:color="000000" w:sz="4" w:space="0"/>
              <w:bottom w:val="single" w:color="000000" w:sz="4" w:space="0"/>
              <w:right w:val="single" w:color="000000" w:sz="4" w:space="0"/>
            </w:tcBorders>
          </w:tcPr>
          <w:p w14:paraId="11FD77A3">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43E36701">
            <w:pPr>
              <w:spacing w:before="39"/>
              <w:ind w:left="112"/>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49</w:t>
            </w:r>
            <w:r>
              <w:rPr>
                <w:rFonts w:ascii="宋体" w:hAnsi="宋体" w:eastAsia="宋体" w:cs="宋体"/>
                <w:w w:val="95"/>
                <w:sz w:val="21"/>
              </w:rPr>
              <w:t>）</w:t>
            </w:r>
            <w:r>
              <w:rPr>
                <w:rFonts w:ascii="宋体" w:hAnsi="宋体" w:eastAsia="宋体" w:cs="宋体"/>
                <w:spacing w:val="-1"/>
                <w:w w:val="95"/>
                <w:sz w:val="21"/>
              </w:rPr>
              <w:t>每千老年人口养老床位数</w:t>
            </w:r>
          </w:p>
        </w:tc>
        <w:tc>
          <w:tcPr>
            <w:tcW w:w="1011" w:type="dxa"/>
            <w:tcBorders>
              <w:top w:val="single" w:color="000000" w:sz="4" w:space="0"/>
              <w:left w:val="single" w:color="000000" w:sz="4" w:space="0"/>
              <w:bottom w:val="single" w:color="000000" w:sz="4" w:space="0"/>
              <w:right w:val="single" w:color="000000" w:sz="4" w:space="0"/>
            </w:tcBorders>
          </w:tcPr>
          <w:p w14:paraId="05F37373">
            <w:pPr>
              <w:spacing w:before="34"/>
              <w:ind w:left="231" w:right="211"/>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Borders>
              <w:top w:val="single" w:color="000000" w:sz="4" w:space="0"/>
              <w:left w:val="single" w:color="000000" w:sz="4" w:space="0"/>
              <w:bottom w:val="single" w:color="000000" w:sz="4" w:space="0"/>
              <w:right w:val="single" w:color="000000" w:sz="4" w:space="0"/>
            </w:tcBorders>
          </w:tcPr>
          <w:p w14:paraId="67A0AD56">
            <w:pPr>
              <w:spacing w:before="53"/>
              <w:ind w:left="348" w:right="331"/>
              <w:jc w:val="center"/>
              <w:rPr>
                <w:rFonts w:ascii="Times New Roman" w:hAnsi="宋体" w:eastAsia="宋体" w:cs="宋体"/>
                <w:sz w:val="21"/>
              </w:rPr>
            </w:pPr>
            <w:r>
              <w:rPr>
                <w:rFonts w:ascii="Times New Roman" w:hAnsi="宋体" w:eastAsia="宋体" w:cs="宋体"/>
                <w:spacing w:val="-5"/>
                <w:sz w:val="21"/>
              </w:rPr>
              <w:t>83</w:t>
            </w:r>
          </w:p>
        </w:tc>
        <w:tc>
          <w:tcPr>
            <w:tcW w:w="944" w:type="dxa"/>
            <w:tcBorders>
              <w:top w:val="single" w:color="000000" w:sz="4" w:space="0"/>
              <w:left w:val="single" w:color="000000" w:sz="4" w:space="0"/>
              <w:bottom w:val="single" w:color="000000" w:sz="4" w:space="0"/>
              <w:right w:val="single" w:color="000000" w:sz="4" w:space="0"/>
            </w:tcBorders>
          </w:tcPr>
          <w:p w14:paraId="1A269CAD">
            <w:pPr>
              <w:spacing w:before="53"/>
              <w:ind w:left="333" w:right="313"/>
              <w:jc w:val="center"/>
              <w:rPr>
                <w:rFonts w:ascii="Times New Roman" w:hAnsi="宋体" w:eastAsia="宋体" w:cs="宋体"/>
                <w:sz w:val="21"/>
              </w:rPr>
            </w:pPr>
            <w:r>
              <w:rPr>
                <w:rFonts w:ascii="Times New Roman" w:hAnsi="宋体" w:eastAsia="宋体" w:cs="宋体"/>
                <w:spacing w:val="-5"/>
                <w:sz w:val="21"/>
              </w:rPr>
              <w:t>85</w:t>
            </w:r>
          </w:p>
        </w:tc>
        <w:tc>
          <w:tcPr>
            <w:tcW w:w="914" w:type="dxa"/>
            <w:tcBorders>
              <w:top w:val="single" w:color="000000" w:sz="4" w:space="0"/>
              <w:left w:val="single" w:color="000000" w:sz="4" w:space="0"/>
              <w:bottom w:val="single" w:color="000000" w:sz="4" w:space="0"/>
              <w:right w:val="single" w:color="000000" w:sz="4" w:space="0"/>
            </w:tcBorders>
          </w:tcPr>
          <w:p w14:paraId="565569EB">
            <w:pPr>
              <w:spacing w:before="53"/>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25CD4ABE">
            <w:pPr>
              <w:spacing w:before="39"/>
              <w:ind w:left="124"/>
              <w:rPr>
                <w:rFonts w:ascii="宋体" w:hAnsi="宋体" w:eastAsia="宋体" w:cs="宋体"/>
                <w:sz w:val="21"/>
              </w:rPr>
            </w:pPr>
            <w:r>
              <w:rPr>
                <w:rFonts w:ascii="宋体" w:hAnsi="宋体" w:eastAsia="宋体" w:cs="宋体"/>
                <w:spacing w:val="-4"/>
                <w:w w:val="95"/>
                <w:sz w:val="21"/>
              </w:rPr>
              <w:t>预期性</w:t>
            </w:r>
          </w:p>
        </w:tc>
      </w:tr>
      <w:tr w14:paraId="5F94B7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3" w:hRule="atLeast"/>
        </w:trPr>
        <w:tc>
          <w:tcPr>
            <w:tcW w:w="696" w:type="dxa"/>
            <w:vMerge w:val="continue"/>
            <w:tcBorders>
              <w:top w:val="nil"/>
              <w:left w:val="single" w:color="000000" w:sz="4" w:space="0"/>
              <w:bottom w:val="single" w:color="000000" w:sz="4" w:space="0"/>
              <w:right w:val="single" w:color="000000" w:sz="4" w:space="0"/>
            </w:tcBorders>
          </w:tcPr>
          <w:p w14:paraId="0CA15151">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23B95237">
            <w:pPr>
              <w:spacing w:before="27"/>
              <w:ind w:left="112"/>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50</w:t>
            </w:r>
            <w:r>
              <w:rPr>
                <w:rFonts w:ascii="宋体" w:hAnsi="宋体" w:eastAsia="宋体" w:cs="宋体"/>
                <w:w w:val="95"/>
                <w:sz w:val="21"/>
              </w:rPr>
              <w:t>）高中毕业生大学入学率</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1793CDE4">
            <w:pPr>
              <w:spacing w:before="41"/>
              <w:ind w:left="231" w:right="212"/>
              <w:jc w:val="center"/>
              <w:rPr>
                <w:rFonts w:ascii="Times New Roman" w:hAnsi="宋体" w:eastAsia="宋体" w:cs="宋体"/>
                <w:sz w:val="21"/>
              </w:rPr>
            </w:pPr>
            <w:r>
              <w:rPr>
                <w:rFonts w:ascii="Times New Roman" w:hAnsi="宋体" w:eastAsia="宋体" w:cs="宋体"/>
                <w:spacing w:val="-5"/>
                <w:sz w:val="21"/>
              </w:rPr>
              <w:t>95</w:t>
            </w:r>
          </w:p>
        </w:tc>
        <w:tc>
          <w:tcPr>
            <w:tcW w:w="978" w:type="dxa"/>
            <w:tcBorders>
              <w:top w:val="single" w:color="000000" w:sz="4" w:space="0"/>
              <w:left w:val="single" w:color="000000" w:sz="4" w:space="0"/>
              <w:bottom w:val="single" w:color="000000" w:sz="4" w:space="0"/>
              <w:right w:val="single" w:color="000000" w:sz="4" w:space="0"/>
            </w:tcBorders>
          </w:tcPr>
          <w:p w14:paraId="1C4E695D">
            <w:pPr>
              <w:spacing w:before="41"/>
              <w:ind w:left="348" w:right="331"/>
              <w:jc w:val="center"/>
              <w:rPr>
                <w:rFonts w:ascii="Times New Roman" w:hAnsi="宋体" w:eastAsia="宋体" w:cs="宋体"/>
                <w:sz w:val="21"/>
              </w:rPr>
            </w:pPr>
            <w:r>
              <w:rPr>
                <w:rFonts w:ascii="Times New Roman" w:hAnsi="宋体" w:eastAsia="宋体" w:cs="宋体"/>
                <w:spacing w:val="-5"/>
                <w:sz w:val="21"/>
              </w:rPr>
              <w:t>98</w:t>
            </w:r>
          </w:p>
        </w:tc>
        <w:tc>
          <w:tcPr>
            <w:tcW w:w="944" w:type="dxa"/>
            <w:tcBorders>
              <w:top w:val="single" w:color="000000" w:sz="4" w:space="0"/>
              <w:left w:val="single" w:color="000000" w:sz="4" w:space="0"/>
              <w:bottom w:val="single" w:color="000000" w:sz="4" w:space="0"/>
              <w:right w:val="single" w:color="000000" w:sz="4" w:space="0"/>
            </w:tcBorders>
          </w:tcPr>
          <w:p w14:paraId="072CDDD8">
            <w:pPr>
              <w:spacing w:before="41"/>
              <w:ind w:left="333" w:right="313"/>
              <w:jc w:val="center"/>
              <w:rPr>
                <w:rFonts w:ascii="Times New Roman" w:hAnsi="宋体" w:eastAsia="宋体" w:cs="宋体"/>
                <w:sz w:val="21"/>
              </w:rPr>
            </w:pPr>
            <w:r>
              <w:rPr>
                <w:rFonts w:ascii="Times New Roman" w:hAnsi="宋体" w:eastAsia="宋体" w:cs="宋体"/>
                <w:spacing w:val="-5"/>
                <w:sz w:val="21"/>
              </w:rPr>
              <w:t>98</w:t>
            </w:r>
          </w:p>
        </w:tc>
        <w:tc>
          <w:tcPr>
            <w:tcW w:w="914" w:type="dxa"/>
            <w:tcBorders>
              <w:top w:val="single" w:color="000000" w:sz="4" w:space="0"/>
              <w:left w:val="single" w:color="000000" w:sz="4" w:space="0"/>
              <w:bottom w:val="single" w:color="000000" w:sz="4" w:space="0"/>
              <w:right w:val="single" w:color="000000" w:sz="4" w:space="0"/>
            </w:tcBorders>
          </w:tcPr>
          <w:p w14:paraId="5F475EC4">
            <w:pPr>
              <w:spacing w:before="41"/>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500B60FD">
            <w:pPr>
              <w:spacing w:before="27"/>
              <w:ind w:left="124"/>
              <w:rPr>
                <w:rFonts w:ascii="宋体" w:hAnsi="宋体" w:eastAsia="宋体" w:cs="宋体"/>
                <w:sz w:val="21"/>
              </w:rPr>
            </w:pPr>
            <w:r>
              <w:rPr>
                <w:rFonts w:ascii="宋体" w:hAnsi="宋体" w:eastAsia="宋体" w:cs="宋体"/>
                <w:spacing w:val="-4"/>
                <w:w w:val="95"/>
                <w:sz w:val="21"/>
              </w:rPr>
              <w:t>预期性</w:t>
            </w:r>
          </w:p>
        </w:tc>
      </w:tr>
      <w:tr w14:paraId="7FC6E0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4" w:hRule="atLeast"/>
        </w:trPr>
        <w:tc>
          <w:tcPr>
            <w:tcW w:w="696" w:type="dxa"/>
            <w:vMerge w:val="continue"/>
            <w:tcBorders>
              <w:top w:val="nil"/>
              <w:left w:val="single" w:color="000000" w:sz="4" w:space="0"/>
              <w:bottom w:val="single" w:color="000000" w:sz="4" w:space="0"/>
              <w:right w:val="single" w:color="000000" w:sz="4" w:space="0"/>
            </w:tcBorders>
          </w:tcPr>
          <w:p w14:paraId="67490CAA">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7877D415">
            <w:pPr>
              <w:spacing w:before="27"/>
              <w:ind w:left="112"/>
              <w:rPr>
                <w:rFonts w:ascii="Calibri" w:hAnsi="宋体" w:eastAsia="Calibri" w:cs="宋体"/>
                <w:sz w:val="21"/>
              </w:rPr>
            </w:pPr>
            <w:r>
              <w:rPr>
                <w:rFonts w:ascii="宋体" w:hAnsi="宋体" w:eastAsia="宋体" w:cs="宋体"/>
                <w:w w:val="95"/>
                <w:sz w:val="21"/>
              </w:rPr>
              <w:t>（</w:t>
            </w:r>
            <w:r>
              <w:rPr>
                <w:rFonts w:ascii="Times New Roman" w:hAnsi="宋体" w:eastAsia="Times New Roman" w:cs="宋体"/>
                <w:w w:val="95"/>
                <w:sz w:val="21"/>
              </w:rPr>
              <w:t>51</w:t>
            </w:r>
            <w:r>
              <w:rPr>
                <w:rFonts w:ascii="宋体" w:hAnsi="宋体" w:eastAsia="宋体" w:cs="宋体"/>
                <w:w w:val="95"/>
                <w:sz w:val="21"/>
              </w:rPr>
              <w:t>）劳动年龄人口平均受教育年限</w:t>
            </w:r>
            <w:r>
              <w:rPr>
                <w:rFonts w:ascii="Calibri" w:hAnsi="宋体" w:eastAsia="Calibri" w:cs="宋体"/>
                <w:spacing w:val="-10"/>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28103346">
            <w:pPr>
              <w:spacing w:before="41"/>
              <w:ind w:left="231" w:right="211"/>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Borders>
              <w:top w:val="single" w:color="000000" w:sz="4" w:space="0"/>
              <w:left w:val="single" w:color="000000" w:sz="4" w:space="0"/>
              <w:bottom w:val="single" w:color="000000" w:sz="4" w:space="0"/>
              <w:right w:val="single" w:color="000000" w:sz="4" w:space="0"/>
            </w:tcBorders>
          </w:tcPr>
          <w:p w14:paraId="108BD1D5">
            <w:pPr>
              <w:spacing w:before="41"/>
              <w:ind w:left="313"/>
              <w:rPr>
                <w:rFonts w:ascii="Times New Roman" w:hAnsi="宋体" w:eastAsia="宋体" w:cs="宋体"/>
                <w:sz w:val="21"/>
              </w:rPr>
            </w:pPr>
            <w:r>
              <w:rPr>
                <w:rFonts w:ascii="Times New Roman" w:hAnsi="宋体" w:eastAsia="宋体" w:cs="宋体"/>
                <w:spacing w:val="-4"/>
                <w:sz w:val="21"/>
              </w:rPr>
              <w:t>11.2</w:t>
            </w:r>
          </w:p>
        </w:tc>
        <w:tc>
          <w:tcPr>
            <w:tcW w:w="944" w:type="dxa"/>
            <w:tcBorders>
              <w:top w:val="single" w:color="000000" w:sz="4" w:space="0"/>
              <w:left w:val="single" w:color="000000" w:sz="4" w:space="0"/>
              <w:bottom w:val="single" w:color="000000" w:sz="4" w:space="0"/>
              <w:right w:val="single" w:color="000000" w:sz="4" w:space="0"/>
            </w:tcBorders>
          </w:tcPr>
          <w:p w14:paraId="5EFDA434">
            <w:pPr>
              <w:spacing w:before="41"/>
              <w:ind w:left="333" w:right="313"/>
              <w:jc w:val="center"/>
              <w:rPr>
                <w:rFonts w:ascii="Times New Roman" w:hAnsi="宋体" w:eastAsia="宋体" w:cs="宋体"/>
                <w:sz w:val="21"/>
              </w:rPr>
            </w:pPr>
            <w:r>
              <w:rPr>
                <w:rFonts w:ascii="Times New Roman" w:hAnsi="宋体" w:eastAsia="宋体" w:cs="宋体"/>
                <w:spacing w:val="-5"/>
                <w:sz w:val="21"/>
              </w:rPr>
              <w:t>13</w:t>
            </w:r>
          </w:p>
        </w:tc>
        <w:tc>
          <w:tcPr>
            <w:tcW w:w="914" w:type="dxa"/>
            <w:tcBorders>
              <w:top w:val="single" w:color="000000" w:sz="4" w:space="0"/>
              <w:left w:val="single" w:color="000000" w:sz="4" w:space="0"/>
              <w:bottom w:val="single" w:color="000000" w:sz="4" w:space="0"/>
              <w:right w:val="single" w:color="000000" w:sz="4" w:space="0"/>
            </w:tcBorders>
          </w:tcPr>
          <w:p w14:paraId="43915833">
            <w:pPr>
              <w:spacing w:before="41"/>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39F1794A">
            <w:pPr>
              <w:spacing w:before="27"/>
              <w:ind w:left="124"/>
              <w:rPr>
                <w:rFonts w:ascii="宋体" w:hAnsi="宋体" w:eastAsia="宋体" w:cs="宋体"/>
                <w:sz w:val="21"/>
              </w:rPr>
            </w:pPr>
            <w:r>
              <w:rPr>
                <w:rFonts w:ascii="宋体" w:hAnsi="宋体" w:eastAsia="宋体" w:cs="宋体"/>
                <w:spacing w:val="-4"/>
                <w:w w:val="95"/>
                <w:sz w:val="21"/>
              </w:rPr>
              <w:t>预期性</w:t>
            </w:r>
          </w:p>
        </w:tc>
      </w:tr>
      <w:tr w14:paraId="185317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atLeast"/>
        </w:trPr>
        <w:tc>
          <w:tcPr>
            <w:tcW w:w="696" w:type="dxa"/>
            <w:vMerge w:val="continue"/>
            <w:tcBorders>
              <w:top w:val="nil"/>
              <w:left w:val="single" w:color="000000" w:sz="4" w:space="0"/>
              <w:bottom w:val="single" w:color="000000" w:sz="4" w:space="0"/>
              <w:right w:val="single" w:color="000000" w:sz="4" w:space="0"/>
            </w:tcBorders>
          </w:tcPr>
          <w:p w14:paraId="0BAA046B">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14783359">
            <w:pPr>
              <w:spacing w:before="38"/>
              <w:ind w:left="112" w:right="-15"/>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52</w:t>
            </w:r>
            <w:r>
              <w:rPr>
                <w:rFonts w:ascii="宋体" w:hAnsi="宋体" w:eastAsia="宋体" w:cs="宋体"/>
                <w:w w:val="95"/>
                <w:sz w:val="21"/>
              </w:rPr>
              <w:t>）</w:t>
            </w:r>
            <w:r>
              <w:rPr>
                <w:rFonts w:ascii="宋体" w:hAnsi="宋体" w:eastAsia="宋体" w:cs="宋体"/>
                <w:spacing w:val="-6"/>
                <w:w w:val="95"/>
                <w:sz w:val="21"/>
              </w:rPr>
              <w:t>人均公共文化设施用地面积</w:t>
            </w:r>
            <w:r>
              <w:rPr>
                <w:rFonts w:ascii="宋体" w:hAnsi="宋体" w:eastAsia="宋体" w:cs="宋体"/>
                <w:w w:val="95"/>
                <w:sz w:val="21"/>
              </w:rPr>
              <w:t>（㎡</w:t>
            </w:r>
            <w:r>
              <w:rPr>
                <w:rFonts w:ascii="宋体" w:hAnsi="宋体" w:eastAsia="宋体" w:cs="宋体"/>
                <w:spacing w:val="-10"/>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625692D4">
            <w:pPr>
              <w:spacing w:before="52"/>
              <w:ind w:left="231" w:right="212"/>
              <w:jc w:val="center"/>
              <w:rPr>
                <w:rFonts w:ascii="Times New Roman" w:hAnsi="宋体" w:eastAsia="宋体" w:cs="宋体"/>
                <w:sz w:val="21"/>
              </w:rPr>
            </w:pPr>
            <w:r>
              <w:rPr>
                <w:rFonts w:ascii="Times New Roman" w:hAnsi="宋体" w:eastAsia="宋体" w:cs="宋体"/>
                <w:spacing w:val="-5"/>
                <w:sz w:val="21"/>
              </w:rPr>
              <w:t>20</w:t>
            </w:r>
          </w:p>
        </w:tc>
        <w:tc>
          <w:tcPr>
            <w:tcW w:w="978" w:type="dxa"/>
            <w:tcBorders>
              <w:top w:val="single" w:color="000000" w:sz="4" w:space="0"/>
              <w:left w:val="single" w:color="000000" w:sz="4" w:space="0"/>
              <w:bottom w:val="single" w:color="000000" w:sz="4" w:space="0"/>
              <w:right w:val="single" w:color="000000" w:sz="4" w:space="0"/>
            </w:tcBorders>
          </w:tcPr>
          <w:p w14:paraId="2E4BC361">
            <w:pPr>
              <w:spacing w:before="52"/>
              <w:ind w:left="308"/>
              <w:rPr>
                <w:rFonts w:ascii="Times New Roman" w:hAnsi="宋体" w:eastAsia="宋体" w:cs="宋体"/>
                <w:sz w:val="21"/>
              </w:rPr>
            </w:pPr>
            <w:r>
              <w:rPr>
                <w:rFonts w:ascii="Times New Roman" w:hAnsi="宋体" w:eastAsia="宋体" w:cs="宋体"/>
                <w:spacing w:val="-4"/>
                <w:sz w:val="21"/>
              </w:rPr>
              <w:t>22.1</w:t>
            </w:r>
          </w:p>
        </w:tc>
        <w:tc>
          <w:tcPr>
            <w:tcW w:w="944" w:type="dxa"/>
            <w:tcBorders>
              <w:top w:val="single" w:color="000000" w:sz="4" w:space="0"/>
              <w:left w:val="single" w:color="000000" w:sz="4" w:space="0"/>
              <w:bottom w:val="single" w:color="000000" w:sz="4" w:space="0"/>
              <w:right w:val="single" w:color="000000" w:sz="4" w:space="0"/>
            </w:tcBorders>
          </w:tcPr>
          <w:p w14:paraId="2B933D73">
            <w:pPr>
              <w:spacing w:before="52"/>
              <w:ind w:left="333" w:right="313"/>
              <w:jc w:val="center"/>
              <w:rPr>
                <w:rFonts w:ascii="Times New Roman" w:hAnsi="宋体" w:eastAsia="宋体" w:cs="宋体"/>
                <w:sz w:val="21"/>
              </w:rPr>
            </w:pPr>
            <w:r>
              <w:rPr>
                <w:rFonts w:ascii="Times New Roman" w:hAnsi="宋体" w:eastAsia="宋体" w:cs="宋体"/>
                <w:spacing w:val="-5"/>
                <w:sz w:val="21"/>
              </w:rPr>
              <w:t>25</w:t>
            </w:r>
          </w:p>
        </w:tc>
        <w:tc>
          <w:tcPr>
            <w:tcW w:w="914" w:type="dxa"/>
            <w:tcBorders>
              <w:top w:val="single" w:color="000000" w:sz="4" w:space="0"/>
              <w:left w:val="single" w:color="000000" w:sz="4" w:space="0"/>
              <w:bottom w:val="single" w:color="000000" w:sz="4" w:space="0"/>
              <w:right w:val="single" w:color="000000" w:sz="4" w:space="0"/>
            </w:tcBorders>
          </w:tcPr>
          <w:p w14:paraId="4AA93D1E">
            <w:pPr>
              <w:spacing w:before="52"/>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599A87A8">
            <w:pPr>
              <w:spacing w:before="38"/>
              <w:ind w:left="124"/>
              <w:rPr>
                <w:rFonts w:ascii="宋体" w:hAnsi="宋体" w:eastAsia="宋体" w:cs="宋体"/>
                <w:sz w:val="21"/>
              </w:rPr>
            </w:pPr>
            <w:r>
              <w:rPr>
                <w:rFonts w:ascii="宋体" w:hAnsi="宋体" w:eastAsia="宋体" w:cs="宋体"/>
                <w:spacing w:val="-4"/>
                <w:w w:val="95"/>
                <w:sz w:val="21"/>
              </w:rPr>
              <w:t>预期性</w:t>
            </w:r>
          </w:p>
        </w:tc>
      </w:tr>
      <w:tr w14:paraId="196A28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6" w:hRule="atLeast"/>
        </w:trPr>
        <w:tc>
          <w:tcPr>
            <w:tcW w:w="696" w:type="dxa"/>
            <w:vMerge w:val="continue"/>
            <w:tcBorders>
              <w:top w:val="nil"/>
              <w:left w:val="single" w:color="000000" w:sz="4" w:space="0"/>
              <w:bottom w:val="single" w:color="000000" w:sz="4" w:space="0"/>
              <w:right w:val="single" w:color="000000" w:sz="4" w:space="0"/>
            </w:tcBorders>
          </w:tcPr>
          <w:p w14:paraId="46AAA0A1">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1AE12C50">
            <w:pPr>
              <w:spacing w:before="43"/>
              <w:ind w:left="112"/>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53</w:t>
            </w:r>
            <w:r>
              <w:rPr>
                <w:rFonts w:ascii="宋体" w:hAnsi="宋体" w:eastAsia="宋体" w:cs="宋体"/>
                <w:w w:val="95"/>
                <w:sz w:val="21"/>
              </w:rPr>
              <w:t>）文化及相关产业增加值占</w:t>
            </w:r>
            <w:r>
              <w:rPr>
                <w:rFonts w:ascii="宋体" w:hAnsi="宋体" w:eastAsia="宋体" w:cs="宋体"/>
                <w:spacing w:val="72"/>
                <w:sz w:val="21"/>
              </w:rPr>
              <w:t xml:space="preserve"> </w:t>
            </w:r>
            <w:r>
              <w:rPr>
                <w:rFonts w:ascii="Times New Roman" w:hAnsi="宋体" w:eastAsia="Times New Roman" w:cs="宋体"/>
                <w:spacing w:val="-5"/>
                <w:w w:val="95"/>
                <w:sz w:val="21"/>
              </w:rPr>
              <w:t>GDP</w:t>
            </w:r>
          </w:p>
          <w:p w14:paraId="4B6DBB26">
            <w:pPr>
              <w:spacing w:before="43"/>
              <w:ind w:left="112"/>
              <w:rPr>
                <w:rFonts w:ascii="宋体" w:hAnsi="宋体" w:eastAsia="宋体" w:cs="宋体"/>
                <w:sz w:val="21"/>
              </w:rPr>
            </w:pPr>
            <w:r>
              <w:rPr>
                <w:rFonts w:ascii="宋体" w:hAnsi="宋体" w:eastAsia="宋体" w:cs="宋体"/>
                <w:w w:val="95"/>
                <w:sz w:val="21"/>
              </w:rPr>
              <w:t>的比重</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4BB18296">
            <w:pPr>
              <w:spacing w:before="7"/>
              <w:rPr>
                <w:rFonts w:ascii="黑体" w:hAnsi="宋体" w:eastAsia="宋体" w:cs="宋体"/>
                <w:sz w:val="16"/>
              </w:rPr>
            </w:pPr>
          </w:p>
          <w:p w14:paraId="73EB8FE7">
            <w:pPr>
              <w:spacing w:before="1"/>
              <w:ind w:left="231" w:right="211"/>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Borders>
              <w:top w:val="single" w:color="000000" w:sz="4" w:space="0"/>
              <w:left w:val="single" w:color="000000" w:sz="4" w:space="0"/>
              <w:bottom w:val="single" w:color="000000" w:sz="4" w:space="0"/>
              <w:right w:val="single" w:color="000000" w:sz="4" w:space="0"/>
            </w:tcBorders>
          </w:tcPr>
          <w:p w14:paraId="2EFC81D6">
            <w:pPr>
              <w:spacing w:before="7"/>
              <w:rPr>
                <w:rFonts w:ascii="黑体" w:hAnsi="宋体" w:eastAsia="宋体" w:cs="宋体"/>
                <w:sz w:val="16"/>
              </w:rPr>
            </w:pPr>
          </w:p>
          <w:p w14:paraId="280DBE65">
            <w:pPr>
              <w:spacing w:before="1"/>
              <w:ind w:left="348" w:right="331"/>
              <w:jc w:val="center"/>
              <w:rPr>
                <w:rFonts w:ascii="Times New Roman" w:hAnsi="宋体" w:eastAsia="宋体" w:cs="宋体"/>
                <w:sz w:val="21"/>
              </w:rPr>
            </w:pPr>
            <w:r>
              <w:rPr>
                <w:rFonts w:ascii="Times New Roman" w:hAnsi="宋体" w:eastAsia="宋体" w:cs="宋体"/>
                <w:spacing w:val="-5"/>
                <w:sz w:val="21"/>
              </w:rPr>
              <w:t>5.3</w:t>
            </w:r>
          </w:p>
        </w:tc>
        <w:tc>
          <w:tcPr>
            <w:tcW w:w="944" w:type="dxa"/>
            <w:tcBorders>
              <w:top w:val="single" w:color="000000" w:sz="4" w:space="0"/>
              <w:left w:val="single" w:color="000000" w:sz="4" w:space="0"/>
              <w:bottom w:val="single" w:color="000000" w:sz="4" w:space="0"/>
              <w:right w:val="single" w:color="000000" w:sz="4" w:space="0"/>
            </w:tcBorders>
          </w:tcPr>
          <w:p w14:paraId="324DDF64">
            <w:pPr>
              <w:spacing w:before="7"/>
              <w:rPr>
                <w:rFonts w:ascii="黑体" w:hAnsi="宋体" w:eastAsia="宋体" w:cs="宋体"/>
                <w:sz w:val="16"/>
              </w:rPr>
            </w:pPr>
          </w:p>
          <w:p w14:paraId="707FC9BB">
            <w:pPr>
              <w:spacing w:before="1"/>
              <w:ind w:left="15"/>
              <w:jc w:val="center"/>
              <w:rPr>
                <w:rFonts w:ascii="Times New Roman" w:hAnsi="宋体" w:eastAsia="宋体" w:cs="宋体"/>
                <w:sz w:val="21"/>
              </w:rPr>
            </w:pPr>
            <w:r>
              <w:rPr>
                <w:rFonts w:ascii="Times New Roman" w:hAnsi="宋体" w:eastAsia="宋体" w:cs="宋体"/>
                <w:w w:val="99"/>
                <w:sz w:val="21"/>
              </w:rPr>
              <w:t>6</w:t>
            </w:r>
          </w:p>
        </w:tc>
        <w:tc>
          <w:tcPr>
            <w:tcW w:w="914" w:type="dxa"/>
            <w:tcBorders>
              <w:top w:val="single" w:color="000000" w:sz="4" w:space="0"/>
              <w:left w:val="single" w:color="000000" w:sz="4" w:space="0"/>
              <w:bottom w:val="single" w:color="000000" w:sz="4" w:space="0"/>
              <w:right w:val="single" w:color="000000" w:sz="4" w:space="0"/>
            </w:tcBorders>
          </w:tcPr>
          <w:p w14:paraId="716AF2EE">
            <w:pPr>
              <w:spacing w:before="7"/>
              <w:rPr>
                <w:rFonts w:ascii="黑体" w:hAnsi="宋体" w:eastAsia="宋体" w:cs="宋体"/>
                <w:sz w:val="16"/>
              </w:rPr>
            </w:pPr>
          </w:p>
          <w:p w14:paraId="2EF69929">
            <w:pPr>
              <w:spacing w:before="1"/>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455E87BF">
            <w:pPr>
              <w:spacing w:before="6"/>
              <w:rPr>
                <w:rFonts w:ascii="黑体" w:hAnsi="宋体" w:eastAsia="宋体" w:cs="宋体"/>
                <w:sz w:val="15"/>
              </w:rPr>
            </w:pPr>
          </w:p>
          <w:p w14:paraId="568A79A9">
            <w:pPr>
              <w:spacing w:before="1"/>
              <w:ind w:left="124"/>
              <w:rPr>
                <w:rFonts w:ascii="宋体" w:hAnsi="宋体" w:eastAsia="宋体" w:cs="宋体"/>
                <w:sz w:val="21"/>
              </w:rPr>
            </w:pPr>
            <w:r>
              <w:rPr>
                <w:rFonts w:ascii="宋体" w:hAnsi="宋体" w:eastAsia="宋体" w:cs="宋体"/>
                <w:spacing w:val="-4"/>
                <w:w w:val="95"/>
                <w:sz w:val="21"/>
              </w:rPr>
              <w:t>预期性</w:t>
            </w:r>
          </w:p>
        </w:tc>
      </w:tr>
    </w:tbl>
    <w:p w14:paraId="18B2DDD5">
      <w:pPr>
        <w:spacing w:before="44" w:line="278" w:lineRule="auto"/>
        <w:ind w:left="233" w:right="251"/>
        <w:rPr>
          <w:rFonts w:ascii="宋体" w:hAnsi="宋体" w:eastAsia="宋体"/>
          <w:sz w:val="21"/>
        </w:rPr>
      </w:pPr>
      <w:r>
        <w:rPr>
          <w:rFonts w:ascii="宋体" w:hAnsi="宋体" w:eastAsia="宋体"/>
          <w:spacing w:val="-3"/>
          <w:w w:val="99"/>
          <w:sz w:val="21"/>
        </w:rPr>
        <w:t>备注：带</w:t>
      </w:r>
      <w:r>
        <w:rPr>
          <w:rFonts w:ascii="Times New Roman" w:hAnsi="Times New Roman" w:eastAsia="Times New Roman"/>
          <w:w w:val="99"/>
          <w:sz w:val="21"/>
        </w:rPr>
        <w:t>[</w:t>
      </w:r>
      <w:r>
        <w:rPr>
          <w:rFonts w:ascii="Times New Roman" w:hAnsi="Times New Roman" w:eastAsia="Times New Roman"/>
          <w:spacing w:val="-3"/>
          <w:sz w:val="21"/>
        </w:rPr>
        <w:t xml:space="preserve"> </w:t>
      </w:r>
      <w:r>
        <w:rPr>
          <w:rFonts w:ascii="Times New Roman" w:hAnsi="Times New Roman" w:eastAsia="Times New Roman"/>
          <w:spacing w:val="2"/>
          <w:w w:val="99"/>
          <w:sz w:val="21"/>
        </w:rPr>
        <w:t>]</w:t>
      </w:r>
      <w:r>
        <w:rPr>
          <w:rFonts w:ascii="宋体" w:hAnsi="宋体" w:eastAsia="宋体"/>
          <w:spacing w:val="-3"/>
          <w:w w:val="99"/>
          <w:sz w:val="21"/>
        </w:rPr>
        <w:t>为五年累计数；带</w:t>
      </w:r>
      <w:r>
        <w:rPr>
          <w:rFonts w:ascii="Times New Roman" w:hAnsi="Times New Roman" w:eastAsia="Times New Roman"/>
          <w:spacing w:val="1"/>
          <w:w w:val="99"/>
          <w:sz w:val="21"/>
        </w:rPr>
        <w:t>*</w:t>
      </w:r>
      <w:r>
        <w:rPr>
          <w:rFonts w:ascii="宋体" w:hAnsi="宋体" w:eastAsia="宋体"/>
          <w:spacing w:val="-5"/>
          <w:w w:val="99"/>
          <w:sz w:val="21"/>
        </w:rPr>
        <w:t>为自治区“十四五”时期经济社会发展主要指标；带</w:t>
      </w:r>
      <w:r>
        <w:rPr>
          <w:rFonts w:ascii="Times New Roman" w:hAnsi="Times New Roman" w:eastAsia="Times New Roman"/>
          <w:spacing w:val="-2"/>
          <w:w w:val="99"/>
          <w:sz w:val="21"/>
        </w:rPr>
        <w:t>#</w:t>
      </w:r>
      <w:r>
        <w:rPr>
          <w:rFonts w:ascii="宋体" w:hAnsi="宋体" w:eastAsia="宋体"/>
          <w:spacing w:val="-1"/>
          <w:w w:val="99"/>
          <w:sz w:val="21"/>
        </w:rPr>
        <w:t>为统计口径变化后指标。</w:t>
      </w:r>
    </w:p>
    <w:p w14:paraId="450CBA95">
      <w:pPr>
        <w:spacing w:line="278" w:lineRule="auto"/>
        <w:rPr>
          <w:rFonts w:ascii="宋体" w:hAnsi="宋体" w:eastAsia="宋体"/>
          <w:sz w:val="21"/>
        </w:rPr>
        <w:sectPr>
          <w:pgSz w:w="11910" w:h="16840"/>
          <w:pgMar w:top="1920" w:right="1220" w:bottom="1160" w:left="1240" w:header="0" w:footer="975" w:gutter="0"/>
          <w:cols w:space="720" w:num="1"/>
        </w:sectPr>
      </w:pPr>
    </w:p>
    <w:p w14:paraId="7046F905">
      <w:pPr>
        <w:rPr>
          <w:rFonts w:ascii="宋体"/>
          <w:sz w:val="20"/>
          <w:szCs w:val="32"/>
        </w:rPr>
      </w:pPr>
    </w:p>
    <w:p w14:paraId="6DCC1CE4">
      <w:pPr>
        <w:spacing w:before="222" w:line="336" w:lineRule="auto"/>
        <w:ind w:left="233" w:right="275" w:firstLine="684"/>
        <w:jc w:val="both"/>
        <w:rPr>
          <w:sz w:val="32"/>
          <w:szCs w:val="32"/>
        </w:rPr>
      </w:pPr>
      <w:r>
        <w:rPr>
          <w:rFonts w:ascii="Times New Roman" w:eastAsia="Times New Roman"/>
          <w:b/>
          <w:sz w:val="32"/>
          <w:szCs w:val="32"/>
        </w:rPr>
        <w:t xml:space="preserve">2035 </w:t>
      </w:r>
      <w:r>
        <w:rPr>
          <w:rFonts w:hint="eastAsia" w:ascii="宋体" w:eastAsia="宋体"/>
          <w:b/>
          <w:spacing w:val="24"/>
          <w:sz w:val="32"/>
          <w:szCs w:val="32"/>
        </w:rPr>
        <w:t>年展望</w:t>
      </w:r>
      <w:r>
        <w:rPr>
          <w:rFonts w:hint="eastAsia" w:ascii="宋体" w:eastAsia="宋体"/>
          <w:b/>
          <w:spacing w:val="12"/>
          <w:sz w:val="32"/>
          <w:szCs w:val="32"/>
        </w:rPr>
        <w:t>：</w:t>
      </w:r>
      <w:r>
        <w:rPr>
          <w:spacing w:val="17"/>
          <w:sz w:val="32"/>
          <w:szCs w:val="32"/>
        </w:rPr>
        <w:t>在全区率先实现社会主义现代化，在全面</w:t>
      </w:r>
      <w:r>
        <w:rPr>
          <w:spacing w:val="20"/>
          <w:sz w:val="32"/>
          <w:szCs w:val="32"/>
        </w:rPr>
        <w:t>建成经济繁荣、民族团结、环境优美、人民富裕的美丽新宁</w:t>
      </w:r>
      <w:r>
        <w:rPr>
          <w:spacing w:val="17"/>
          <w:sz w:val="32"/>
          <w:szCs w:val="32"/>
        </w:rPr>
        <w:t>夏中展现金凤担当。</w:t>
      </w:r>
    </w:p>
    <w:p w14:paraId="4A7D3C35">
      <w:pPr>
        <w:spacing w:before="6" w:line="336" w:lineRule="auto"/>
        <w:ind w:left="233" w:right="106" w:firstLine="684"/>
        <w:rPr>
          <w:sz w:val="32"/>
          <w:szCs w:val="32"/>
        </w:rPr>
      </w:pPr>
      <w:r>
        <w:rPr>
          <w:rFonts w:ascii="Times New Roman" w:hAnsi="Times New Roman" w:eastAsia="Times New Roman"/>
          <w:b/>
          <w:spacing w:val="12"/>
          <w:w w:val="99"/>
          <w:sz w:val="32"/>
          <w:szCs w:val="32"/>
        </w:rPr>
        <w:t>——</w:t>
      </w:r>
      <w:r>
        <w:rPr>
          <w:b/>
          <w:i/>
          <w:spacing w:val="24"/>
          <w:w w:val="99"/>
          <w:sz w:val="32"/>
          <w:szCs w:val="32"/>
        </w:rPr>
        <w:t>经济繁荣实现大跨越。</w:t>
      </w:r>
      <w:r>
        <w:rPr>
          <w:spacing w:val="19"/>
          <w:w w:val="99"/>
          <w:sz w:val="32"/>
          <w:szCs w:val="32"/>
        </w:rPr>
        <w:t>经济实力显著增强，自我发</w:t>
      </w:r>
      <w:r>
        <w:rPr>
          <w:spacing w:val="20"/>
          <w:w w:val="99"/>
          <w:sz w:val="32"/>
          <w:szCs w:val="32"/>
        </w:rPr>
        <w:t>展力、财政基本保障力大幅提升，实现更高水平更高质量的公共服务供需平衡。产业核心竞争力显著增强，成为区域现代服务业引领发展高地，高质量发展格局基本成型，率先实现新型工业化、信息化、城镇化、农业现代化，建成生态与创新双轮驱动、质量与结构同步优化的现代化经济体系。创新能力不断提升，生产方式和商业模式实现更高效率变革，</w:t>
      </w:r>
      <w:r>
        <w:rPr>
          <w:spacing w:val="13"/>
          <w:w w:val="99"/>
          <w:sz w:val="32"/>
          <w:szCs w:val="32"/>
        </w:rPr>
        <w:t>建成区域性特色产业研发创新高地。区域协调发展显著增强，</w:t>
      </w:r>
      <w:r>
        <w:rPr>
          <w:spacing w:val="20"/>
          <w:w w:val="99"/>
          <w:sz w:val="32"/>
          <w:szCs w:val="32"/>
        </w:rPr>
        <w:t>中心城区首位度和辐射带动力全面彰显，对周边地区的引领带动能力进一步提升，区域性消费中心地位得到巩固。改革</w:t>
      </w:r>
      <w:r>
        <w:rPr>
          <w:spacing w:val="12"/>
          <w:w w:val="99"/>
          <w:sz w:val="32"/>
          <w:szCs w:val="32"/>
        </w:rPr>
        <w:t>开放取得重大进展，实现资源配置方式的有效组合，市场化、</w:t>
      </w:r>
      <w:r>
        <w:rPr>
          <w:spacing w:val="20"/>
          <w:w w:val="99"/>
          <w:sz w:val="32"/>
          <w:szCs w:val="32"/>
        </w:rPr>
        <w:t>法治化、国际化营商环境基本形成，处在全区前列。对外开放高地建成，成为区市主要的国际化对外交往平台，开放不足短板得到基本破解，参与国内外经济合作和竞争新优势明</w:t>
      </w:r>
      <w:r>
        <w:rPr>
          <w:spacing w:val="15"/>
          <w:w w:val="99"/>
          <w:sz w:val="32"/>
          <w:szCs w:val="32"/>
        </w:rPr>
        <w:t>显增强。</w:t>
      </w:r>
    </w:p>
    <w:p w14:paraId="417B8DF4">
      <w:pPr>
        <w:spacing w:before="30" w:line="336" w:lineRule="auto"/>
        <w:ind w:left="233" w:right="342" w:firstLine="684"/>
        <w:jc w:val="both"/>
        <w:rPr>
          <w:sz w:val="32"/>
          <w:szCs w:val="32"/>
        </w:rPr>
      </w:pPr>
      <w:r>
        <w:rPr>
          <w:rFonts w:ascii="Times New Roman" w:hAnsi="Times New Roman" w:eastAsia="Times New Roman"/>
          <w:b/>
          <w:spacing w:val="12"/>
          <w:w w:val="99"/>
          <w:sz w:val="32"/>
          <w:szCs w:val="32"/>
        </w:rPr>
        <w:t>——</w:t>
      </w:r>
      <w:r>
        <w:rPr>
          <w:b/>
          <w:i/>
          <w:spacing w:val="24"/>
          <w:w w:val="99"/>
          <w:sz w:val="32"/>
          <w:szCs w:val="32"/>
        </w:rPr>
        <w:t>民族团结实现大进步。</w:t>
      </w:r>
      <w:r>
        <w:rPr>
          <w:spacing w:val="19"/>
          <w:w w:val="99"/>
          <w:sz w:val="32"/>
          <w:szCs w:val="32"/>
        </w:rPr>
        <w:t>坚持民族区域自治制度，促</w:t>
      </w:r>
      <w:r>
        <w:rPr>
          <w:spacing w:val="20"/>
          <w:w w:val="99"/>
          <w:sz w:val="32"/>
          <w:szCs w:val="32"/>
        </w:rPr>
        <w:t>进各民族共同团结进步、共同繁荣发展，守好促进民族团结生命线，提升全国民族团结进步示范区创建成果。深化民族团结进步教育，中华民族共同体意识扎根全民，各民族交往</w:t>
      </w:r>
    </w:p>
    <w:p w14:paraId="4A20F23D">
      <w:pPr>
        <w:spacing w:before="43" w:line="336" w:lineRule="auto"/>
        <w:ind w:left="193" w:right="342"/>
        <w:jc w:val="both"/>
        <w:rPr>
          <w:sz w:val="32"/>
          <w:szCs w:val="32"/>
        </w:rPr>
      </w:pPr>
      <w:r>
        <w:rPr>
          <w:spacing w:val="20"/>
          <w:w w:val="99"/>
          <w:sz w:val="32"/>
          <w:szCs w:val="32"/>
        </w:rPr>
        <w:t>交流交融不断深化，民族团结、宗教和顺，各族人民守望相助一家亲。法治政府、法治社会基本建成，与践行新发展理念、推动高质量发展相适应的制度体系和高水平治理效能更加成熟定型，基本实现社会治理体系和治理能力现代化，法</w:t>
      </w:r>
      <w:r>
        <w:rPr>
          <w:spacing w:val="19"/>
          <w:w w:val="99"/>
          <w:sz w:val="32"/>
          <w:szCs w:val="32"/>
        </w:rPr>
        <w:t>治金凤、平安金凤建设达到更高水平。</w:t>
      </w:r>
    </w:p>
    <w:p w14:paraId="6CF9FC27">
      <w:pPr>
        <w:spacing w:before="10" w:line="336" w:lineRule="auto"/>
        <w:ind w:left="193" w:right="273" w:firstLine="684"/>
        <w:jc w:val="both"/>
        <w:rPr>
          <w:sz w:val="32"/>
          <w:szCs w:val="32"/>
        </w:rPr>
      </w:pPr>
      <w:r>
        <w:rPr>
          <w:rFonts w:ascii="Times New Roman" w:hAnsi="Times New Roman" w:eastAsia="Times New Roman"/>
          <w:b/>
          <w:spacing w:val="12"/>
          <w:w w:val="99"/>
          <w:sz w:val="32"/>
          <w:szCs w:val="32"/>
        </w:rPr>
        <w:t>——</w:t>
      </w:r>
      <w:r>
        <w:rPr>
          <w:b/>
          <w:spacing w:val="26"/>
          <w:w w:val="99"/>
          <w:sz w:val="32"/>
          <w:szCs w:val="32"/>
        </w:rPr>
        <w:t>环境优美实现大突破。</w:t>
      </w:r>
      <w:r>
        <w:rPr>
          <w:spacing w:val="23"/>
          <w:w w:val="99"/>
          <w:sz w:val="32"/>
          <w:szCs w:val="32"/>
        </w:rPr>
        <w:t>守好改善生态环境生命线，建设黄河流域生态保护和高质量发展先行区的引领区目标基本实现，在全区的生态节点、生态屏障、生态通道的重要作用进一步凸显。绿水青山就是金山银山的理念深入人心，绿色生产生活方式广泛形成，生态环境持续向好，生态经济发展取得显著成效，主要污染物排放达到国家、自治区、银川</w:t>
      </w:r>
      <w:r>
        <w:rPr>
          <w:spacing w:val="10"/>
          <w:w w:val="99"/>
          <w:sz w:val="32"/>
          <w:szCs w:val="32"/>
        </w:rPr>
        <w:t>市要求，万元</w:t>
      </w:r>
      <w:r>
        <w:rPr>
          <w:spacing w:val="-55"/>
          <w:sz w:val="32"/>
          <w:szCs w:val="32"/>
        </w:rPr>
        <w:t xml:space="preserve"> </w:t>
      </w:r>
      <w:r>
        <w:rPr>
          <w:rFonts w:ascii="Times New Roman" w:hAnsi="Times New Roman" w:eastAsia="Times New Roman"/>
          <w:spacing w:val="7"/>
          <w:w w:val="99"/>
          <w:sz w:val="32"/>
          <w:szCs w:val="32"/>
        </w:rPr>
        <w:t>G</w:t>
      </w:r>
      <w:r>
        <w:rPr>
          <w:rFonts w:ascii="Times New Roman" w:hAnsi="Times New Roman" w:eastAsia="Times New Roman"/>
          <w:spacing w:val="12"/>
          <w:w w:val="99"/>
          <w:sz w:val="32"/>
          <w:szCs w:val="32"/>
        </w:rPr>
        <w:t>D</w:t>
      </w:r>
      <w:r>
        <w:rPr>
          <w:rFonts w:ascii="Times New Roman" w:hAnsi="Times New Roman" w:eastAsia="Times New Roman"/>
          <w:w w:val="99"/>
          <w:sz w:val="32"/>
          <w:szCs w:val="32"/>
        </w:rPr>
        <w:t>P</w:t>
      </w:r>
      <w:r>
        <w:rPr>
          <w:rFonts w:ascii="Times New Roman" w:hAnsi="Times New Roman" w:eastAsia="Times New Roman"/>
          <w:spacing w:val="21"/>
          <w:sz w:val="32"/>
          <w:szCs w:val="32"/>
        </w:rPr>
        <w:t xml:space="preserve"> </w:t>
      </w:r>
      <w:r>
        <w:rPr>
          <w:spacing w:val="16"/>
          <w:w w:val="99"/>
          <w:sz w:val="32"/>
          <w:szCs w:val="32"/>
        </w:rPr>
        <w:t>能耗水平居西北地区前列，碳排放达峰后</w:t>
      </w:r>
      <w:r>
        <w:rPr>
          <w:spacing w:val="23"/>
          <w:w w:val="99"/>
          <w:sz w:val="32"/>
          <w:szCs w:val="32"/>
        </w:rPr>
        <w:t>稳中有降，水资源节约集约利用水平全国领先，金凤的天更</w:t>
      </w:r>
      <w:r>
        <w:rPr>
          <w:spacing w:val="19"/>
          <w:w w:val="99"/>
          <w:sz w:val="32"/>
          <w:szCs w:val="32"/>
        </w:rPr>
        <w:t>蓝、地更绿、水更清、环境更优美。</w:t>
      </w:r>
    </w:p>
    <w:p w14:paraId="4D4B56E2">
      <w:pPr>
        <w:spacing w:before="18" w:line="336" w:lineRule="auto"/>
        <w:ind w:left="193" w:right="273" w:firstLine="684"/>
        <w:jc w:val="both"/>
        <w:rPr>
          <w:sz w:val="32"/>
          <w:szCs w:val="32"/>
        </w:rPr>
      </w:pPr>
      <w:r>
        <w:rPr>
          <w:rFonts w:ascii="Times New Roman" w:hAnsi="Times New Roman" w:eastAsia="Times New Roman"/>
          <w:b/>
          <w:spacing w:val="12"/>
          <w:w w:val="99"/>
          <w:sz w:val="32"/>
          <w:szCs w:val="32"/>
        </w:rPr>
        <w:t>——</w:t>
      </w:r>
      <w:r>
        <w:rPr>
          <w:b/>
          <w:spacing w:val="26"/>
          <w:w w:val="99"/>
          <w:sz w:val="32"/>
          <w:szCs w:val="32"/>
        </w:rPr>
        <w:t>人民富裕实现大提升。</w:t>
      </w:r>
      <w:r>
        <w:rPr>
          <w:spacing w:val="23"/>
          <w:w w:val="99"/>
          <w:sz w:val="32"/>
          <w:szCs w:val="32"/>
        </w:rPr>
        <w:t>基本建成文化强区、教育强区，健康金凤达到更高水平，人民素质和社会文明程度达到</w:t>
      </w:r>
      <w:r>
        <w:rPr>
          <w:spacing w:val="13"/>
          <w:w w:val="99"/>
          <w:sz w:val="32"/>
          <w:szCs w:val="32"/>
        </w:rPr>
        <w:t>新高度，城乡居民收入较</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02</w:t>
      </w:r>
      <w:r>
        <w:rPr>
          <w:rFonts w:ascii="Times New Roman" w:hAnsi="Times New Roman" w:eastAsia="Times New Roman"/>
          <w:w w:val="99"/>
          <w:sz w:val="32"/>
          <w:szCs w:val="32"/>
        </w:rPr>
        <w:t>0</w:t>
      </w:r>
      <w:r>
        <w:rPr>
          <w:rFonts w:ascii="Times New Roman" w:hAnsi="Times New Roman" w:eastAsia="Times New Roman"/>
          <w:spacing w:val="22"/>
          <w:sz w:val="32"/>
          <w:szCs w:val="32"/>
        </w:rPr>
        <w:t xml:space="preserve"> </w:t>
      </w:r>
      <w:r>
        <w:rPr>
          <w:spacing w:val="13"/>
          <w:w w:val="99"/>
          <w:sz w:val="32"/>
          <w:szCs w:val="32"/>
        </w:rPr>
        <w:t>年翻一番，中等收入群体显著</w:t>
      </w:r>
      <w:r>
        <w:rPr>
          <w:spacing w:val="23"/>
          <w:w w:val="99"/>
          <w:sz w:val="32"/>
          <w:szCs w:val="32"/>
        </w:rPr>
        <w:t>扩大，城乡区域发展差距和居民生活水平差距显著缩小，各级各类教育普及程度、人均预期寿命、社会保障待遇水平走在全区前列，公共服务均等化和高质量基本实现，人民生活更加美好，人民群众获得感、幸福感、安全感显著增强，在幼有所育、学有所教、劳有所得、病有所医、老有所养、住</w:t>
      </w:r>
    </w:p>
    <w:p w14:paraId="421CA946">
      <w:pPr>
        <w:spacing w:line="336" w:lineRule="auto"/>
        <w:jc w:val="both"/>
        <w:sectPr>
          <w:footerReference r:id="rId16" w:type="default"/>
          <w:footerReference r:id="rId17" w:type="even"/>
          <w:pgSz w:w="11910" w:h="16840"/>
          <w:pgMar w:top="1780" w:right="1220" w:bottom="1160" w:left="1280" w:header="0" w:footer="975" w:gutter="0"/>
          <w:pgNumType w:start="33"/>
          <w:cols w:space="720" w:num="1"/>
        </w:sectPr>
      </w:pPr>
    </w:p>
    <w:p w14:paraId="6381EA03">
      <w:pPr>
        <w:spacing w:before="43" w:line="336" w:lineRule="auto"/>
        <w:ind w:left="193" w:right="275"/>
        <w:rPr>
          <w:sz w:val="32"/>
          <w:szCs w:val="32"/>
        </w:rPr>
      </w:pPr>
      <w:r>
        <w:rPr>
          <w:spacing w:val="23"/>
          <w:w w:val="99"/>
          <w:sz w:val="32"/>
          <w:szCs w:val="32"/>
        </w:rPr>
        <w:t>有所居、弱有所扶上取得高质量进展，人的全面发展、全体</w:t>
      </w:r>
      <w:r>
        <w:rPr>
          <w:spacing w:val="19"/>
          <w:w w:val="99"/>
          <w:sz w:val="32"/>
          <w:szCs w:val="32"/>
        </w:rPr>
        <w:t>人民共同富裕取得更为明显的实质性进展。</w:t>
      </w:r>
    </w:p>
    <w:p w14:paraId="09FB6EDA">
      <w:pPr>
        <w:spacing w:before="5"/>
        <w:rPr>
          <w:sz w:val="29"/>
          <w:szCs w:val="32"/>
        </w:rPr>
      </w:pPr>
    </w:p>
    <w:p w14:paraId="0DD85B0B">
      <w:pPr>
        <w:tabs>
          <w:tab w:val="left" w:pos="2507"/>
        </w:tabs>
        <w:spacing w:before="1"/>
        <w:ind w:left="1062"/>
        <w:rPr>
          <w:rFonts w:ascii="方正小标宋简体" w:eastAsia="方正小标宋简体"/>
          <w:b/>
          <w:sz w:val="36"/>
        </w:rPr>
      </w:pPr>
      <w:r>
        <w:rPr>
          <w:rFonts w:hint="eastAsia" w:ascii="方正小标宋简体" w:eastAsia="方正小标宋简体"/>
          <w:b/>
          <w:w w:val="95"/>
          <w:sz w:val="36"/>
        </w:rPr>
        <w:t>第三</w:t>
      </w:r>
      <w:r>
        <w:rPr>
          <w:rFonts w:hint="eastAsia" w:ascii="方正小标宋简体" w:eastAsia="方正小标宋简体"/>
          <w:b/>
          <w:spacing w:val="-10"/>
          <w:w w:val="95"/>
          <w:sz w:val="36"/>
        </w:rPr>
        <w:t>篇</w:t>
      </w:r>
      <w:r>
        <w:rPr>
          <w:rFonts w:hint="eastAsia" w:ascii="方正小标宋简体" w:eastAsia="方正小标宋简体"/>
          <w:b/>
          <w:sz w:val="36"/>
        </w:rPr>
        <w:tab/>
      </w:r>
      <w:r>
        <w:rPr>
          <w:rFonts w:hint="eastAsia" w:ascii="方正小标宋简体" w:eastAsia="方正小标宋简体"/>
          <w:b/>
          <w:w w:val="95"/>
          <w:sz w:val="36"/>
        </w:rPr>
        <w:t>聚焦转型升级，厚植产业发展新优</w:t>
      </w:r>
      <w:r>
        <w:rPr>
          <w:rFonts w:hint="eastAsia" w:ascii="方正小标宋简体" w:eastAsia="方正小标宋简体"/>
          <w:b/>
          <w:spacing w:val="-10"/>
          <w:w w:val="95"/>
          <w:sz w:val="36"/>
        </w:rPr>
        <w:t>势</w:t>
      </w:r>
    </w:p>
    <w:p w14:paraId="4029712A">
      <w:pPr>
        <w:spacing w:before="7"/>
        <w:rPr>
          <w:rFonts w:ascii="方正小标宋简体"/>
          <w:b/>
          <w:sz w:val="35"/>
          <w:szCs w:val="32"/>
        </w:rPr>
      </w:pPr>
    </w:p>
    <w:p w14:paraId="10E72CA1">
      <w:pPr>
        <w:ind w:left="1033"/>
        <w:rPr>
          <w:rFonts w:ascii="宋体" w:eastAsia="宋体"/>
          <w:b/>
          <w:sz w:val="30"/>
        </w:rPr>
      </w:pPr>
      <w:r>
        <w:rPr>
          <w:rFonts w:hint="eastAsia" w:ascii="宋体" w:eastAsia="宋体"/>
          <w:b/>
          <w:sz w:val="30"/>
        </w:rPr>
        <w:t>第三章</w:t>
      </w:r>
      <w:r>
        <w:rPr>
          <w:rFonts w:hint="eastAsia" w:ascii="宋体" w:eastAsia="宋体"/>
          <w:b/>
          <w:spacing w:val="45"/>
          <w:w w:val="150"/>
          <w:sz w:val="30"/>
        </w:rPr>
        <w:t xml:space="preserve"> </w:t>
      </w:r>
      <w:r>
        <w:rPr>
          <w:rFonts w:hint="eastAsia" w:ascii="宋体" w:eastAsia="宋体"/>
          <w:b/>
          <w:spacing w:val="-1"/>
          <w:sz w:val="30"/>
        </w:rPr>
        <w:t>构建高质量现代产业体系</w:t>
      </w:r>
    </w:p>
    <w:p w14:paraId="0FA7E433">
      <w:pPr>
        <w:spacing w:before="8"/>
        <w:rPr>
          <w:rFonts w:ascii="宋体"/>
          <w:b/>
          <w:szCs w:val="32"/>
        </w:rPr>
      </w:pPr>
    </w:p>
    <w:p w14:paraId="36EA257C">
      <w:pPr>
        <w:spacing w:line="357" w:lineRule="auto"/>
        <w:ind w:left="193" w:right="251" w:firstLine="684"/>
        <w:jc w:val="both"/>
        <w:rPr>
          <w:sz w:val="32"/>
          <w:szCs w:val="32"/>
        </w:rPr>
      </w:pPr>
      <w:r>
        <w:rPr>
          <w:spacing w:val="23"/>
          <w:w w:val="99"/>
          <w:sz w:val="32"/>
          <w:szCs w:val="32"/>
        </w:rPr>
        <w:t>按照“立足宁夏、服务全国、面向世界”的思路，以创新为第一动力，实施“三产富区”战略，全力推动服务业高质量发展，推动工业转型升级，加快发展都市型农业，构建高质量现代产业体系。进一步融入服务自治区、银川市九大特色产业发展，依托金凤所有，发挥金凤所能，围绕现代服务业、数字经济、品牌农业、总部经济、文化旅游五大优势</w:t>
      </w:r>
      <w:r>
        <w:rPr>
          <w:spacing w:val="6"/>
          <w:w w:val="99"/>
          <w:sz w:val="32"/>
          <w:szCs w:val="32"/>
        </w:rPr>
        <w:t>主导产业，推动经济体系优化升级，加快产业向高端化、绿色</w:t>
      </w:r>
      <w:r>
        <w:rPr>
          <w:w w:val="99"/>
          <w:sz w:val="32"/>
          <w:szCs w:val="32"/>
        </w:rPr>
        <w:t>化、智能化、融合化方向发展，推动经济发展质量变革、效率变革、动力变革，走出一条高质量发展的新路子。</w:t>
      </w:r>
    </w:p>
    <w:p w14:paraId="4FACDF49">
      <w:pPr>
        <w:rPr>
          <w:sz w:val="32"/>
          <w:szCs w:val="32"/>
        </w:rPr>
      </w:pPr>
    </w:p>
    <w:p w14:paraId="35FEDA2C">
      <w:pPr>
        <w:spacing w:before="276"/>
        <w:ind w:left="2428" w:right="2509"/>
        <w:jc w:val="center"/>
        <w:outlineLvl w:val="0"/>
        <w:rPr>
          <w:rFonts w:ascii="宋体" w:hAnsi="Microsoft JhengHei" w:eastAsia="宋体" w:cs="Microsoft JhengHei"/>
          <w:b/>
          <w:bCs/>
          <w:sz w:val="32"/>
          <w:szCs w:val="32"/>
        </w:rPr>
      </w:pPr>
      <w:r>
        <w:rPr>
          <w:rFonts w:hint="eastAsia" w:ascii="宋体" w:hAnsi="Microsoft JhengHei" w:eastAsia="宋体" w:cs="Microsoft JhengHei"/>
          <w:b/>
          <w:bCs/>
          <w:spacing w:val="24"/>
          <w:sz w:val="32"/>
          <w:szCs w:val="32"/>
        </w:rPr>
        <w:t>第一</w:t>
      </w:r>
      <w:r>
        <w:rPr>
          <w:rFonts w:hint="eastAsia" w:ascii="宋体" w:hAnsi="Microsoft JhengHei" w:eastAsia="宋体" w:cs="Microsoft JhengHei"/>
          <w:b/>
          <w:bCs/>
          <w:spacing w:val="70"/>
          <w:sz w:val="32"/>
          <w:szCs w:val="32"/>
        </w:rPr>
        <w:t>节 促</w:t>
      </w:r>
      <w:r>
        <w:rPr>
          <w:rFonts w:hint="eastAsia" w:ascii="宋体" w:hAnsi="Microsoft JhengHei" w:eastAsia="宋体" w:cs="Microsoft JhengHei"/>
          <w:b/>
          <w:bCs/>
          <w:spacing w:val="24"/>
          <w:sz w:val="32"/>
          <w:szCs w:val="32"/>
        </w:rPr>
        <w:t>进服务业高端发</w:t>
      </w:r>
      <w:r>
        <w:rPr>
          <w:rFonts w:hint="eastAsia" w:ascii="宋体" w:hAnsi="Microsoft JhengHei" w:eastAsia="宋体" w:cs="Microsoft JhengHei"/>
          <w:b/>
          <w:bCs/>
          <w:spacing w:val="-10"/>
          <w:sz w:val="32"/>
          <w:szCs w:val="32"/>
        </w:rPr>
        <w:t>展</w:t>
      </w:r>
    </w:p>
    <w:p w14:paraId="0D049DFC">
      <w:pPr>
        <w:spacing w:before="2"/>
        <w:rPr>
          <w:rFonts w:ascii="宋体"/>
          <w:b/>
          <w:sz w:val="25"/>
          <w:szCs w:val="32"/>
        </w:rPr>
      </w:pPr>
    </w:p>
    <w:p w14:paraId="052D716A">
      <w:pPr>
        <w:spacing w:line="340" w:lineRule="auto"/>
        <w:ind w:left="193" w:right="275" w:firstLine="640"/>
        <w:jc w:val="both"/>
        <w:rPr>
          <w:sz w:val="32"/>
          <w:szCs w:val="32"/>
        </w:rPr>
      </w:pPr>
      <w:r>
        <w:rPr>
          <w:spacing w:val="6"/>
          <w:w w:val="99"/>
          <w:sz w:val="32"/>
          <w:szCs w:val="32"/>
        </w:rPr>
        <w:t>紧跟消费需求、紧贴生产需要，坚持高端引领，围绕打造</w:t>
      </w:r>
      <w:r>
        <w:rPr>
          <w:spacing w:val="23"/>
          <w:w w:val="99"/>
          <w:sz w:val="32"/>
          <w:szCs w:val="32"/>
        </w:rPr>
        <w:t>银川现代服务业高质量发展核心区的目标，以阅海湾中央商</w:t>
      </w:r>
      <w:r>
        <w:rPr>
          <w:spacing w:val="25"/>
          <w:w w:val="99"/>
          <w:sz w:val="32"/>
          <w:szCs w:val="32"/>
        </w:rPr>
        <w:t>务区</w:t>
      </w:r>
      <w:r>
        <w:rPr>
          <w:spacing w:val="26"/>
          <w:w w:val="99"/>
          <w:sz w:val="32"/>
          <w:szCs w:val="32"/>
        </w:rPr>
        <w:t>（</w:t>
      </w:r>
      <w:r>
        <w:rPr>
          <w:spacing w:val="24"/>
          <w:w w:val="99"/>
          <w:sz w:val="32"/>
          <w:szCs w:val="32"/>
        </w:rPr>
        <w:t>丝路经济园）</w:t>
      </w:r>
      <w:r>
        <w:rPr>
          <w:spacing w:val="22"/>
          <w:w w:val="99"/>
          <w:sz w:val="32"/>
          <w:szCs w:val="32"/>
        </w:rPr>
        <w:t>为核心，以金凤主城区六大商圈等为主</w:t>
      </w:r>
      <w:r>
        <w:rPr>
          <w:spacing w:val="23"/>
          <w:w w:val="99"/>
          <w:sz w:val="32"/>
          <w:szCs w:val="32"/>
        </w:rPr>
        <w:t>要节点，重点发展数字经济、现代商贸、现代金融、总部经济四大支撑产业，加快发展科技服务、人力资源服务、健康</w:t>
      </w:r>
    </w:p>
    <w:p w14:paraId="59B88944">
      <w:pPr>
        <w:spacing w:line="340" w:lineRule="auto"/>
        <w:jc w:val="both"/>
        <w:sectPr>
          <w:pgSz w:w="11910" w:h="16840"/>
          <w:pgMar w:top="1780" w:right="1220" w:bottom="1160" w:left="1280" w:header="0" w:footer="975" w:gutter="0"/>
          <w:cols w:space="720" w:num="1"/>
        </w:sectPr>
      </w:pPr>
    </w:p>
    <w:p w14:paraId="20E9D6E8">
      <w:pPr>
        <w:spacing w:before="28" w:line="340" w:lineRule="auto"/>
        <w:ind w:left="193" w:right="273"/>
        <w:rPr>
          <w:sz w:val="32"/>
          <w:szCs w:val="32"/>
        </w:rPr>
      </w:pPr>
      <w:r>
        <w:rPr>
          <w:spacing w:val="23"/>
          <w:w w:val="99"/>
          <w:sz w:val="32"/>
          <w:szCs w:val="32"/>
        </w:rPr>
        <w:t>养老、文化旅游、家政服务五大成长型产业，培育发展新型</w:t>
      </w:r>
      <w:r>
        <w:rPr>
          <w:spacing w:val="20"/>
          <w:w w:val="99"/>
          <w:sz w:val="32"/>
          <w:szCs w:val="32"/>
        </w:rPr>
        <w:t>经济形态，</w:t>
      </w:r>
      <w:r>
        <w:rPr>
          <w:spacing w:val="-131"/>
          <w:sz w:val="32"/>
          <w:szCs w:val="32"/>
        </w:rPr>
        <w:t xml:space="preserve"> </w:t>
      </w:r>
      <w:r>
        <w:rPr>
          <w:spacing w:val="14"/>
          <w:w w:val="99"/>
          <w:sz w:val="32"/>
          <w:szCs w:val="32"/>
        </w:rPr>
        <w:t>打造</w:t>
      </w:r>
      <w:r>
        <w:rPr>
          <w:spacing w:val="-47"/>
          <w:sz w:val="32"/>
          <w:szCs w:val="32"/>
        </w:rPr>
        <w:t xml:space="preserve"> </w:t>
      </w:r>
      <w:r>
        <w:rPr>
          <w:rFonts w:ascii="Times New Roman" w:eastAsia="Times New Roman"/>
          <w:spacing w:val="6"/>
          <w:w w:val="99"/>
          <w:sz w:val="32"/>
          <w:szCs w:val="32"/>
        </w:rPr>
        <w:t>1</w:t>
      </w:r>
      <w:r>
        <w:rPr>
          <w:rFonts w:ascii="Times New Roman" w:eastAsia="Times New Roman"/>
          <w:spacing w:val="11"/>
          <w:w w:val="99"/>
          <w:sz w:val="32"/>
          <w:szCs w:val="32"/>
        </w:rPr>
        <w:t>-</w:t>
      </w:r>
      <w:r>
        <w:rPr>
          <w:rFonts w:ascii="Times New Roman" w:eastAsia="Times New Roman"/>
          <w:w w:val="99"/>
          <w:sz w:val="32"/>
          <w:szCs w:val="32"/>
        </w:rPr>
        <w:t>2</w:t>
      </w:r>
      <w:r>
        <w:rPr>
          <w:rFonts w:ascii="Times New Roman" w:eastAsia="Times New Roman"/>
          <w:spacing w:val="26"/>
          <w:sz w:val="32"/>
          <w:szCs w:val="32"/>
        </w:rPr>
        <w:t xml:space="preserve"> </w:t>
      </w:r>
      <w:r>
        <w:rPr>
          <w:spacing w:val="24"/>
          <w:w w:val="99"/>
          <w:sz w:val="32"/>
          <w:szCs w:val="32"/>
        </w:rPr>
        <w:t>个自治区级服务业功能区和集聚区，</w:t>
      </w:r>
      <w:r>
        <w:rPr>
          <w:spacing w:val="-131"/>
          <w:sz w:val="32"/>
          <w:szCs w:val="32"/>
        </w:rPr>
        <w:t xml:space="preserve"> </w:t>
      </w:r>
      <w:r>
        <w:rPr>
          <w:spacing w:val="-12"/>
          <w:w w:val="99"/>
          <w:sz w:val="32"/>
          <w:szCs w:val="32"/>
        </w:rPr>
        <w:t>构</w:t>
      </w:r>
    </w:p>
    <w:p w14:paraId="45E6542E">
      <w:pPr>
        <w:spacing w:line="340" w:lineRule="auto"/>
        <w:ind w:left="193" w:right="273"/>
        <w:rPr>
          <w:sz w:val="32"/>
          <w:szCs w:val="32"/>
        </w:rPr>
      </w:pPr>
      <w:r>
        <w:rPr>
          <w:spacing w:val="24"/>
          <w:sz w:val="32"/>
          <w:szCs w:val="32"/>
        </w:rPr>
        <w:t>建</w:t>
      </w:r>
      <w:r>
        <w:rPr>
          <w:spacing w:val="15"/>
          <w:sz w:val="32"/>
          <w:szCs w:val="32"/>
        </w:rPr>
        <w:t>“</w:t>
      </w:r>
      <w:r>
        <w:rPr>
          <w:rFonts w:ascii="Times New Roman" w:hAnsi="Times New Roman" w:eastAsia="Times New Roman"/>
          <w:spacing w:val="15"/>
          <w:sz w:val="32"/>
          <w:szCs w:val="32"/>
        </w:rPr>
        <w:t>4+5+x</w:t>
      </w:r>
      <w:r>
        <w:rPr>
          <w:spacing w:val="15"/>
          <w:sz w:val="32"/>
          <w:szCs w:val="32"/>
        </w:rPr>
        <w:t>”</w:t>
      </w:r>
      <w:r>
        <w:rPr>
          <w:spacing w:val="24"/>
          <w:sz w:val="32"/>
          <w:szCs w:val="32"/>
        </w:rPr>
        <w:t>现代服务业体系</w:t>
      </w:r>
      <w:r>
        <w:rPr>
          <w:spacing w:val="-9"/>
          <w:sz w:val="32"/>
          <w:szCs w:val="32"/>
        </w:rPr>
        <w:t xml:space="preserve">，到 </w:t>
      </w:r>
      <w:r>
        <w:rPr>
          <w:rFonts w:ascii="Times New Roman" w:hAnsi="Times New Roman" w:eastAsia="Times New Roman"/>
          <w:sz w:val="32"/>
          <w:szCs w:val="32"/>
        </w:rPr>
        <w:t>2025</w:t>
      </w:r>
      <w:r>
        <w:rPr>
          <w:rFonts w:ascii="Times New Roman" w:hAnsi="Times New Roman" w:eastAsia="Times New Roman"/>
          <w:spacing w:val="-1"/>
          <w:sz w:val="32"/>
          <w:szCs w:val="32"/>
        </w:rPr>
        <w:t xml:space="preserve"> </w:t>
      </w:r>
      <w:r>
        <w:rPr>
          <w:spacing w:val="24"/>
          <w:sz w:val="32"/>
          <w:szCs w:val="32"/>
        </w:rPr>
        <w:t>年，金凤区服务业</w:t>
      </w:r>
      <w:r>
        <w:rPr>
          <w:sz w:val="32"/>
          <w:szCs w:val="32"/>
        </w:rPr>
        <w:t>增</w:t>
      </w:r>
      <w:r>
        <w:rPr>
          <w:spacing w:val="10"/>
          <w:sz w:val="32"/>
          <w:szCs w:val="32"/>
        </w:rPr>
        <w:t xml:space="preserve">加值占 </w:t>
      </w:r>
      <w:r>
        <w:rPr>
          <w:rFonts w:ascii="Times New Roman" w:hAnsi="Times New Roman" w:eastAsia="Times New Roman"/>
          <w:sz w:val="32"/>
          <w:szCs w:val="32"/>
        </w:rPr>
        <w:t>GDP</w:t>
      </w:r>
      <w:r>
        <w:rPr>
          <w:rFonts w:ascii="Times New Roman" w:hAnsi="Times New Roman" w:eastAsia="Times New Roman"/>
          <w:spacing w:val="21"/>
          <w:sz w:val="32"/>
          <w:szCs w:val="32"/>
        </w:rPr>
        <w:t xml:space="preserve"> </w:t>
      </w:r>
      <w:r>
        <w:rPr>
          <w:spacing w:val="12"/>
          <w:sz w:val="32"/>
          <w:szCs w:val="32"/>
        </w:rPr>
        <w:t xml:space="preserve">比重达到 </w:t>
      </w:r>
      <w:r>
        <w:rPr>
          <w:rFonts w:ascii="Times New Roman" w:hAnsi="Times New Roman" w:eastAsia="Times New Roman"/>
          <w:spacing w:val="10"/>
          <w:sz w:val="32"/>
          <w:szCs w:val="32"/>
        </w:rPr>
        <w:t>85%</w:t>
      </w:r>
      <w:r>
        <w:rPr>
          <w:sz w:val="32"/>
          <w:szCs w:val="32"/>
        </w:rPr>
        <w:t>。</w:t>
      </w:r>
    </w:p>
    <w:p w14:paraId="303830A5">
      <w:pPr>
        <w:spacing w:line="390" w:lineRule="exact"/>
        <w:ind w:left="877"/>
        <w:rPr>
          <w:rFonts w:ascii="黑体" w:eastAsia="黑体"/>
          <w:sz w:val="32"/>
          <w:szCs w:val="32"/>
        </w:rPr>
      </w:pPr>
      <w:r>
        <w:rPr>
          <w:rFonts w:ascii="黑体" w:eastAsia="黑体"/>
          <w:spacing w:val="18"/>
          <w:w w:val="95"/>
          <w:sz w:val="32"/>
          <w:szCs w:val="32"/>
        </w:rPr>
        <w:t>一、突出发展四大支撑产业</w:t>
      </w:r>
    </w:p>
    <w:p w14:paraId="76AEEBCD">
      <w:pPr>
        <w:spacing w:before="55"/>
        <w:ind w:left="877"/>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spacing w:val="24"/>
          <w:w w:val="95"/>
          <w:sz w:val="32"/>
          <w:szCs w:val="32"/>
        </w:rPr>
        <w:t>（一）大力发展数字经</w:t>
      </w:r>
      <w:r>
        <w:rPr>
          <w:rFonts w:ascii="Microsoft JhengHei" w:hAnsi="Microsoft JhengHei" w:eastAsia="Microsoft JhengHei" w:cs="Microsoft JhengHei"/>
          <w:b/>
          <w:bCs/>
          <w:spacing w:val="-10"/>
          <w:w w:val="95"/>
          <w:sz w:val="32"/>
          <w:szCs w:val="32"/>
        </w:rPr>
        <w:t>济</w:t>
      </w:r>
    </w:p>
    <w:p w14:paraId="2F990AB7">
      <w:pPr>
        <w:spacing w:before="98" w:line="338" w:lineRule="auto"/>
        <w:ind w:left="193" w:right="106" w:firstLine="684"/>
        <w:rPr>
          <w:sz w:val="32"/>
          <w:szCs w:val="32"/>
        </w:rPr>
      </w:pPr>
      <w:r>
        <w:rPr>
          <w:spacing w:val="23"/>
          <w:w w:val="99"/>
          <w:sz w:val="32"/>
          <w:szCs w:val="32"/>
        </w:rPr>
        <w:t>立足于数字产业化、产业数字化、跨界融合化，加快新型基础设施建设，完善政策支持，加大专业型人才建设，培</w:t>
      </w:r>
      <w:r>
        <w:rPr>
          <w:spacing w:val="16"/>
          <w:w w:val="99"/>
          <w:sz w:val="32"/>
          <w:szCs w:val="32"/>
        </w:rPr>
        <w:t>育数字经济产业集群，推动</w:t>
      </w:r>
      <w:r>
        <w:rPr>
          <w:spacing w:val="-55"/>
          <w:sz w:val="32"/>
          <w:szCs w:val="32"/>
        </w:rPr>
        <w:t xml:space="preserve"> </w:t>
      </w:r>
      <w:r>
        <w:rPr>
          <w:rFonts w:ascii="Times New Roman" w:hAnsi="Times New Roman" w:eastAsia="Times New Roman"/>
          <w:spacing w:val="8"/>
          <w:w w:val="99"/>
          <w:sz w:val="32"/>
          <w:szCs w:val="32"/>
        </w:rPr>
        <w:t>5</w:t>
      </w:r>
      <w:r>
        <w:rPr>
          <w:rFonts w:ascii="Times New Roman" w:hAnsi="Times New Roman" w:eastAsia="Times New Roman"/>
          <w:spacing w:val="16"/>
          <w:w w:val="99"/>
          <w:sz w:val="32"/>
          <w:szCs w:val="32"/>
        </w:rPr>
        <w:t>G</w:t>
      </w:r>
      <w:r>
        <w:rPr>
          <w:spacing w:val="12"/>
          <w:w w:val="99"/>
          <w:sz w:val="32"/>
          <w:szCs w:val="32"/>
        </w:rPr>
        <w:t>、物联网、大数据等新一代信</w:t>
      </w:r>
      <w:r>
        <w:rPr>
          <w:spacing w:val="13"/>
          <w:w w:val="99"/>
          <w:sz w:val="32"/>
          <w:szCs w:val="32"/>
        </w:rPr>
        <w:t>息技术在各行业广泛深度融合应用，推动数字经济创新发展，</w:t>
      </w:r>
      <w:r>
        <w:rPr>
          <w:spacing w:val="23"/>
          <w:w w:val="99"/>
          <w:sz w:val="32"/>
          <w:szCs w:val="32"/>
        </w:rPr>
        <w:t>深化十大数字化应用场景，打造区域大数据中心，探索布局区域超算中心，“十四五”期间，互联网数字经济增加值年</w:t>
      </w:r>
      <w:r>
        <w:rPr>
          <w:spacing w:val="14"/>
          <w:w w:val="99"/>
          <w:sz w:val="32"/>
          <w:szCs w:val="32"/>
        </w:rPr>
        <w:t>均增长</w:t>
      </w:r>
      <w:r>
        <w:rPr>
          <w:spacing w:val="-52"/>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0</w:t>
      </w:r>
      <w:r>
        <w:rPr>
          <w:rFonts w:ascii="Times New Roman" w:hAnsi="Times New Roman" w:eastAsia="Times New Roman"/>
          <w:spacing w:val="15"/>
          <w:w w:val="99"/>
          <w:sz w:val="32"/>
          <w:szCs w:val="32"/>
        </w:rPr>
        <w:t>%</w:t>
      </w:r>
      <w:r>
        <w:rPr>
          <w:spacing w:val="14"/>
          <w:w w:val="99"/>
          <w:sz w:val="32"/>
          <w:szCs w:val="32"/>
        </w:rPr>
        <w:t>左右。</w:t>
      </w:r>
    </w:p>
    <w:p w14:paraId="1D3CD00C">
      <w:pPr>
        <w:spacing w:line="328" w:lineRule="auto"/>
        <w:ind w:left="193" w:right="106" w:firstLine="643"/>
        <w:rPr>
          <w:sz w:val="32"/>
          <w:szCs w:val="32"/>
        </w:rPr>
      </w:pPr>
      <w:r>
        <w:rPr>
          <w:b/>
          <w:spacing w:val="28"/>
          <w:w w:val="99"/>
          <w:sz w:val="32"/>
          <w:szCs w:val="32"/>
        </w:rPr>
        <w:t>加快新型基础设施建设。全力推进</w:t>
      </w:r>
      <w:r>
        <w:rPr>
          <w:b/>
          <w:spacing w:val="-44"/>
          <w:sz w:val="32"/>
          <w:szCs w:val="32"/>
        </w:rPr>
        <w:t xml:space="preserve"> </w:t>
      </w:r>
      <w:r>
        <w:rPr>
          <w:rFonts w:ascii="Times New Roman" w:eastAsia="Times New Roman"/>
          <w:b/>
          <w:spacing w:val="8"/>
          <w:w w:val="99"/>
          <w:sz w:val="32"/>
          <w:szCs w:val="32"/>
        </w:rPr>
        <w:t>5</w:t>
      </w:r>
      <w:r>
        <w:rPr>
          <w:rFonts w:ascii="Times New Roman" w:eastAsia="Times New Roman"/>
          <w:b/>
          <w:w w:val="99"/>
          <w:sz w:val="32"/>
          <w:szCs w:val="32"/>
        </w:rPr>
        <w:t>G</w:t>
      </w:r>
      <w:r>
        <w:rPr>
          <w:rFonts w:ascii="Times New Roman" w:eastAsia="Times New Roman"/>
          <w:b/>
          <w:spacing w:val="27"/>
          <w:sz w:val="32"/>
          <w:szCs w:val="32"/>
        </w:rPr>
        <w:t xml:space="preserve"> </w:t>
      </w:r>
      <w:r>
        <w:rPr>
          <w:b/>
          <w:spacing w:val="31"/>
          <w:w w:val="99"/>
          <w:sz w:val="32"/>
          <w:szCs w:val="32"/>
        </w:rPr>
        <w:t>及物联网建设</w:t>
      </w:r>
      <w:r>
        <w:rPr>
          <w:w w:val="99"/>
          <w:sz w:val="32"/>
          <w:szCs w:val="32"/>
        </w:rPr>
        <w:t>，</w:t>
      </w:r>
      <w:r>
        <w:rPr>
          <w:spacing w:val="12"/>
          <w:w w:val="99"/>
          <w:sz w:val="32"/>
          <w:szCs w:val="32"/>
        </w:rPr>
        <w:t>新建</w:t>
      </w:r>
      <w:r>
        <w:rPr>
          <w:spacing w:val="-52"/>
          <w:sz w:val="32"/>
          <w:szCs w:val="32"/>
        </w:rPr>
        <w:t xml:space="preserve"> </w:t>
      </w:r>
      <w:r>
        <w:rPr>
          <w:rFonts w:ascii="Times New Roman" w:eastAsia="Times New Roman"/>
          <w:spacing w:val="6"/>
          <w:w w:val="99"/>
          <w:sz w:val="32"/>
          <w:szCs w:val="32"/>
        </w:rPr>
        <w:t>5</w:t>
      </w:r>
      <w:r>
        <w:rPr>
          <w:rFonts w:ascii="Times New Roman" w:eastAsia="Times New Roman"/>
          <w:w w:val="99"/>
          <w:sz w:val="32"/>
          <w:szCs w:val="32"/>
        </w:rPr>
        <w:t>G</w:t>
      </w:r>
      <w:r>
        <w:rPr>
          <w:rFonts w:ascii="Times New Roman" w:eastAsia="Times New Roman"/>
          <w:spacing w:val="20"/>
          <w:sz w:val="32"/>
          <w:szCs w:val="32"/>
        </w:rPr>
        <w:t xml:space="preserve"> </w:t>
      </w:r>
      <w:r>
        <w:rPr>
          <w:spacing w:val="12"/>
          <w:w w:val="99"/>
          <w:sz w:val="32"/>
          <w:szCs w:val="32"/>
        </w:rPr>
        <w:t>基站</w:t>
      </w:r>
      <w:r>
        <w:rPr>
          <w:spacing w:val="-52"/>
          <w:sz w:val="32"/>
          <w:szCs w:val="32"/>
        </w:rPr>
        <w:t xml:space="preserve"> </w:t>
      </w:r>
      <w:r>
        <w:rPr>
          <w:rFonts w:ascii="Times New Roman" w:eastAsia="Times New Roman"/>
          <w:spacing w:val="8"/>
          <w:w w:val="99"/>
          <w:sz w:val="32"/>
          <w:szCs w:val="32"/>
        </w:rPr>
        <w:t>1</w:t>
      </w:r>
      <w:r>
        <w:rPr>
          <w:rFonts w:ascii="Times New Roman" w:eastAsia="Times New Roman"/>
          <w:spacing w:val="10"/>
          <w:w w:val="99"/>
          <w:sz w:val="32"/>
          <w:szCs w:val="32"/>
        </w:rPr>
        <w:t>20</w:t>
      </w:r>
      <w:r>
        <w:rPr>
          <w:rFonts w:ascii="Times New Roman" w:eastAsia="Times New Roman"/>
          <w:w w:val="99"/>
          <w:sz w:val="32"/>
          <w:szCs w:val="32"/>
        </w:rPr>
        <w:t>0</w:t>
      </w:r>
      <w:r>
        <w:rPr>
          <w:rFonts w:ascii="Times New Roman" w:eastAsia="Times New Roman"/>
          <w:spacing w:val="22"/>
          <w:sz w:val="32"/>
          <w:szCs w:val="32"/>
        </w:rPr>
        <w:t xml:space="preserve"> </w:t>
      </w:r>
      <w:r>
        <w:rPr>
          <w:spacing w:val="18"/>
          <w:w w:val="99"/>
          <w:sz w:val="32"/>
          <w:szCs w:val="32"/>
        </w:rPr>
        <w:t xml:space="preserve">余个，推动阅海湾中央商务区、六大商圈 </w:t>
      </w:r>
      <w:r>
        <w:rPr>
          <w:rFonts w:ascii="Times New Roman" w:eastAsia="Times New Roman"/>
          <w:spacing w:val="8"/>
          <w:w w:val="99"/>
          <w:sz w:val="32"/>
          <w:szCs w:val="32"/>
        </w:rPr>
        <w:t>5</w:t>
      </w:r>
      <w:r>
        <w:rPr>
          <w:rFonts w:ascii="Times New Roman" w:eastAsia="Times New Roman"/>
          <w:w w:val="99"/>
          <w:sz w:val="32"/>
          <w:szCs w:val="32"/>
        </w:rPr>
        <w:t>G</w:t>
      </w:r>
      <w:r>
        <w:rPr>
          <w:rFonts w:ascii="Times New Roman" w:eastAsia="Times New Roman"/>
          <w:spacing w:val="20"/>
          <w:sz w:val="32"/>
          <w:szCs w:val="32"/>
        </w:rPr>
        <w:t xml:space="preserve"> </w:t>
      </w:r>
      <w:r>
        <w:rPr>
          <w:spacing w:val="17"/>
          <w:w w:val="99"/>
          <w:sz w:val="32"/>
          <w:szCs w:val="32"/>
        </w:rPr>
        <w:t>全覆盖。探索</w:t>
      </w:r>
      <w:r>
        <w:rPr>
          <w:spacing w:val="-50"/>
          <w:sz w:val="32"/>
          <w:szCs w:val="32"/>
        </w:rPr>
        <w:t xml:space="preserve"> </w:t>
      </w:r>
      <w:r>
        <w:rPr>
          <w:rFonts w:ascii="Times New Roman" w:eastAsia="Times New Roman"/>
          <w:spacing w:val="6"/>
          <w:w w:val="99"/>
          <w:sz w:val="32"/>
          <w:szCs w:val="32"/>
        </w:rPr>
        <w:t>5</w:t>
      </w:r>
      <w:r>
        <w:rPr>
          <w:rFonts w:ascii="Times New Roman" w:eastAsia="Times New Roman"/>
          <w:w w:val="99"/>
          <w:sz w:val="32"/>
          <w:szCs w:val="32"/>
        </w:rPr>
        <w:t>G</w:t>
      </w:r>
      <w:r>
        <w:rPr>
          <w:rFonts w:ascii="Times New Roman" w:eastAsia="Times New Roman"/>
          <w:spacing w:val="23"/>
          <w:sz w:val="32"/>
          <w:szCs w:val="32"/>
        </w:rPr>
        <w:t xml:space="preserve"> </w:t>
      </w:r>
      <w:r>
        <w:rPr>
          <w:spacing w:val="19"/>
          <w:w w:val="99"/>
          <w:sz w:val="32"/>
          <w:szCs w:val="32"/>
        </w:rPr>
        <w:t>在智慧城市、智慧商圈、智慧教育、智</w:t>
      </w:r>
      <w:r>
        <w:rPr>
          <w:spacing w:val="23"/>
          <w:w w:val="99"/>
          <w:sz w:val="32"/>
          <w:szCs w:val="32"/>
        </w:rPr>
        <w:t>慧医疗、智慧农业、智慧政务等领域的试验和应用，推进骨干网、城域网和接入网建设，完成光纤网络改造普及，推进</w:t>
      </w:r>
      <w:r>
        <w:rPr>
          <w:spacing w:val="22"/>
          <w:w w:val="99"/>
          <w:sz w:val="32"/>
          <w:szCs w:val="32"/>
        </w:rPr>
        <w:t>重点公共场所免费</w:t>
      </w:r>
      <w:r>
        <w:rPr>
          <w:spacing w:val="-47"/>
          <w:sz w:val="32"/>
          <w:szCs w:val="32"/>
        </w:rPr>
        <w:t xml:space="preserve"> </w:t>
      </w:r>
      <w:r>
        <w:rPr>
          <w:rFonts w:ascii="Times New Roman" w:eastAsia="Times New Roman"/>
          <w:spacing w:val="8"/>
          <w:w w:val="99"/>
          <w:sz w:val="32"/>
          <w:szCs w:val="32"/>
        </w:rPr>
        <w:t>W</w:t>
      </w:r>
      <w:r>
        <w:rPr>
          <w:rFonts w:ascii="Times New Roman" w:eastAsia="Times New Roman"/>
          <w:spacing w:val="12"/>
          <w:w w:val="99"/>
          <w:sz w:val="32"/>
          <w:szCs w:val="32"/>
        </w:rPr>
        <w:t>i</w:t>
      </w:r>
      <w:r>
        <w:rPr>
          <w:rFonts w:ascii="Times New Roman" w:eastAsia="Times New Roman"/>
          <w:spacing w:val="11"/>
          <w:w w:val="99"/>
          <w:sz w:val="32"/>
          <w:szCs w:val="32"/>
        </w:rPr>
        <w:t>-</w:t>
      </w:r>
      <w:r>
        <w:rPr>
          <w:rFonts w:ascii="Times New Roman" w:eastAsia="Times New Roman"/>
          <w:spacing w:val="9"/>
          <w:w w:val="99"/>
          <w:sz w:val="32"/>
          <w:szCs w:val="32"/>
        </w:rPr>
        <w:t>F</w:t>
      </w:r>
      <w:r>
        <w:rPr>
          <w:rFonts w:ascii="Times New Roman" w:eastAsia="Times New Roman"/>
          <w:w w:val="99"/>
          <w:sz w:val="32"/>
          <w:szCs w:val="32"/>
        </w:rPr>
        <w:t>i</w:t>
      </w:r>
      <w:r>
        <w:rPr>
          <w:rFonts w:ascii="Times New Roman" w:eastAsia="Times New Roman"/>
          <w:spacing w:val="25"/>
          <w:sz w:val="32"/>
          <w:szCs w:val="32"/>
        </w:rPr>
        <w:t xml:space="preserve"> </w:t>
      </w:r>
      <w:r>
        <w:rPr>
          <w:spacing w:val="27"/>
          <w:w w:val="99"/>
          <w:sz w:val="32"/>
          <w:szCs w:val="32"/>
        </w:rPr>
        <w:t>建设。</w:t>
      </w:r>
      <w:r>
        <w:rPr>
          <w:b/>
          <w:spacing w:val="23"/>
          <w:w w:val="99"/>
          <w:sz w:val="32"/>
          <w:szCs w:val="32"/>
        </w:rPr>
        <w:t>推进数据信息中心建设，</w:t>
      </w:r>
      <w:r>
        <w:rPr>
          <w:b/>
          <w:spacing w:val="-133"/>
          <w:sz w:val="32"/>
          <w:szCs w:val="32"/>
        </w:rPr>
        <w:t xml:space="preserve"> </w:t>
      </w:r>
      <w:r>
        <w:rPr>
          <w:w w:val="99"/>
          <w:sz w:val="32"/>
          <w:szCs w:val="32"/>
        </w:rPr>
        <w:t>加</w:t>
      </w:r>
      <w:r>
        <w:rPr>
          <w:spacing w:val="29"/>
          <w:w w:val="99"/>
          <w:sz w:val="32"/>
          <w:szCs w:val="32"/>
        </w:rPr>
        <w:t>快推动银川城市数据湖</w:t>
      </w:r>
      <w:r>
        <w:rPr>
          <w:w w:val="99"/>
          <w:sz w:val="32"/>
          <w:szCs w:val="32"/>
        </w:rPr>
        <w:t>（</w:t>
      </w:r>
      <w:r>
        <w:rPr>
          <w:spacing w:val="-131"/>
          <w:sz w:val="32"/>
          <w:szCs w:val="32"/>
        </w:rPr>
        <w:t xml:space="preserve"> </w:t>
      </w:r>
      <w:r>
        <w:rPr>
          <w:rFonts w:ascii="Times New Roman" w:eastAsia="Times New Roman"/>
          <w:spacing w:val="6"/>
          <w:w w:val="99"/>
          <w:sz w:val="32"/>
          <w:szCs w:val="32"/>
        </w:rPr>
        <w:t>I</w:t>
      </w:r>
      <w:r>
        <w:rPr>
          <w:rFonts w:ascii="Times New Roman" w:eastAsia="Times New Roman"/>
          <w:spacing w:val="12"/>
          <w:w w:val="99"/>
          <w:sz w:val="32"/>
          <w:szCs w:val="32"/>
        </w:rPr>
        <w:t>D</w:t>
      </w:r>
      <w:r>
        <w:rPr>
          <w:rFonts w:ascii="Times New Roman" w:eastAsia="Times New Roman"/>
          <w:spacing w:val="24"/>
          <w:w w:val="99"/>
          <w:sz w:val="32"/>
          <w:szCs w:val="32"/>
        </w:rPr>
        <w:t>C</w:t>
      </w:r>
      <w:r>
        <w:rPr>
          <w:w w:val="99"/>
          <w:sz w:val="32"/>
          <w:szCs w:val="32"/>
        </w:rPr>
        <w:t>）</w:t>
      </w:r>
      <w:r>
        <w:rPr>
          <w:spacing w:val="-131"/>
          <w:sz w:val="32"/>
          <w:szCs w:val="32"/>
        </w:rPr>
        <w:t xml:space="preserve"> </w:t>
      </w:r>
      <w:r>
        <w:rPr>
          <w:spacing w:val="24"/>
          <w:w w:val="99"/>
          <w:sz w:val="32"/>
          <w:szCs w:val="32"/>
        </w:rPr>
        <w:t>项目落地见效，</w:t>
      </w:r>
      <w:r>
        <w:rPr>
          <w:spacing w:val="-131"/>
          <w:sz w:val="32"/>
          <w:szCs w:val="32"/>
        </w:rPr>
        <w:t xml:space="preserve"> </w:t>
      </w:r>
      <w:r>
        <w:rPr>
          <w:spacing w:val="23"/>
          <w:w w:val="99"/>
          <w:sz w:val="32"/>
          <w:szCs w:val="32"/>
        </w:rPr>
        <w:t>先期启动示</w:t>
      </w:r>
      <w:r>
        <w:rPr>
          <w:spacing w:val="11"/>
          <w:w w:val="99"/>
          <w:sz w:val="32"/>
          <w:szCs w:val="32"/>
        </w:rPr>
        <w:t>范湖工程，建设数据存储机房、数字经济展厅、城市大脑等，</w:t>
      </w:r>
      <w:r>
        <w:rPr>
          <w:spacing w:val="15"/>
          <w:w w:val="99"/>
          <w:sz w:val="32"/>
          <w:szCs w:val="32"/>
        </w:rPr>
        <w:t>形成</w:t>
      </w:r>
      <w:r>
        <w:rPr>
          <w:spacing w:val="-45"/>
          <w:sz w:val="32"/>
          <w:szCs w:val="32"/>
        </w:rPr>
        <w:t xml:space="preserve"> </w:t>
      </w:r>
      <w:r>
        <w:rPr>
          <w:rFonts w:ascii="Times New Roman" w:eastAsia="Times New Roman"/>
          <w:spacing w:val="8"/>
          <w:w w:val="99"/>
          <w:sz w:val="32"/>
          <w:szCs w:val="32"/>
        </w:rPr>
        <w:t>5</w:t>
      </w:r>
      <w:r>
        <w:rPr>
          <w:rFonts w:ascii="Times New Roman" w:eastAsia="Times New Roman"/>
          <w:spacing w:val="10"/>
          <w:w w:val="99"/>
          <w:sz w:val="32"/>
          <w:szCs w:val="32"/>
        </w:rPr>
        <w:t>0</w:t>
      </w:r>
      <w:r>
        <w:rPr>
          <w:rFonts w:ascii="Times New Roman" w:eastAsia="Times New Roman"/>
          <w:spacing w:val="12"/>
          <w:w w:val="99"/>
          <w:sz w:val="32"/>
          <w:szCs w:val="32"/>
        </w:rPr>
        <w:t>P</w:t>
      </w:r>
      <w:r>
        <w:rPr>
          <w:rFonts w:ascii="Times New Roman" w:eastAsia="Times New Roman"/>
          <w:w w:val="99"/>
          <w:sz w:val="32"/>
          <w:szCs w:val="32"/>
        </w:rPr>
        <w:t>B</w:t>
      </w:r>
      <w:r>
        <w:rPr>
          <w:rFonts w:ascii="Times New Roman" w:eastAsia="Times New Roman"/>
          <w:spacing w:val="26"/>
          <w:sz w:val="32"/>
          <w:szCs w:val="32"/>
        </w:rPr>
        <w:t xml:space="preserve"> </w:t>
      </w:r>
      <w:r>
        <w:rPr>
          <w:spacing w:val="26"/>
          <w:w w:val="99"/>
          <w:sz w:val="32"/>
          <w:szCs w:val="32"/>
        </w:rPr>
        <w:t>光磁一体融合存储能力，</w:t>
      </w:r>
      <w:r>
        <w:rPr>
          <w:spacing w:val="-131"/>
          <w:sz w:val="32"/>
          <w:szCs w:val="32"/>
        </w:rPr>
        <w:t xml:space="preserve"> </w:t>
      </w:r>
      <w:r>
        <w:rPr>
          <w:spacing w:val="26"/>
          <w:w w:val="99"/>
          <w:sz w:val="32"/>
          <w:szCs w:val="32"/>
        </w:rPr>
        <w:t>实现数据采集、数据存</w:t>
      </w:r>
      <w:r>
        <w:rPr>
          <w:spacing w:val="23"/>
          <w:w w:val="99"/>
          <w:sz w:val="32"/>
          <w:szCs w:val="32"/>
        </w:rPr>
        <w:t>储、数据清洗、数据分析挖掘、数据可视化、数据交换交易等功能，形成数字服务型经济新增长极。择机启动建设数据</w:t>
      </w:r>
    </w:p>
    <w:p w14:paraId="0C1B5A33">
      <w:pPr>
        <w:spacing w:line="328" w:lineRule="auto"/>
        <w:sectPr>
          <w:pgSz w:w="11910" w:h="16840"/>
          <w:pgMar w:top="1800" w:right="1220" w:bottom="1160" w:left="1280" w:header="0" w:footer="975" w:gutter="0"/>
          <w:cols w:space="720" w:num="1"/>
        </w:sectPr>
      </w:pPr>
    </w:p>
    <w:p w14:paraId="203B7AAF">
      <w:pPr>
        <w:spacing w:before="31" w:line="328" w:lineRule="auto"/>
        <w:ind w:left="193" w:right="270"/>
        <w:jc w:val="both"/>
        <w:rPr>
          <w:sz w:val="32"/>
          <w:szCs w:val="32"/>
        </w:rPr>
      </w:pPr>
      <w:r>
        <w:rPr>
          <w:spacing w:val="26"/>
          <w:w w:val="99"/>
          <w:sz w:val="32"/>
          <w:szCs w:val="32"/>
        </w:rPr>
        <w:t>湖</w:t>
      </w:r>
      <w:r>
        <w:rPr>
          <w:spacing w:val="24"/>
          <w:w w:val="99"/>
          <w:sz w:val="32"/>
          <w:szCs w:val="32"/>
        </w:rPr>
        <w:t>（</w:t>
      </w:r>
      <w:r>
        <w:rPr>
          <w:spacing w:val="26"/>
          <w:w w:val="99"/>
          <w:sz w:val="32"/>
          <w:szCs w:val="32"/>
        </w:rPr>
        <w:t>总湖）</w:t>
      </w:r>
      <w:r>
        <w:rPr>
          <w:spacing w:val="21"/>
          <w:w w:val="99"/>
          <w:sz w:val="32"/>
          <w:szCs w:val="32"/>
        </w:rPr>
        <w:t>建设，建设形成总计</w:t>
      </w:r>
      <w:r>
        <w:rPr>
          <w:spacing w:val="-47"/>
          <w:sz w:val="32"/>
          <w:szCs w:val="32"/>
        </w:rPr>
        <w:t xml:space="preserve"> </w:t>
      </w:r>
      <w:r>
        <w:rPr>
          <w:spacing w:val="6"/>
          <w:w w:val="99"/>
          <w:sz w:val="32"/>
          <w:szCs w:val="32"/>
        </w:rPr>
        <w:t>5</w:t>
      </w:r>
      <w:r>
        <w:rPr>
          <w:spacing w:val="13"/>
          <w:w w:val="99"/>
          <w:sz w:val="32"/>
          <w:szCs w:val="32"/>
        </w:rPr>
        <w:t>0</w:t>
      </w:r>
      <w:r>
        <w:rPr>
          <w:spacing w:val="10"/>
          <w:w w:val="99"/>
          <w:sz w:val="32"/>
          <w:szCs w:val="32"/>
        </w:rPr>
        <w:t>0P</w:t>
      </w:r>
      <w:r>
        <w:rPr>
          <w:w w:val="99"/>
          <w:sz w:val="32"/>
          <w:szCs w:val="32"/>
        </w:rPr>
        <w:t>B</w:t>
      </w:r>
      <w:r>
        <w:rPr>
          <w:spacing w:val="-56"/>
          <w:sz w:val="32"/>
          <w:szCs w:val="32"/>
        </w:rPr>
        <w:t xml:space="preserve"> </w:t>
      </w:r>
      <w:r>
        <w:rPr>
          <w:spacing w:val="21"/>
          <w:w w:val="99"/>
          <w:sz w:val="32"/>
          <w:szCs w:val="32"/>
        </w:rPr>
        <w:t>光磁一体融合存储能</w:t>
      </w:r>
      <w:r>
        <w:rPr>
          <w:spacing w:val="23"/>
          <w:w w:val="99"/>
          <w:sz w:val="32"/>
          <w:szCs w:val="32"/>
        </w:rPr>
        <w:t>力，支撑对海量、异构和实时数据的存储和传输，形成数据采集汇聚平台。有序推进已有大数据中心云平台部署运营，加强分布式计算基础设施和云计算中心建设，构建高性能计</w:t>
      </w:r>
      <w:r>
        <w:rPr>
          <w:spacing w:val="24"/>
          <w:w w:val="99"/>
          <w:sz w:val="32"/>
          <w:szCs w:val="32"/>
        </w:rPr>
        <w:t>算应用生态环境。</w:t>
      </w:r>
      <w:r>
        <w:rPr>
          <w:b/>
          <w:spacing w:val="25"/>
          <w:w w:val="99"/>
          <w:sz w:val="32"/>
          <w:szCs w:val="32"/>
        </w:rPr>
        <w:t>加快人工智能产业前瞻部署，</w:t>
      </w:r>
      <w:r>
        <w:rPr>
          <w:spacing w:val="19"/>
          <w:w w:val="99"/>
          <w:sz w:val="32"/>
          <w:szCs w:val="32"/>
        </w:rPr>
        <w:t>全力推进阅</w:t>
      </w:r>
      <w:r>
        <w:rPr>
          <w:spacing w:val="23"/>
          <w:w w:val="99"/>
          <w:sz w:val="32"/>
          <w:szCs w:val="32"/>
        </w:rPr>
        <w:t>海湾人工智能展示体验中心项目落地见效，以“前沿技术的展示区、智能生活的体验区”为目标定位，以“场景化、互动化、功能化”为形象定位，引进智慧教育、智慧医疗、智</w:t>
      </w:r>
      <w:r>
        <w:rPr>
          <w:spacing w:val="30"/>
          <w:w w:val="99"/>
          <w:sz w:val="32"/>
          <w:szCs w:val="32"/>
        </w:rPr>
        <w:t>慧家居、</w:t>
      </w:r>
      <w:r>
        <w:rPr>
          <w:rFonts w:ascii="Times New Roman" w:hAnsi="Times New Roman" w:eastAsia="Times New Roman"/>
          <w:spacing w:val="8"/>
          <w:w w:val="99"/>
          <w:sz w:val="32"/>
          <w:szCs w:val="32"/>
        </w:rPr>
        <w:t>5</w:t>
      </w:r>
      <w:r>
        <w:rPr>
          <w:rFonts w:ascii="Times New Roman" w:hAnsi="Times New Roman" w:eastAsia="Times New Roman"/>
          <w:w w:val="99"/>
          <w:sz w:val="32"/>
          <w:szCs w:val="32"/>
        </w:rPr>
        <w:t>G</w:t>
      </w:r>
      <w:r>
        <w:rPr>
          <w:rFonts w:ascii="Times New Roman" w:hAnsi="Times New Roman" w:eastAsia="Times New Roman"/>
          <w:spacing w:val="28"/>
          <w:sz w:val="32"/>
          <w:szCs w:val="32"/>
        </w:rPr>
        <w:t xml:space="preserve"> </w:t>
      </w:r>
      <w:r>
        <w:rPr>
          <w:spacing w:val="26"/>
          <w:w w:val="99"/>
          <w:sz w:val="32"/>
          <w:szCs w:val="32"/>
        </w:rPr>
        <w:t>电竞、智能物流等一批</w:t>
      </w:r>
      <w:r>
        <w:rPr>
          <w:spacing w:val="-45"/>
          <w:sz w:val="32"/>
          <w:szCs w:val="32"/>
        </w:rPr>
        <w:t xml:space="preserve"> </w:t>
      </w:r>
      <w:r>
        <w:rPr>
          <w:rFonts w:ascii="Times New Roman" w:hAnsi="Times New Roman" w:eastAsia="Times New Roman"/>
          <w:spacing w:val="8"/>
          <w:w w:val="99"/>
          <w:sz w:val="32"/>
          <w:szCs w:val="32"/>
        </w:rPr>
        <w:t>5</w:t>
      </w:r>
      <w:r>
        <w:rPr>
          <w:rFonts w:ascii="Times New Roman" w:hAnsi="Times New Roman" w:eastAsia="Times New Roman"/>
          <w:spacing w:val="12"/>
          <w:w w:val="99"/>
          <w:sz w:val="32"/>
          <w:szCs w:val="32"/>
        </w:rPr>
        <w:t>G</w:t>
      </w:r>
      <w:r>
        <w:rPr>
          <w:rFonts w:ascii="Times New Roman" w:hAnsi="Times New Roman" w:eastAsia="Times New Roman"/>
          <w:spacing w:val="9"/>
          <w:w w:val="99"/>
          <w:sz w:val="32"/>
          <w:szCs w:val="32"/>
        </w:rPr>
        <w:t>+</w:t>
      </w:r>
      <w:r>
        <w:rPr>
          <w:rFonts w:ascii="Times New Roman" w:hAnsi="Times New Roman" w:eastAsia="Times New Roman"/>
          <w:spacing w:val="12"/>
          <w:w w:val="99"/>
          <w:sz w:val="32"/>
          <w:szCs w:val="32"/>
        </w:rPr>
        <w:t>A</w:t>
      </w:r>
      <w:r>
        <w:rPr>
          <w:rFonts w:ascii="Times New Roman" w:hAnsi="Times New Roman" w:eastAsia="Times New Roman"/>
          <w:spacing w:val="11"/>
          <w:w w:val="99"/>
          <w:sz w:val="32"/>
          <w:szCs w:val="32"/>
        </w:rPr>
        <w:t>I</w:t>
      </w:r>
      <w:r>
        <w:rPr>
          <w:rFonts w:ascii="Times New Roman" w:hAnsi="Times New Roman" w:eastAsia="Times New Roman"/>
          <w:spacing w:val="12"/>
          <w:w w:val="99"/>
          <w:sz w:val="32"/>
          <w:szCs w:val="32"/>
        </w:rPr>
        <w:t>C</w:t>
      </w:r>
      <w:r>
        <w:rPr>
          <w:rFonts w:ascii="Times New Roman" w:hAnsi="Times New Roman" w:eastAsia="Times New Roman"/>
          <w:spacing w:val="11"/>
          <w:w w:val="99"/>
          <w:sz w:val="32"/>
          <w:szCs w:val="32"/>
        </w:rPr>
        <w:t>E</w:t>
      </w:r>
      <w:r>
        <w:rPr>
          <w:rFonts w:ascii="Times New Roman" w:hAnsi="Times New Roman" w:eastAsia="Times New Roman"/>
          <w:w w:val="99"/>
          <w:sz w:val="32"/>
          <w:szCs w:val="32"/>
        </w:rPr>
        <w:t>D</w:t>
      </w:r>
      <w:r>
        <w:rPr>
          <w:rFonts w:ascii="Times New Roman" w:hAnsi="Times New Roman" w:eastAsia="Times New Roman"/>
          <w:spacing w:val="28"/>
          <w:sz w:val="32"/>
          <w:szCs w:val="32"/>
        </w:rPr>
        <w:t xml:space="preserve"> </w:t>
      </w:r>
      <w:r>
        <w:rPr>
          <w:spacing w:val="24"/>
          <w:w w:val="99"/>
          <w:sz w:val="32"/>
          <w:szCs w:val="32"/>
        </w:rPr>
        <w:t>科技前沿展</w:t>
      </w:r>
      <w:r>
        <w:rPr>
          <w:spacing w:val="23"/>
          <w:w w:val="99"/>
          <w:sz w:val="32"/>
          <w:szCs w:val="32"/>
        </w:rPr>
        <w:t>项，加速人工智能技术在制造、检测、交通、教育、医疗、农业、政务等领域率先应用和推广，打造人工智能创新应用</w:t>
      </w:r>
      <w:r>
        <w:rPr>
          <w:spacing w:val="18"/>
          <w:w w:val="99"/>
          <w:sz w:val="32"/>
          <w:szCs w:val="32"/>
        </w:rPr>
        <w:t>先导区的产业标杆。</w:t>
      </w:r>
    </w:p>
    <w:p w14:paraId="24DE5382">
      <w:pPr>
        <w:spacing w:line="338" w:lineRule="auto"/>
        <w:ind w:left="193" w:right="106" w:firstLine="684"/>
        <w:rPr>
          <w:sz w:val="32"/>
          <w:szCs w:val="32"/>
        </w:rPr>
      </w:pPr>
      <w:r>
        <w:rPr>
          <w:b/>
          <w:spacing w:val="26"/>
          <w:w w:val="99"/>
          <w:sz w:val="32"/>
          <w:szCs w:val="32"/>
        </w:rPr>
        <w:t>培育数字经济产业集群。</w:t>
      </w:r>
      <w:r>
        <w:rPr>
          <w:spacing w:val="22"/>
          <w:w w:val="99"/>
          <w:sz w:val="32"/>
          <w:szCs w:val="32"/>
        </w:rPr>
        <w:t>出台数字经济发展专项规划，</w:t>
      </w:r>
      <w:r>
        <w:rPr>
          <w:spacing w:val="11"/>
          <w:w w:val="99"/>
          <w:sz w:val="32"/>
          <w:szCs w:val="32"/>
        </w:rPr>
        <w:t>以力德财富大厦为载体，统筹规划互联网数字经济产业布局，</w:t>
      </w:r>
      <w:r>
        <w:rPr>
          <w:spacing w:val="19"/>
          <w:w w:val="99"/>
          <w:sz w:val="32"/>
          <w:szCs w:val="32"/>
        </w:rPr>
        <w:t>精准对接华为、中兴、浪潮、科大讯飞等新一代“互联网+”</w:t>
      </w:r>
      <w:r>
        <w:rPr>
          <w:spacing w:val="23"/>
          <w:w w:val="99"/>
          <w:sz w:val="32"/>
          <w:szCs w:val="32"/>
        </w:rPr>
        <w:t>数字经济知名企业，推进大数据产业孵化器、加速器等各类企业服务平台落地，打造自治区互联网数字经济企业孵化中心。引进北京易华录信息技术等企业实施智慧银川数据湖项</w:t>
      </w:r>
      <w:r>
        <w:rPr>
          <w:spacing w:val="20"/>
          <w:w w:val="99"/>
          <w:sz w:val="32"/>
          <w:szCs w:val="32"/>
        </w:rPr>
        <w:t>目，推进“</w:t>
      </w:r>
      <w:r>
        <w:rPr>
          <w:rFonts w:ascii="Times New Roman" w:hAnsi="Times New Roman" w:eastAsia="Times New Roman"/>
          <w:spacing w:val="8"/>
          <w:w w:val="99"/>
          <w:sz w:val="32"/>
          <w:szCs w:val="32"/>
        </w:rPr>
        <w:t>5</w:t>
      </w:r>
      <w:r>
        <w:rPr>
          <w:rFonts w:ascii="Times New Roman" w:hAnsi="Times New Roman" w:eastAsia="Times New Roman"/>
          <w:w w:val="99"/>
          <w:sz w:val="32"/>
          <w:szCs w:val="32"/>
        </w:rPr>
        <w:t>8</w:t>
      </w:r>
      <w:r>
        <w:rPr>
          <w:rFonts w:ascii="Times New Roman" w:hAnsi="Times New Roman" w:eastAsia="Times New Roman"/>
          <w:spacing w:val="19"/>
          <w:sz w:val="32"/>
          <w:szCs w:val="32"/>
        </w:rPr>
        <w:t xml:space="preserve"> </w:t>
      </w:r>
      <w:r>
        <w:rPr>
          <w:spacing w:val="19"/>
          <w:w w:val="99"/>
          <w:sz w:val="32"/>
          <w:szCs w:val="32"/>
        </w:rPr>
        <w:t>小镇”等企业服务平台落地。加强与三大运营</w:t>
      </w:r>
      <w:r>
        <w:rPr>
          <w:spacing w:val="23"/>
          <w:w w:val="99"/>
          <w:sz w:val="32"/>
          <w:szCs w:val="32"/>
        </w:rPr>
        <w:t>商合作，引进互联网数据中心、人工智能体验中心、新媒体</w:t>
      </w:r>
      <w:r>
        <w:rPr>
          <w:spacing w:val="25"/>
          <w:w w:val="99"/>
          <w:sz w:val="32"/>
          <w:szCs w:val="32"/>
        </w:rPr>
        <w:t>中心等重点项目，</w:t>
      </w:r>
      <w:r>
        <w:rPr>
          <w:spacing w:val="-131"/>
          <w:sz w:val="32"/>
          <w:szCs w:val="32"/>
        </w:rPr>
        <w:t xml:space="preserve"> </w:t>
      </w:r>
      <w:r>
        <w:rPr>
          <w:spacing w:val="24"/>
          <w:w w:val="99"/>
          <w:sz w:val="32"/>
          <w:szCs w:val="32"/>
        </w:rPr>
        <w:t>加快创建自治区</w:t>
      </w:r>
      <w:r>
        <w:rPr>
          <w:spacing w:val="-47"/>
          <w:sz w:val="32"/>
          <w:szCs w:val="32"/>
        </w:rPr>
        <w:t xml:space="preserve"> </w:t>
      </w:r>
      <w:r>
        <w:rPr>
          <w:rFonts w:ascii="Times New Roman" w:hAnsi="Times New Roman" w:eastAsia="Times New Roman"/>
          <w:spacing w:val="8"/>
          <w:w w:val="99"/>
          <w:sz w:val="32"/>
          <w:szCs w:val="32"/>
        </w:rPr>
        <w:t>5</w:t>
      </w:r>
      <w:r>
        <w:rPr>
          <w:rFonts w:ascii="Times New Roman" w:hAnsi="Times New Roman" w:eastAsia="Times New Roman"/>
          <w:w w:val="99"/>
          <w:sz w:val="32"/>
          <w:szCs w:val="32"/>
        </w:rPr>
        <w:t>G</w:t>
      </w:r>
      <w:r>
        <w:rPr>
          <w:rFonts w:ascii="Times New Roman" w:hAnsi="Times New Roman" w:eastAsia="Times New Roman"/>
          <w:spacing w:val="28"/>
          <w:sz w:val="32"/>
          <w:szCs w:val="32"/>
        </w:rPr>
        <w:t xml:space="preserve"> </w:t>
      </w:r>
      <w:r>
        <w:rPr>
          <w:spacing w:val="25"/>
          <w:w w:val="99"/>
          <w:sz w:val="32"/>
          <w:szCs w:val="32"/>
        </w:rPr>
        <w:t>商用先行区和创新应</w:t>
      </w:r>
      <w:r>
        <w:rPr>
          <w:spacing w:val="19"/>
          <w:w w:val="99"/>
          <w:sz w:val="32"/>
          <w:szCs w:val="32"/>
        </w:rPr>
        <w:t>用示范区，实现数字经济产业集聚发展。</w:t>
      </w:r>
    </w:p>
    <w:p w14:paraId="00366418">
      <w:pPr>
        <w:spacing w:before="16" w:line="338" w:lineRule="auto"/>
        <w:ind w:left="193" w:right="270" w:firstLine="640"/>
        <w:rPr>
          <w:sz w:val="32"/>
        </w:rPr>
      </w:pPr>
      <w:r>
        <w:rPr>
          <w:b/>
          <w:spacing w:val="27"/>
          <w:w w:val="99"/>
          <w:sz w:val="32"/>
        </w:rPr>
        <w:t>促进数字经济融合发展。</w:t>
      </w:r>
      <w:r>
        <w:rPr>
          <w:spacing w:val="23"/>
          <w:w w:val="99"/>
          <w:sz w:val="32"/>
        </w:rPr>
        <w:t>全面推进数字产业化、产业数字化和城市数字协调融合发展，加速数字化同一二三产融合</w:t>
      </w:r>
    </w:p>
    <w:p w14:paraId="7F1D4905">
      <w:pPr>
        <w:spacing w:line="338" w:lineRule="auto"/>
        <w:rPr>
          <w:sz w:val="32"/>
        </w:rPr>
        <w:sectPr>
          <w:pgSz w:w="11910" w:h="16840"/>
          <w:pgMar w:top="1780" w:right="1220" w:bottom="1160" w:left="1280" w:header="0" w:footer="975" w:gutter="0"/>
          <w:cols w:space="720" w:num="1"/>
        </w:sectPr>
      </w:pPr>
    </w:p>
    <w:p w14:paraId="47DF2636">
      <w:pPr>
        <w:spacing w:before="28" w:line="340" w:lineRule="auto"/>
        <w:ind w:left="193" w:right="106"/>
        <w:rPr>
          <w:sz w:val="32"/>
          <w:szCs w:val="32"/>
        </w:rPr>
      </w:pPr>
      <w:r>
        <w:rPr>
          <w:spacing w:val="23"/>
          <w:w w:val="99"/>
          <w:sz w:val="32"/>
          <w:szCs w:val="32"/>
        </w:rPr>
        <w:t>发展。加快阅海数据湖、人工智能岛等项目建设运营，依托</w:t>
      </w:r>
      <w:r>
        <w:rPr>
          <w:spacing w:val="11"/>
          <w:w w:val="99"/>
          <w:sz w:val="32"/>
          <w:szCs w:val="32"/>
        </w:rPr>
        <w:t>宁夏数据科技、国投大数据产业、墨叽电商等数字经济企业，</w:t>
      </w:r>
      <w:r>
        <w:rPr>
          <w:spacing w:val="-1"/>
          <w:w w:val="99"/>
          <w:sz w:val="32"/>
          <w:szCs w:val="32"/>
        </w:rPr>
        <w:t xml:space="preserve">以“电子商务”“物联网”“互联网+服务业”“互联网+工业” </w:t>
      </w:r>
      <w:r>
        <w:rPr>
          <w:spacing w:val="18"/>
          <w:w w:val="99"/>
          <w:sz w:val="32"/>
          <w:szCs w:val="32"/>
        </w:rPr>
        <w:t>“互联网+教育</w:t>
      </w:r>
      <w:r>
        <w:rPr>
          <w:spacing w:val="3"/>
          <w:w w:val="99"/>
          <w:sz w:val="32"/>
          <w:szCs w:val="32"/>
        </w:rPr>
        <w:t>”“互联网+医疗”等为重点，加速产业经济数</w:t>
      </w:r>
      <w:r>
        <w:rPr>
          <w:spacing w:val="18"/>
          <w:w w:val="99"/>
          <w:sz w:val="32"/>
          <w:szCs w:val="32"/>
        </w:rPr>
        <w:t>字化、智能化转型。</w:t>
      </w:r>
    </w:p>
    <w:p w14:paraId="56C9BD6F">
      <w:pPr>
        <w:spacing w:line="471" w:lineRule="exact"/>
        <w:ind w:left="877"/>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spacing w:val="24"/>
          <w:w w:val="95"/>
          <w:sz w:val="32"/>
          <w:szCs w:val="32"/>
        </w:rPr>
        <w:t>（二）优化提升现代商</w:t>
      </w:r>
      <w:r>
        <w:rPr>
          <w:rFonts w:ascii="Microsoft JhengHei" w:hAnsi="Microsoft JhengHei" w:eastAsia="Microsoft JhengHei" w:cs="Microsoft JhengHei"/>
          <w:b/>
          <w:bCs/>
          <w:spacing w:val="-10"/>
          <w:w w:val="95"/>
          <w:sz w:val="32"/>
          <w:szCs w:val="32"/>
        </w:rPr>
        <w:t>贸</w:t>
      </w:r>
    </w:p>
    <w:p w14:paraId="147520AC">
      <w:pPr>
        <w:spacing w:before="97" w:line="338" w:lineRule="auto"/>
        <w:ind w:left="193" w:right="106" w:firstLine="684"/>
        <w:rPr>
          <w:sz w:val="32"/>
          <w:szCs w:val="32"/>
        </w:rPr>
      </w:pPr>
      <w:r>
        <w:rPr>
          <w:spacing w:val="23"/>
          <w:w w:val="99"/>
          <w:sz w:val="32"/>
          <w:szCs w:val="32"/>
        </w:rPr>
        <w:t>坚持高端化、集约化和差异化的原则，巩固强化商贸功能集聚优势，优化商贸布局，打造智慧商圈，提升发展特色街区，着力拓展创新业态，加快培育新兴产业，不断提升金凤区现代商务商贸业态层级、规模能级和辐射能力，打破传</w:t>
      </w:r>
      <w:r>
        <w:rPr>
          <w:spacing w:val="12"/>
          <w:w w:val="99"/>
          <w:sz w:val="32"/>
          <w:szCs w:val="32"/>
        </w:rPr>
        <w:t>统商业综合体吸引消费模式，突破综合体的时间和空间限制，</w:t>
      </w:r>
      <w:r>
        <w:rPr>
          <w:spacing w:val="18"/>
          <w:w w:val="99"/>
          <w:sz w:val="32"/>
          <w:szCs w:val="32"/>
        </w:rPr>
        <w:t>全面挖掘消费潜力，促进全民消费</w:t>
      </w:r>
      <w:r>
        <w:rPr>
          <w:spacing w:val="-2"/>
          <w:w w:val="99"/>
          <w:sz w:val="32"/>
          <w:szCs w:val="32"/>
        </w:rPr>
        <w:t>。“十四五”期间，力争社</w:t>
      </w:r>
      <w:r>
        <w:rPr>
          <w:spacing w:val="19"/>
          <w:w w:val="99"/>
          <w:sz w:val="32"/>
          <w:szCs w:val="32"/>
        </w:rPr>
        <w:t>会消费品零售总额年均增长</w:t>
      </w:r>
      <w:r>
        <w:rPr>
          <w:spacing w:val="-50"/>
          <w:sz w:val="32"/>
          <w:szCs w:val="32"/>
        </w:rPr>
        <w:t xml:space="preserve"> </w:t>
      </w:r>
      <w:r>
        <w:rPr>
          <w:rFonts w:ascii="Times New Roman" w:hAnsi="Times New Roman" w:eastAsia="Times New Roman"/>
          <w:spacing w:val="10"/>
          <w:w w:val="99"/>
          <w:sz w:val="32"/>
          <w:szCs w:val="32"/>
        </w:rPr>
        <w:t>7</w:t>
      </w:r>
      <w:r>
        <w:rPr>
          <w:rFonts w:ascii="Times New Roman" w:hAnsi="Times New Roman" w:eastAsia="Times New Roman"/>
          <w:spacing w:val="12"/>
          <w:w w:val="99"/>
          <w:sz w:val="32"/>
          <w:szCs w:val="32"/>
        </w:rPr>
        <w:t>%</w:t>
      </w:r>
      <w:r>
        <w:rPr>
          <w:spacing w:val="14"/>
          <w:w w:val="99"/>
          <w:sz w:val="32"/>
          <w:szCs w:val="32"/>
        </w:rPr>
        <w:t>左右。</w:t>
      </w:r>
    </w:p>
    <w:p w14:paraId="6C7315B0">
      <w:pPr>
        <w:spacing w:before="15" w:line="338" w:lineRule="auto"/>
        <w:ind w:left="193" w:right="274" w:firstLine="684"/>
        <w:jc w:val="both"/>
        <w:rPr>
          <w:sz w:val="32"/>
          <w:szCs w:val="32"/>
        </w:rPr>
      </w:pPr>
      <w:r>
        <w:rPr>
          <w:b/>
          <w:spacing w:val="26"/>
          <w:w w:val="99"/>
          <w:sz w:val="32"/>
          <w:szCs w:val="32"/>
        </w:rPr>
        <w:t>构建大商贸格局。</w:t>
      </w:r>
      <w:r>
        <w:rPr>
          <w:spacing w:val="22"/>
          <w:w w:val="99"/>
          <w:sz w:val="32"/>
          <w:szCs w:val="32"/>
        </w:rPr>
        <w:t>围绕打造消费之都，构建以正源街、</w:t>
      </w:r>
      <w:r>
        <w:rPr>
          <w:spacing w:val="24"/>
          <w:w w:val="99"/>
          <w:sz w:val="32"/>
          <w:szCs w:val="32"/>
        </w:rPr>
        <w:t>北京路、阅海湾中央商务区</w:t>
      </w:r>
      <w:r>
        <w:rPr>
          <w:spacing w:val="26"/>
          <w:w w:val="99"/>
          <w:sz w:val="32"/>
          <w:szCs w:val="32"/>
        </w:rPr>
        <w:t>（</w:t>
      </w:r>
      <w:r>
        <w:rPr>
          <w:spacing w:val="24"/>
          <w:w w:val="99"/>
          <w:sz w:val="32"/>
          <w:szCs w:val="32"/>
        </w:rPr>
        <w:t>丝路经济园）</w:t>
      </w:r>
      <w:r>
        <w:rPr>
          <w:spacing w:val="20"/>
          <w:w w:val="99"/>
          <w:sz w:val="32"/>
          <w:szCs w:val="32"/>
        </w:rPr>
        <w:t>为核心，以六大</w:t>
      </w:r>
      <w:r>
        <w:rPr>
          <w:spacing w:val="14"/>
          <w:w w:val="99"/>
          <w:sz w:val="32"/>
          <w:szCs w:val="32"/>
        </w:rPr>
        <w:t>核心商圈为骨干，以城市商业综合体、特色商业街</w:t>
      </w:r>
      <w:r>
        <w:rPr>
          <w:spacing w:val="24"/>
          <w:w w:val="99"/>
          <w:sz w:val="32"/>
          <w:szCs w:val="32"/>
        </w:rPr>
        <w:t>（</w:t>
      </w:r>
      <w:r>
        <w:rPr>
          <w:spacing w:val="21"/>
          <w:w w:val="99"/>
          <w:sz w:val="32"/>
          <w:szCs w:val="32"/>
        </w:rPr>
        <w:t>区</w:t>
      </w:r>
      <w:r>
        <w:rPr>
          <w:spacing w:val="-147"/>
          <w:w w:val="99"/>
          <w:sz w:val="32"/>
          <w:szCs w:val="32"/>
        </w:rPr>
        <w:t>）</w:t>
      </w:r>
      <w:r>
        <w:rPr>
          <w:spacing w:val="-3"/>
          <w:w w:val="99"/>
          <w:sz w:val="32"/>
          <w:szCs w:val="32"/>
        </w:rPr>
        <w:t>、社</w:t>
      </w:r>
      <w:r>
        <w:rPr>
          <w:spacing w:val="23"/>
          <w:w w:val="99"/>
          <w:sz w:val="32"/>
          <w:szCs w:val="32"/>
        </w:rPr>
        <w:t>区商业中心、商品市场、百货店、大型综合超市及其它商业零售网点、重点旅游景区、产业园区的配套商业为支撑的现代商贸发展大格局。深入对接国内知名商业地产企业，引进新一代城市商业综合体、城市文化综合体等业态，探索建设特色市内免税店，推进综合体由“商业聚合体”向数字时代融合线上线下的“社群联合体”转变，并逐步升级为“城市</w:t>
      </w:r>
      <w:r>
        <w:rPr>
          <w:spacing w:val="4"/>
          <w:w w:val="99"/>
          <w:sz w:val="32"/>
          <w:szCs w:val="32"/>
        </w:rPr>
        <w:t>共同体”，把握“高铁经济”发展，形成辐射周围</w:t>
      </w:r>
      <w:r>
        <w:rPr>
          <w:spacing w:val="-52"/>
          <w:sz w:val="32"/>
          <w:szCs w:val="32"/>
        </w:rPr>
        <w:t xml:space="preserve"> </w:t>
      </w:r>
      <w:r>
        <w:rPr>
          <w:rFonts w:ascii="Times New Roman" w:hAnsi="Times New Roman" w:eastAsia="Times New Roman"/>
          <w:spacing w:val="10"/>
          <w:w w:val="99"/>
          <w:sz w:val="32"/>
          <w:szCs w:val="32"/>
        </w:rPr>
        <w:t>5</w:t>
      </w:r>
      <w:r>
        <w:rPr>
          <w:rFonts w:ascii="Times New Roman" w:hAnsi="Times New Roman" w:eastAsia="Times New Roman"/>
          <w:spacing w:val="8"/>
          <w:w w:val="99"/>
          <w:sz w:val="32"/>
          <w:szCs w:val="32"/>
        </w:rPr>
        <w:t>0</w:t>
      </w:r>
      <w:r>
        <w:rPr>
          <w:rFonts w:ascii="Times New Roman" w:hAnsi="Times New Roman" w:eastAsia="Times New Roman"/>
          <w:w w:val="99"/>
          <w:sz w:val="32"/>
          <w:szCs w:val="32"/>
        </w:rPr>
        <w:t>0</w:t>
      </w:r>
      <w:r>
        <w:rPr>
          <w:rFonts w:ascii="Times New Roman" w:hAnsi="Times New Roman" w:eastAsia="Times New Roman"/>
          <w:spacing w:val="19"/>
          <w:sz w:val="32"/>
          <w:szCs w:val="32"/>
        </w:rPr>
        <w:t xml:space="preserve"> </w:t>
      </w:r>
      <w:r>
        <w:rPr>
          <w:spacing w:val="14"/>
          <w:w w:val="99"/>
          <w:sz w:val="32"/>
          <w:szCs w:val="32"/>
        </w:rPr>
        <w:t>公里的</w:t>
      </w:r>
    </w:p>
    <w:p w14:paraId="2B1D66B7">
      <w:pPr>
        <w:spacing w:line="338" w:lineRule="auto"/>
        <w:jc w:val="both"/>
        <w:sectPr>
          <w:pgSz w:w="11910" w:h="16840"/>
          <w:pgMar w:top="1800" w:right="1220" w:bottom="1160" w:left="1280" w:header="0" w:footer="975" w:gutter="0"/>
          <w:cols w:space="720" w:num="1"/>
        </w:sectPr>
      </w:pPr>
    </w:p>
    <w:p w14:paraId="153AF955">
      <w:pPr>
        <w:spacing w:before="28"/>
        <w:ind w:left="193"/>
        <w:rPr>
          <w:sz w:val="32"/>
          <w:szCs w:val="32"/>
        </w:rPr>
      </w:pPr>
      <w:r>
        <w:rPr>
          <w:spacing w:val="21"/>
          <w:w w:val="95"/>
          <w:sz w:val="32"/>
          <w:szCs w:val="32"/>
        </w:rPr>
        <w:t>重点商</w:t>
      </w:r>
      <w:r>
        <w:rPr>
          <w:spacing w:val="24"/>
          <w:w w:val="95"/>
          <w:sz w:val="32"/>
          <w:szCs w:val="32"/>
        </w:rPr>
        <w:t>贸圈</w:t>
      </w:r>
      <w:r>
        <w:rPr>
          <w:spacing w:val="21"/>
          <w:w w:val="95"/>
          <w:sz w:val="32"/>
          <w:szCs w:val="32"/>
        </w:rPr>
        <w:t>，将金凤区打造为全区的时</w:t>
      </w:r>
      <w:r>
        <w:rPr>
          <w:spacing w:val="15"/>
          <w:w w:val="95"/>
          <w:sz w:val="32"/>
          <w:szCs w:val="32"/>
        </w:rPr>
        <w:t>尚消费中心。</w:t>
      </w:r>
    </w:p>
    <w:p w14:paraId="127BF1B9">
      <w:pPr>
        <w:spacing w:before="170" w:line="338" w:lineRule="auto"/>
        <w:ind w:left="193" w:right="102" w:firstLine="684"/>
        <w:rPr>
          <w:sz w:val="32"/>
          <w:szCs w:val="32"/>
        </w:rPr>
      </w:pPr>
      <w:r>
        <w:rPr>
          <w:b/>
          <w:spacing w:val="7"/>
          <w:w w:val="99"/>
          <w:sz w:val="32"/>
          <w:szCs w:val="32"/>
        </w:rPr>
        <w:t>打造数字商圈。</w:t>
      </w:r>
      <w:r>
        <w:rPr>
          <w:spacing w:val="19"/>
          <w:w w:val="99"/>
          <w:sz w:val="32"/>
          <w:szCs w:val="32"/>
        </w:rPr>
        <w:t>打破商业综合体与社区商业的空间界定，</w:t>
      </w:r>
      <w:r>
        <w:rPr>
          <w:spacing w:val="23"/>
          <w:w w:val="99"/>
          <w:sz w:val="32"/>
          <w:szCs w:val="32"/>
        </w:rPr>
        <w:t>加快悠阅城等综合体建设，推进六大核心商圈升级，鼓励金</w:t>
      </w:r>
      <w:r>
        <w:rPr>
          <w:spacing w:val="9"/>
          <w:w w:val="99"/>
          <w:sz w:val="32"/>
          <w:szCs w:val="32"/>
        </w:rPr>
        <w:t>凤万达广场、大阅城等核心商圈，运用</w:t>
      </w:r>
      <w:r>
        <w:rPr>
          <w:spacing w:val="-52"/>
          <w:sz w:val="32"/>
          <w:szCs w:val="32"/>
        </w:rPr>
        <w:t xml:space="preserve"> </w:t>
      </w:r>
      <w:r>
        <w:rPr>
          <w:rFonts w:ascii="Times New Roman" w:eastAsia="Times New Roman"/>
          <w:spacing w:val="8"/>
          <w:w w:val="99"/>
          <w:sz w:val="32"/>
          <w:szCs w:val="32"/>
        </w:rPr>
        <w:t>5</w:t>
      </w:r>
      <w:r>
        <w:rPr>
          <w:rFonts w:ascii="Times New Roman" w:eastAsia="Times New Roman"/>
          <w:spacing w:val="14"/>
          <w:w w:val="99"/>
          <w:sz w:val="32"/>
          <w:szCs w:val="32"/>
        </w:rPr>
        <w:t>G</w:t>
      </w:r>
      <w:r>
        <w:rPr>
          <w:spacing w:val="4"/>
          <w:w w:val="99"/>
          <w:sz w:val="32"/>
          <w:szCs w:val="32"/>
        </w:rPr>
        <w:t>、互联网、物联网、</w:t>
      </w:r>
      <w:r>
        <w:rPr>
          <w:spacing w:val="23"/>
          <w:w w:val="99"/>
          <w:sz w:val="32"/>
          <w:szCs w:val="32"/>
        </w:rPr>
        <w:t>云计算、大数据和移动互联等信息技术，实现商圈高速宽带</w:t>
      </w:r>
      <w:r>
        <w:rPr>
          <w:spacing w:val="14"/>
          <w:w w:val="99"/>
          <w:sz w:val="32"/>
          <w:szCs w:val="32"/>
        </w:rPr>
        <w:t>和无线</w:t>
      </w:r>
      <w:r>
        <w:rPr>
          <w:spacing w:val="-52"/>
          <w:sz w:val="32"/>
          <w:szCs w:val="32"/>
        </w:rPr>
        <w:t xml:space="preserve"> </w:t>
      </w:r>
      <w:r>
        <w:rPr>
          <w:rFonts w:ascii="Times New Roman" w:eastAsia="Times New Roman"/>
          <w:spacing w:val="-2"/>
          <w:w w:val="99"/>
          <w:sz w:val="32"/>
          <w:szCs w:val="32"/>
        </w:rPr>
        <w:t>W</w:t>
      </w:r>
      <w:r>
        <w:rPr>
          <w:rFonts w:ascii="Times New Roman" w:eastAsia="Times New Roman"/>
          <w:spacing w:val="7"/>
          <w:w w:val="99"/>
          <w:sz w:val="32"/>
          <w:szCs w:val="32"/>
        </w:rPr>
        <w:t>i</w:t>
      </w:r>
      <w:r>
        <w:rPr>
          <w:rFonts w:ascii="Times New Roman" w:eastAsia="Times New Roman"/>
          <w:spacing w:val="11"/>
          <w:w w:val="99"/>
          <w:sz w:val="32"/>
          <w:szCs w:val="32"/>
        </w:rPr>
        <w:t>-</w:t>
      </w:r>
      <w:r>
        <w:rPr>
          <w:rFonts w:ascii="Times New Roman" w:eastAsia="Times New Roman"/>
          <w:spacing w:val="12"/>
          <w:w w:val="99"/>
          <w:sz w:val="32"/>
          <w:szCs w:val="32"/>
        </w:rPr>
        <w:t>F</w:t>
      </w:r>
      <w:r>
        <w:rPr>
          <w:rFonts w:ascii="Times New Roman" w:eastAsia="Times New Roman"/>
          <w:w w:val="99"/>
          <w:sz w:val="32"/>
          <w:szCs w:val="32"/>
        </w:rPr>
        <w:t>i</w:t>
      </w:r>
      <w:r>
        <w:rPr>
          <w:rFonts w:ascii="Times New Roman" w:eastAsia="Times New Roman"/>
          <w:spacing w:val="20"/>
          <w:sz w:val="32"/>
          <w:szCs w:val="32"/>
        </w:rPr>
        <w:t xml:space="preserve"> </w:t>
      </w:r>
      <w:r>
        <w:rPr>
          <w:spacing w:val="14"/>
          <w:w w:val="99"/>
          <w:sz w:val="32"/>
          <w:szCs w:val="32"/>
        </w:rPr>
        <w:t>全覆盖，导入智慧泊车系统、</w:t>
      </w:r>
      <w:r>
        <w:rPr>
          <w:rFonts w:ascii="Times New Roman" w:eastAsia="Times New Roman"/>
          <w:spacing w:val="7"/>
          <w:w w:val="99"/>
          <w:sz w:val="32"/>
          <w:szCs w:val="32"/>
        </w:rPr>
        <w:t>V</w:t>
      </w:r>
      <w:r>
        <w:rPr>
          <w:rFonts w:ascii="Times New Roman" w:eastAsia="Times New Roman"/>
          <w:w w:val="99"/>
          <w:sz w:val="32"/>
          <w:szCs w:val="32"/>
        </w:rPr>
        <w:t>R</w:t>
      </w:r>
      <w:r>
        <w:rPr>
          <w:rFonts w:ascii="Times New Roman" w:eastAsia="Times New Roman"/>
          <w:spacing w:val="21"/>
          <w:sz w:val="32"/>
          <w:szCs w:val="32"/>
        </w:rPr>
        <w:t xml:space="preserve"> </w:t>
      </w:r>
      <w:r>
        <w:rPr>
          <w:spacing w:val="13"/>
          <w:w w:val="99"/>
          <w:sz w:val="32"/>
          <w:szCs w:val="32"/>
        </w:rPr>
        <w:t>试衣间、商户</w:t>
      </w:r>
      <w:r>
        <w:rPr>
          <w:spacing w:val="23"/>
          <w:w w:val="99"/>
          <w:sz w:val="32"/>
          <w:szCs w:val="32"/>
        </w:rPr>
        <w:t>线上线下联合营销、消费者定制服务、商圈智能化管理等功能，打造形成集购物、美食、休闲娱乐、生活服务于一体、</w:t>
      </w:r>
      <w:r>
        <w:rPr>
          <w:spacing w:val="19"/>
          <w:w w:val="99"/>
          <w:sz w:val="32"/>
          <w:szCs w:val="32"/>
        </w:rPr>
        <w:t>线上线下融合的体验式智慧化商圈。</w:t>
      </w:r>
    </w:p>
    <w:p w14:paraId="37F4F064">
      <w:pPr>
        <w:spacing w:before="15" w:line="338" w:lineRule="auto"/>
        <w:ind w:left="193" w:right="106" w:firstLine="684"/>
        <w:jc w:val="both"/>
        <w:rPr>
          <w:sz w:val="32"/>
          <w:szCs w:val="32"/>
        </w:rPr>
      </w:pPr>
      <w:r>
        <w:rPr>
          <w:b/>
          <w:spacing w:val="25"/>
          <w:sz w:val="32"/>
          <w:szCs w:val="32"/>
        </w:rPr>
        <w:t>发展特色街</w:t>
      </w:r>
      <w:r>
        <w:rPr>
          <w:b/>
          <w:spacing w:val="24"/>
          <w:sz w:val="32"/>
          <w:szCs w:val="32"/>
        </w:rPr>
        <w:t>区。</w:t>
      </w:r>
      <w:r>
        <w:rPr>
          <w:spacing w:val="25"/>
          <w:sz w:val="32"/>
          <w:szCs w:val="32"/>
        </w:rPr>
        <w:t>按照</w:t>
      </w:r>
      <w:r>
        <w:rPr>
          <w:spacing w:val="24"/>
          <w:sz w:val="32"/>
          <w:szCs w:val="32"/>
        </w:rPr>
        <w:t>“一街一特</w:t>
      </w:r>
      <w:r>
        <w:rPr>
          <w:spacing w:val="25"/>
          <w:sz w:val="32"/>
          <w:szCs w:val="32"/>
        </w:rPr>
        <w:t>色”的</w:t>
      </w:r>
      <w:r>
        <w:rPr>
          <w:spacing w:val="20"/>
          <w:sz w:val="32"/>
          <w:szCs w:val="32"/>
        </w:rPr>
        <w:t>要求，提升老街</w:t>
      </w:r>
      <w:r>
        <w:rPr>
          <w:spacing w:val="24"/>
          <w:sz w:val="32"/>
          <w:szCs w:val="32"/>
        </w:rPr>
        <w:t>区、发展新街区、创建名街区，提升发展福州北</w:t>
      </w:r>
      <w:r>
        <w:rPr>
          <w:spacing w:val="19"/>
          <w:sz w:val="32"/>
          <w:szCs w:val="32"/>
        </w:rPr>
        <w:t>街未来城、</w:t>
      </w:r>
      <w:r>
        <w:rPr>
          <w:spacing w:val="24"/>
          <w:sz w:val="32"/>
          <w:szCs w:val="32"/>
        </w:rPr>
        <w:t>民生花园、建发枫林湾、新华联福街、大阅城中</w:t>
      </w:r>
      <w:r>
        <w:rPr>
          <w:spacing w:val="19"/>
          <w:sz w:val="32"/>
          <w:szCs w:val="32"/>
        </w:rPr>
        <w:t>街特色街区</w:t>
      </w:r>
      <w:r>
        <w:rPr>
          <w:spacing w:val="24"/>
          <w:sz w:val="32"/>
          <w:szCs w:val="32"/>
        </w:rPr>
        <w:t>等新型文旅商业消费特色街区，引导绿地新都汇</w:t>
      </w:r>
      <w:r>
        <w:rPr>
          <w:spacing w:val="19"/>
          <w:sz w:val="32"/>
          <w:szCs w:val="32"/>
        </w:rPr>
        <w:t>、正丰金城</w:t>
      </w:r>
      <w:r>
        <w:rPr>
          <w:spacing w:val="24"/>
          <w:sz w:val="32"/>
          <w:szCs w:val="32"/>
        </w:rPr>
        <w:t>广场、万科大都会等街区塑造特色，形成差异化</w:t>
      </w:r>
      <w:r>
        <w:rPr>
          <w:spacing w:val="19"/>
          <w:sz w:val="32"/>
          <w:szCs w:val="32"/>
        </w:rPr>
        <w:t>发展的各类</w:t>
      </w:r>
      <w:r>
        <w:rPr>
          <w:spacing w:val="21"/>
          <w:sz w:val="32"/>
          <w:szCs w:val="32"/>
        </w:rPr>
        <w:t>主题街区</w:t>
      </w:r>
      <w:r>
        <w:rPr>
          <w:spacing w:val="-81"/>
          <w:sz w:val="32"/>
          <w:szCs w:val="32"/>
        </w:rPr>
        <w:t>，“</w:t>
      </w:r>
      <w:r>
        <w:rPr>
          <w:spacing w:val="21"/>
          <w:sz w:val="32"/>
          <w:szCs w:val="32"/>
        </w:rPr>
        <w:t>十</w:t>
      </w:r>
      <w:r>
        <w:rPr>
          <w:spacing w:val="22"/>
          <w:sz w:val="32"/>
          <w:szCs w:val="32"/>
        </w:rPr>
        <w:t>四五</w:t>
      </w:r>
      <w:r>
        <w:rPr>
          <w:spacing w:val="8"/>
          <w:sz w:val="32"/>
          <w:szCs w:val="32"/>
        </w:rPr>
        <w:t xml:space="preserve">”期间，打造区级特色商业街 </w:t>
      </w:r>
      <w:r>
        <w:rPr>
          <w:rFonts w:ascii="Times New Roman" w:hAnsi="Times New Roman" w:eastAsia="Times New Roman"/>
          <w:sz w:val="32"/>
          <w:szCs w:val="32"/>
        </w:rPr>
        <w:t>10</w:t>
      </w:r>
      <w:r>
        <w:rPr>
          <w:rFonts w:ascii="Times New Roman" w:hAnsi="Times New Roman" w:eastAsia="Times New Roman"/>
          <w:spacing w:val="-14"/>
          <w:sz w:val="32"/>
          <w:szCs w:val="32"/>
        </w:rPr>
        <w:t xml:space="preserve"> </w:t>
      </w:r>
      <w:r>
        <w:rPr>
          <w:spacing w:val="15"/>
          <w:sz w:val="32"/>
          <w:szCs w:val="32"/>
        </w:rPr>
        <w:t>条以上。</w:t>
      </w:r>
    </w:p>
    <w:p w14:paraId="4AB71048">
      <w:pPr>
        <w:spacing w:before="11" w:line="338" w:lineRule="auto"/>
        <w:ind w:left="193" w:right="100" w:firstLine="669"/>
        <w:rPr>
          <w:sz w:val="32"/>
          <w:szCs w:val="32"/>
        </w:rPr>
      </w:pPr>
      <w:r>
        <w:rPr>
          <w:b/>
          <w:spacing w:val="25"/>
          <w:sz w:val="32"/>
          <w:szCs w:val="32"/>
        </w:rPr>
        <w:t>推动消费融合变革。</w:t>
      </w:r>
      <w:r>
        <w:rPr>
          <w:spacing w:val="25"/>
          <w:sz w:val="32"/>
          <w:szCs w:val="32"/>
        </w:rPr>
        <w:t>着力</w:t>
      </w:r>
      <w:r>
        <w:rPr>
          <w:spacing w:val="24"/>
          <w:sz w:val="32"/>
          <w:szCs w:val="32"/>
        </w:rPr>
        <w:t>引</w:t>
      </w:r>
      <w:r>
        <w:rPr>
          <w:spacing w:val="25"/>
          <w:sz w:val="32"/>
          <w:szCs w:val="32"/>
        </w:rPr>
        <w:t>进国际连</w:t>
      </w:r>
      <w:r>
        <w:rPr>
          <w:spacing w:val="24"/>
          <w:sz w:val="32"/>
          <w:szCs w:val="32"/>
        </w:rPr>
        <w:t>锁</w:t>
      </w:r>
      <w:r>
        <w:rPr>
          <w:spacing w:val="25"/>
          <w:sz w:val="32"/>
          <w:szCs w:val="32"/>
        </w:rPr>
        <w:t>企业入</w:t>
      </w:r>
      <w:r>
        <w:rPr>
          <w:spacing w:val="24"/>
          <w:sz w:val="32"/>
          <w:szCs w:val="32"/>
        </w:rPr>
        <w:t>驻，</w:t>
      </w:r>
      <w:r>
        <w:rPr>
          <w:spacing w:val="25"/>
          <w:sz w:val="32"/>
          <w:szCs w:val="32"/>
        </w:rPr>
        <w:t>发</w:t>
      </w:r>
      <w:r>
        <w:rPr>
          <w:sz w:val="32"/>
          <w:szCs w:val="32"/>
        </w:rPr>
        <w:t>展</w:t>
      </w:r>
      <w:r>
        <w:rPr>
          <w:spacing w:val="24"/>
          <w:sz w:val="32"/>
          <w:szCs w:val="32"/>
        </w:rPr>
        <w:t>壮大首店经济，吸引知名品牌、“老字号”品牌、“国</w:t>
      </w:r>
      <w:r>
        <w:rPr>
          <w:spacing w:val="12"/>
          <w:sz w:val="32"/>
          <w:szCs w:val="32"/>
        </w:rPr>
        <w:t>潮”</w:t>
      </w:r>
      <w:r>
        <w:rPr>
          <w:spacing w:val="24"/>
          <w:sz w:val="32"/>
          <w:szCs w:val="32"/>
        </w:rPr>
        <w:t>品牌开设区域首店。引导传统商超发展集“网上商</w:t>
      </w:r>
      <w:r>
        <w:rPr>
          <w:spacing w:val="17"/>
          <w:sz w:val="32"/>
          <w:szCs w:val="32"/>
        </w:rPr>
        <w:t>城、微信</w:t>
      </w:r>
      <w:r>
        <w:rPr>
          <w:spacing w:val="24"/>
          <w:sz w:val="32"/>
          <w:szCs w:val="32"/>
        </w:rPr>
        <w:t>营销、</w:t>
      </w:r>
      <w:r>
        <w:rPr>
          <w:rFonts w:ascii="Times New Roman" w:hAnsi="Times New Roman" w:eastAsia="Times New Roman"/>
          <w:sz w:val="32"/>
          <w:szCs w:val="32"/>
        </w:rPr>
        <w:t xml:space="preserve">APP </w:t>
      </w:r>
      <w:r>
        <w:rPr>
          <w:spacing w:val="25"/>
          <w:sz w:val="32"/>
          <w:szCs w:val="32"/>
        </w:rPr>
        <w:t>应用</w:t>
      </w:r>
      <w:r>
        <w:rPr>
          <w:spacing w:val="24"/>
          <w:sz w:val="32"/>
          <w:szCs w:val="32"/>
        </w:rPr>
        <w:t>、线下商</w:t>
      </w:r>
      <w:r>
        <w:rPr>
          <w:spacing w:val="25"/>
          <w:sz w:val="32"/>
          <w:szCs w:val="32"/>
        </w:rPr>
        <w:t>店”</w:t>
      </w:r>
      <w:r>
        <w:rPr>
          <w:spacing w:val="24"/>
          <w:sz w:val="32"/>
          <w:szCs w:val="32"/>
        </w:rPr>
        <w:t>于一</w:t>
      </w:r>
      <w:r>
        <w:rPr>
          <w:spacing w:val="26"/>
          <w:sz w:val="32"/>
          <w:szCs w:val="32"/>
        </w:rPr>
        <w:t>体</w:t>
      </w:r>
      <w:r>
        <w:rPr>
          <w:spacing w:val="24"/>
          <w:sz w:val="32"/>
          <w:szCs w:val="32"/>
        </w:rPr>
        <w:t>的全渠</w:t>
      </w:r>
      <w:r>
        <w:rPr>
          <w:spacing w:val="26"/>
          <w:sz w:val="32"/>
          <w:szCs w:val="32"/>
        </w:rPr>
        <w:t>道</w:t>
      </w:r>
      <w:r>
        <w:rPr>
          <w:spacing w:val="24"/>
          <w:sz w:val="32"/>
          <w:szCs w:val="32"/>
        </w:rPr>
        <w:t>经营</w:t>
      </w:r>
      <w:r>
        <w:rPr>
          <w:spacing w:val="18"/>
          <w:sz w:val="32"/>
          <w:szCs w:val="32"/>
        </w:rPr>
        <w:t>模式。鼓</w:t>
      </w:r>
      <w:r>
        <w:rPr>
          <w:spacing w:val="12"/>
          <w:w w:val="95"/>
          <w:sz w:val="32"/>
          <w:szCs w:val="32"/>
        </w:rPr>
        <w:t>励发展“网上菜场”“生鲜电子</w:t>
      </w:r>
      <w:r>
        <w:rPr>
          <w:spacing w:val="22"/>
          <w:w w:val="95"/>
          <w:sz w:val="32"/>
          <w:szCs w:val="32"/>
        </w:rPr>
        <w:t>商务</w:t>
      </w:r>
      <w:r>
        <w:rPr>
          <w:spacing w:val="15"/>
          <w:w w:val="95"/>
          <w:sz w:val="32"/>
          <w:szCs w:val="32"/>
        </w:rPr>
        <w:t>+冷链宅配”</w:t>
      </w:r>
      <w:r>
        <w:rPr>
          <w:w w:val="95"/>
          <w:sz w:val="32"/>
          <w:szCs w:val="32"/>
        </w:rPr>
        <w:t>、</w:t>
      </w:r>
      <w:r>
        <w:rPr>
          <w:spacing w:val="16"/>
          <w:w w:val="95"/>
          <w:sz w:val="32"/>
          <w:szCs w:val="32"/>
        </w:rPr>
        <w:t>无人超市、</w:t>
      </w:r>
      <w:r>
        <w:rPr>
          <w:spacing w:val="21"/>
          <w:sz w:val="32"/>
          <w:szCs w:val="32"/>
        </w:rPr>
        <w:t>无接触式配送等新零售</w:t>
      </w:r>
      <w:r>
        <w:rPr>
          <w:spacing w:val="22"/>
          <w:sz w:val="32"/>
          <w:szCs w:val="32"/>
        </w:rPr>
        <w:t>业态</w:t>
      </w:r>
      <w:r>
        <w:rPr>
          <w:spacing w:val="-18"/>
          <w:sz w:val="32"/>
          <w:szCs w:val="32"/>
        </w:rPr>
        <w:t>。探索发展“</w:t>
      </w:r>
      <w:r>
        <w:rPr>
          <w:spacing w:val="22"/>
          <w:sz w:val="32"/>
          <w:szCs w:val="32"/>
        </w:rPr>
        <w:t>超</w:t>
      </w:r>
      <w:r>
        <w:rPr>
          <w:spacing w:val="18"/>
          <w:sz w:val="32"/>
          <w:szCs w:val="32"/>
        </w:rPr>
        <w:t>市+体验厨房</w:t>
      </w:r>
      <w:r>
        <w:rPr>
          <w:spacing w:val="-58"/>
          <w:sz w:val="32"/>
          <w:szCs w:val="32"/>
        </w:rPr>
        <w:t>”“购</w:t>
      </w:r>
      <w:r>
        <w:rPr>
          <w:spacing w:val="15"/>
          <w:sz w:val="32"/>
          <w:szCs w:val="32"/>
        </w:rPr>
        <w:t>物+创意制作”等新型体验</w:t>
      </w:r>
      <w:r>
        <w:rPr>
          <w:spacing w:val="21"/>
          <w:sz w:val="32"/>
          <w:szCs w:val="32"/>
        </w:rPr>
        <w:t>服务</w:t>
      </w:r>
      <w:r>
        <w:rPr>
          <w:spacing w:val="13"/>
          <w:sz w:val="32"/>
          <w:szCs w:val="32"/>
        </w:rPr>
        <w:t>；积极打造“</w:t>
      </w:r>
      <w:r>
        <w:rPr>
          <w:spacing w:val="22"/>
          <w:sz w:val="32"/>
          <w:szCs w:val="32"/>
        </w:rPr>
        <w:t>消</w:t>
      </w:r>
      <w:r>
        <w:rPr>
          <w:spacing w:val="13"/>
          <w:sz w:val="32"/>
          <w:szCs w:val="32"/>
        </w:rPr>
        <w:t>费在金凤”品</w:t>
      </w:r>
      <w:r>
        <w:rPr>
          <w:spacing w:val="8"/>
          <w:w w:val="95"/>
          <w:sz w:val="32"/>
          <w:szCs w:val="32"/>
        </w:rPr>
        <w:t>牌，鼓励发展“她”消费、假日消费、绿色消费、夜间消费、</w:t>
      </w:r>
    </w:p>
    <w:p w14:paraId="64F473F5">
      <w:pPr>
        <w:spacing w:line="338" w:lineRule="auto"/>
        <w:sectPr>
          <w:pgSz w:w="11910" w:h="16840"/>
          <w:pgMar w:top="1800" w:right="1220" w:bottom="1160" w:left="1280" w:header="0" w:footer="975" w:gutter="0"/>
          <w:cols w:space="720" w:num="1"/>
        </w:sectPr>
      </w:pPr>
    </w:p>
    <w:p w14:paraId="374CFAE0">
      <w:pPr>
        <w:spacing w:before="28" w:line="340" w:lineRule="auto"/>
        <w:ind w:left="193" w:right="275"/>
        <w:rPr>
          <w:sz w:val="32"/>
          <w:szCs w:val="32"/>
        </w:rPr>
      </w:pPr>
      <w:r>
        <w:rPr>
          <w:spacing w:val="23"/>
          <w:w w:val="99"/>
          <w:sz w:val="32"/>
          <w:szCs w:val="32"/>
        </w:rPr>
        <w:t>共享消费、体验消费等消费新模式，推广直播带货、社区团</w:t>
      </w:r>
      <w:r>
        <w:rPr>
          <w:spacing w:val="18"/>
          <w:w w:val="99"/>
          <w:sz w:val="32"/>
          <w:szCs w:val="32"/>
        </w:rPr>
        <w:t>购等消费新形式。</w:t>
      </w:r>
    </w:p>
    <w:p w14:paraId="1F413DD1">
      <w:pPr>
        <w:spacing w:line="338" w:lineRule="auto"/>
        <w:ind w:left="193" w:right="264" w:firstLine="684"/>
        <w:jc w:val="both"/>
        <w:rPr>
          <w:sz w:val="32"/>
          <w:szCs w:val="32"/>
        </w:rPr>
      </w:pPr>
      <w:r>
        <w:rPr>
          <w:b/>
          <w:spacing w:val="26"/>
          <w:w w:val="99"/>
          <w:sz w:val="32"/>
          <w:szCs w:val="32"/>
        </w:rPr>
        <w:t>创新发展社区经济。</w:t>
      </w:r>
      <w:r>
        <w:rPr>
          <w:spacing w:val="22"/>
          <w:w w:val="99"/>
          <w:sz w:val="32"/>
          <w:szCs w:val="32"/>
        </w:rPr>
        <w:t>抓住社区经济“疫”中崛起机遇，</w:t>
      </w:r>
      <w:r>
        <w:rPr>
          <w:spacing w:val="23"/>
          <w:w w:val="99"/>
          <w:sz w:val="32"/>
          <w:szCs w:val="32"/>
        </w:rPr>
        <w:t>推进建设城市邻里中心，打造集农贸市场、便民服务、教育</w:t>
      </w:r>
      <w:r>
        <w:rPr>
          <w:spacing w:val="20"/>
          <w:w w:val="99"/>
          <w:sz w:val="32"/>
          <w:szCs w:val="32"/>
        </w:rPr>
        <w:t>培训、居民交流为一体的“</w:t>
      </w:r>
      <w:r>
        <w:rPr>
          <w:rFonts w:ascii="Times New Roman" w:hAnsi="Times New Roman" w:eastAsia="Times New Roman"/>
          <w:spacing w:val="8"/>
          <w:w w:val="99"/>
          <w:sz w:val="32"/>
          <w:szCs w:val="32"/>
        </w:rPr>
        <w:t>1</w:t>
      </w:r>
      <w:r>
        <w:rPr>
          <w:rFonts w:ascii="Times New Roman" w:hAnsi="Times New Roman" w:eastAsia="Times New Roman"/>
          <w:w w:val="99"/>
          <w:sz w:val="32"/>
          <w:szCs w:val="32"/>
        </w:rPr>
        <w:t>5</w:t>
      </w:r>
      <w:r>
        <w:rPr>
          <w:rFonts w:ascii="Times New Roman" w:hAnsi="Times New Roman" w:eastAsia="Times New Roman"/>
          <w:spacing w:val="19"/>
          <w:sz w:val="32"/>
          <w:szCs w:val="32"/>
        </w:rPr>
        <w:t xml:space="preserve"> </w:t>
      </w:r>
      <w:r>
        <w:rPr>
          <w:spacing w:val="17"/>
          <w:w w:val="99"/>
          <w:sz w:val="32"/>
          <w:szCs w:val="32"/>
        </w:rPr>
        <w:t>分钟社区生活圈”。积极对接</w:t>
      </w:r>
      <w:r>
        <w:rPr>
          <w:spacing w:val="23"/>
          <w:w w:val="99"/>
          <w:sz w:val="32"/>
          <w:szCs w:val="32"/>
        </w:rPr>
        <w:t>新百、永辉等大型商业企业，大力发展便利店、社区菜店，建设社区便民商圈。引导餐饮、家政等生活服务企业积极下沉社区，完善家政服务、养生服务、养老服务、社区照料、病患陪护、托儿托幼、物业管理、殡葬服务等社区服务。推动开展“智慧社区”试点工程，推广定点收寄、定点投递、</w:t>
      </w:r>
      <w:r>
        <w:rPr>
          <w:spacing w:val="25"/>
          <w:w w:val="99"/>
          <w:sz w:val="32"/>
          <w:szCs w:val="32"/>
        </w:rPr>
        <w:t>预约送餐等“</w:t>
      </w:r>
      <w:r>
        <w:rPr>
          <w:spacing w:val="-129"/>
          <w:sz w:val="32"/>
          <w:szCs w:val="32"/>
        </w:rPr>
        <w:t xml:space="preserve"> </w:t>
      </w:r>
      <w:r>
        <w:rPr>
          <w:spacing w:val="27"/>
          <w:w w:val="99"/>
          <w:sz w:val="32"/>
          <w:szCs w:val="32"/>
        </w:rPr>
        <w:t>无直接接触配送”</w:t>
      </w:r>
      <w:r>
        <w:rPr>
          <w:spacing w:val="-129"/>
          <w:sz w:val="32"/>
          <w:szCs w:val="32"/>
        </w:rPr>
        <w:t xml:space="preserve"> </w:t>
      </w:r>
      <w:r>
        <w:rPr>
          <w:spacing w:val="27"/>
          <w:w w:val="99"/>
          <w:sz w:val="32"/>
          <w:szCs w:val="32"/>
        </w:rPr>
        <w:t>服务模式。强化“</w:t>
      </w:r>
      <w:r>
        <w:rPr>
          <w:spacing w:val="-129"/>
          <w:sz w:val="32"/>
          <w:szCs w:val="32"/>
        </w:rPr>
        <w:t xml:space="preserve"> </w:t>
      </w:r>
      <w:r>
        <w:rPr>
          <w:spacing w:val="23"/>
          <w:w w:val="99"/>
          <w:sz w:val="32"/>
          <w:szCs w:val="32"/>
        </w:rPr>
        <w:t>互联网+便利店”建设，探索推行社区体验式电商、社区无人零售等</w:t>
      </w:r>
      <w:r>
        <w:rPr>
          <w:spacing w:val="15"/>
          <w:w w:val="99"/>
          <w:sz w:val="32"/>
          <w:szCs w:val="32"/>
        </w:rPr>
        <w:t>新模式。</w:t>
      </w:r>
    </w:p>
    <w:p w14:paraId="24ED379F">
      <w:pPr>
        <w:spacing w:before="17" w:line="338" w:lineRule="auto"/>
        <w:ind w:left="193" w:right="273" w:firstLine="684"/>
        <w:jc w:val="both"/>
        <w:rPr>
          <w:sz w:val="32"/>
          <w:szCs w:val="32"/>
        </w:rPr>
      </w:pPr>
      <w:r>
        <w:rPr>
          <w:b/>
          <w:spacing w:val="26"/>
          <w:w w:val="99"/>
          <w:sz w:val="32"/>
          <w:szCs w:val="32"/>
        </w:rPr>
        <w:t>完善城乡流通体系</w:t>
      </w:r>
      <w:r>
        <w:rPr>
          <w:spacing w:val="22"/>
          <w:w w:val="99"/>
          <w:sz w:val="32"/>
          <w:szCs w:val="32"/>
        </w:rPr>
        <w:t>。推进传统商贸市场改造升级，优化</w:t>
      </w:r>
      <w:r>
        <w:rPr>
          <w:spacing w:val="23"/>
          <w:w w:val="99"/>
          <w:sz w:val="32"/>
          <w:szCs w:val="32"/>
        </w:rPr>
        <w:t>调整农贸、二手车市场布局，支持两镇建设便民市场、惠民市场。依托区镇村三级电商物流体系和农产品产销联盟，推动商品生产、流通与销售过程升级改造，扩大农村电商覆盖面。推进汽车、家电等耐用消费品下乡，全面激活农村消费</w:t>
      </w:r>
      <w:r>
        <w:rPr>
          <w:spacing w:val="16"/>
          <w:w w:val="99"/>
          <w:sz w:val="32"/>
          <w:szCs w:val="32"/>
        </w:rPr>
        <w:t>市场活力。</w:t>
      </w:r>
    </w:p>
    <w:p w14:paraId="3B7B872F">
      <w:pPr>
        <w:spacing w:line="494" w:lineRule="exact"/>
        <w:ind w:left="877"/>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spacing w:val="24"/>
          <w:w w:val="95"/>
          <w:sz w:val="32"/>
          <w:szCs w:val="32"/>
        </w:rPr>
        <w:t>（三）巩固发展金融服</w:t>
      </w:r>
      <w:r>
        <w:rPr>
          <w:rFonts w:ascii="Microsoft JhengHei" w:hAnsi="Microsoft JhengHei" w:eastAsia="Microsoft JhengHei" w:cs="Microsoft JhengHei"/>
          <w:b/>
          <w:bCs/>
          <w:spacing w:val="-10"/>
          <w:w w:val="95"/>
          <w:sz w:val="32"/>
          <w:szCs w:val="32"/>
        </w:rPr>
        <w:t>务</w:t>
      </w:r>
    </w:p>
    <w:p w14:paraId="0CFDE74D">
      <w:pPr>
        <w:spacing w:before="95" w:line="340" w:lineRule="auto"/>
        <w:ind w:left="193" w:right="106" w:firstLine="640"/>
        <w:rPr>
          <w:sz w:val="32"/>
          <w:szCs w:val="32"/>
        </w:rPr>
      </w:pPr>
      <w:r>
        <w:rPr>
          <w:spacing w:val="24"/>
          <w:w w:val="99"/>
          <w:sz w:val="32"/>
          <w:szCs w:val="32"/>
        </w:rPr>
        <w:t>着力推进金融、科技和产业的良性循环，</w:t>
      </w:r>
      <w:r>
        <w:rPr>
          <w:spacing w:val="-131"/>
          <w:sz w:val="32"/>
          <w:szCs w:val="32"/>
        </w:rPr>
        <w:t xml:space="preserve"> </w:t>
      </w:r>
      <w:r>
        <w:rPr>
          <w:spacing w:val="21"/>
          <w:w w:val="99"/>
          <w:sz w:val="32"/>
          <w:szCs w:val="32"/>
        </w:rPr>
        <w:t>以壮大传统金</w:t>
      </w:r>
      <w:r>
        <w:rPr>
          <w:spacing w:val="10"/>
          <w:w w:val="99"/>
          <w:sz w:val="32"/>
          <w:szCs w:val="32"/>
        </w:rPr>
        <w:t>融业、大力发展新兴金融业、建立金融要素市场体系为重点，</w:t>
      </w:r>
      <w:r>
        <w:rPr>
          <w:spacing w:val="23"/>
          <w:w w:val="99"/>
          <w:sz w:val="32"/>
          <w:szCs w:val="32"/>
        </w:rPr>
        <w:t>巩固提升现有金融产业优势，引进培育新兴金融业态，打造</w:t>
      </w:r>
    </w:p>
    <w:p w14:paraId="467895B5">
      <w:pPr>
        <w:spacing w:line="340" w:lineRule="auto"/>
        <w:sectPr>
          <w:pgSz w:w="11910" w:h="16840"/>
          <w:pgMar w:top="1800" w:right="1220" w:bottom="1160" w:left="1280" w:header="0" w:footer="975" w:gutter="0"/>
          <w:cols w:space="720" w:num="1"/>
        </w:sectPr>
      </w:pPr>
    </w:p>
    <w:p w14:paraId="0B4A1C2D">
      <w:pPr>
        <w:spacing w:before="28" w:line="338" w:lineRule="auto"/>
        <w:ind w:left="193" w:right="270"/>
        <w:jc w:val="both"/>
        <w:rPr>
          <w:sz w:val="32"/>
          <w:szCs w:val="32"/>
        </w:rPr>
      </w:pPr>
      <w:r>
        <w:rPr>
          <w:spacing w:val="23"/>
          <w:w w:val="99"/>
          <w:sz w:val="32"/>
          <w:szCs w:val="32"/>
        </w:rPr>
        <w:t>区域性金融中心核心区，“十四五”期间，金融服务业增加</w:t>
      </w:r>
      <w:r>
        <w:rPr>
          <w:spacing w:val="18"/>
          <w:w w:val="99"/>
          <w:sz w:val="32"/>
          <w:szCs w:val="32"/>
        </w:rPr>
        <w:t>值年均增长保持</w:t>
      </w:r>
      <w:r>
        <w:rPr>
          <w:spacing w:val="-52"/>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0</w:t>
      </w:r>
      <w:r>
        <w:rPr>
          <w:rFonts w:ascii="Times New Roman" w:hAnsi="Times New Roman" w:eastAsia="Times New Roman"/>
          <w:spacing w:val="17"/>
          <w:w w:val="99"/>
          <w:sz w:val="32"/>
          <w:szCs w:val="32"/>
        </w:rPr>
        <w:t>%</w:t>
      </w:r>
      <w:r>
        <w:rPr>
          <w:w w:val="99"/>
          <w:sz w:val="32"/>
          <w:szCs w:val="32"/>
        </w:rPr>
        <w:t>以上，到</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02</w:t>
      </w:r>
      <w:r>
        <w:rPr>
          <w:rFonts w:ascii="Times New Roman" w:hAnsi="Times New Roman" w:eastAsia="Times New Roman"/>
          <w:w w:val="99"/>
          <w:sz w:val="32"/>
          <w:szCs w:val="32"/>
        </w:rPr>
        <w:t>5</w:t>
      </w:r>
      <w:r>
        <w:rPr>
          <w:rFonts w:ascii="Times New Roman" w:hAnsi="Times New Roman" w:eastAsia="Times New Roman"/>
          <w:spacing w:val="22"/>
          <w:sz w:val="32"/>
          <w:szCs w:val="32"/>
        </w:rPr>
        <w:t xml:space="preserve"> </w:t>
      </w:r>
      <w:r>
        <w:rPr>
          <w:spacing w:val="13"/>
          <w:w w:val="99"/>
          <w:sz w:val="32"/>
          <w:szCs w:val="32"/>
        </w:rPr>
        <w:t>年，金融业占第三产业比</w:t>
      </w:r>
      <w:r>
        <w:rPr>
          <w:spacing w:val="10"/>
          <w:w w:val="99"/>
          <w:sz w:val="32"/>
          <w:szCs w:val="32"/>
        </w:rPr>
        <w:t>重达</w:t>
      </w:r>
      <w:r>
        <w:rPr>
          <w:spacing w:val="-50"/>
          <w:sz w:val="32"/>
          <w:szCs w:val="32"/>
        </w:rPr>
        <w:t xml:space="preserve"> </w:t>
      </w:r>
      <w:r>
        <w:rPr>
          <w:rFonts w:ascii="Times New Roman" w:hAnsi="Times New Roman" w:eastAsia="Times New Roman"/>
          <w:spacing w:val="6"/>
          <w:w w:val="99"/>
          <w:sz w:val="32"/>
          <w:szCs w:val="32"/>
        </w:rPr>
        <w:t>3</w:t>
      </w:r>
      <w:r>
        <w:rPr>
          <w:rFonts w:ascii="Times New Roman" w:hAnsi="Times New Roman" w:eastAsia="Times New Roman"/>
          <w:spacing w:val="13"/>
          <w:w w:val="99"/>
          <w:sz w:val="32"/>
          <w:szCs w:val="32"/>
        </w:rPr>
        <w:t>0</w:t>
      </w:r>
      <w:r>
        <w:rPr>
          <w:rFonts w:ascii="Times New Roman" w:hAnsi="Times New Roman" w:eastAsia="Times New Roman"/>
          <w:spacing w:val="15"/>
          <w:w w:val="99"/>
          <w:sz w:val="32"/>
          <w:szCs w:val="32"/>
        </w:rPr>
        <w:t>%</w:t>
      </w:r>
      <w:r>
        <w:rPr>
          <w:spacing w:val="14"/>
          <w:w w:val="99"/>
          <w:sz w:val="32"/>
          <w:szCs w:val="32"/>
        </w:rPr>
        <w:t>以上。</w:t>
      </w:r>
    </w:p>
    <w:p w14:paraId="3527B3DA">
      <w:pPr>
        <w:spacing w:before="5" w:line="352" w:lineRule="auto"/>
        <w:ind w:left="193" w:right="113" w:firstLine="640"/>
        <w:rPr>
          <w:sz w:val="30"/>
        </w:rPr>
      </w:pPr>
      <w:r>
        <w:rPr>
          <w:b/>
          <w:spacing w:val="27"/>
          <w:sz w:val="32"/>
        </w:rPr>
        <w:t>壮大金</w:t>
      </w:r>
      <w:r>
        <w:rPr>
          <w:b/>
          <w:spacing w:val="26"/>
          <w:sz w:val="32"/>
        </w:rPr>
        <w:t>融</w:t>
      </w:r>
      <w:r>
        <w:rPr>
          <w:b/>
          <w:spacing w:val="27"/>
          <w:sz w:val="32"/>
        </w:rPr>
        <w:t>总部。</w:t>
      </w:r>
      <w:r>
        <w:rPr>
          <w:spacing w:val="26"/>
          <w:sz w:val="32"/>
        </w:rPr>
        <w:t>依托阅海湾中央商务</w:t>
      </w:r>
      <w:r>
        <w:rPr>
          <w:spacing w:val="27"/>
          <w:sz w:val="32"/>
        </w:rPr>
        <w:t>区</w:t>
      </w:r>
      <w:r>
        <w:rPr>
          <w:spacing w:val="26"/>
          <w:sz w:val="32"/>
        </w:rPr>
        <w:t>（丝</w:t>
      </w:r>
      <w:r>
        <w:rPr>
          <w:spacing w:val="27"/>
          <w:sz w:val="32"/>
        </w:rPr>
        <w:t>路</w:t>
      </w:r>
      <w:r>
        <w:rPr>
          <w:spacing w:val="26"/>
          <w:sz w:val="32"/>
        </w:rPr>
        <w:t>经济</w:t>
      </w:r>
      <w:r>
        <w:rPr>
          <w:spacing w:val="27"/>
          <w:sz w:val="32"/>
        </w:rPr>
        <w:t>园</w:t>
      </w:r>
      <w:r>
        <w:rPr>
          <w:sz w:val="32"/>
        </w:rPr>
        <w:t>）</w:t>
      </w:r>
      <w:r>
        <w:rPr>
          <w:spacing w:val="20"/>
          <w:sz w:val="32"/>
        </w:rPr>
        <w:t>自治区现代服务业金融集聚区“</w:t>
      </w:r>
      <w:r>
        <w:rPr>
          <w:spacing w:val="17"/>
          <w:sz w:val="30"/>
        </w:rPr>
        <w:t>金字招牌”，鼓励知名金融机</w:t>
      </w:r>
      <w:r>
        <w:rPr>
          <w:spacing w:val="6"/>
          <w:sz w:val="30"/>
        </w:rPr>
        <w:t>构设立区域性总部和运营中心、投资中心等职能总部。吸引保险、</w:t>
      </w:r>
      <w:r>
        <w:rPr>
          <w:spacing w:val="11"/>
          <w:sz w:val="30"/>
        </w:rPr>
        <w:t>证券、期货、信托等国内非银行金融机构设立管理总部、运营中</w:t>
      </w:r>
      <w:r>
        <w:rPr>
          <w:spacing w:val="4"/>
          <w:sz w:val="30"/>
        </w:rPr>
        <w:t>心、投资中心、后台服务中心等，形成大型金融机构总部集聚地。</w:t>
      </w:r>
    </w:p>
    <w:p w14:paraId="4F2B934D">
      <w:pPr>
        <w:spacing w:line="338" w:lineRule="auto"/>
        <w:ind w:left="193" w:right="273" w:firstLine="640"/>
        <w:jc w:val="both"/>
        <w:rPr>
          <w:sz w:val="32"/>
          <w:szCs w:val="32"/>
        </w:rPr>
      </w:pPr>
      <w:r>
        <w:rPr>
          <w:b/>
          <w:spacing w:val="27"/>
          <w:w w:val="99"/>
          <w:sz w:val="32"/>
          <w:szCs w:val="32"/>
        </w:rPr>
        <w:t>做优新型金融。</w:t>
      </w:r>
      <w:r>
        <w:rPr>
          <w:spacing w:val="23"/>
          <w:w w:val="99"/>
          <w:sz w:val="32"/>
          <w:szCs w:val="32"/>
        </w:rPr>
        <w:t>鼓励金融机构与文化旅游、养老、医疗健康等产业融合，推动发展产业金融；探索创新和突破科技金融政策，推进科技银行、科技保险等科技金融专营机构建设，聚焦发展科技金融、财富金融、绿色金融、消费金融、普惠金融、跨境金融新业态，推广知识产权质押、产业链融资、投贷联动、股权质押融资、无形资产抵押融资等新型融资产品。鼓励华融西部、建信财险、顺亿资产等企业增资扩</w:t>
      </w:r>
      <w:r>
        <w:rPr>
          <w:spacing w:val="21"/>
          <w:w w:val="99"/>
          <w:sz w:val="32"/>
          <w:szCs w:val="32"/>
        </w:rPr>
        <w:t>股，扶持做大一批金融产业</w:t>
      </w:r>
      <w:r>
        <w:rPr>
          <w:rFonts w:ascii="Times New Roman" w:hAnsi="Times New Roman" w:eastAsia="Times New Roman"/>
          <w:spacing w:val="12"/>
          <w:w w:val="99"/>
          <w:sz w:val="32"/>
          <w:szCs w:val="32"/>
        </w:rPr>
        <w:t>“</w:t>
      </w:r>
      <w:r>
        <w:rPr>
          <w:spacing w:val="21"/>
          <w:w w:val="99"/>
          <w:sz w:val="32"/>
          <w:szCs w:val="32"/>
        </w:rPr>
        <w:t>单项冠军</w:t>
      </w:r>
      <w:r>
        <w:rPr>
          <w:rFonts w:ascii="Times New Roman" w:hAnsi="Times New Roman" w:eastAsia="Times New Roman"/>
          <w:spacing w:val="12"/>
          <w:w w:val="99"/>
          <w:sz w:val="32"/>
          <w:szCs w:val="32"/>
        </w:rPr>
        <w:t>”</w:t>
      </w:r>
      <w:r>
        <w:rPr>
          <w:w w:val="99"/>
          <w:sz w:val="32"/>
          <w:szCs w:val="32"/>
        </w:rPr>
        <w:t>。</w:t>
      </w:r>
    </w:p>
    <w:p w14:paraId="55BEDA65">
      <w:pPr>
        <w:spacing w:before="16" w:line="338" w:lineRule="auto"/>
        <w:ind w:left="193" w:right="273" w:firstLine="640"/>
        <w:jc w:val="both"/>
        <w:rPr>
          <w:sz w:val="32"/>
          <w:szCs w:val="32"/>
        </w:rPr>
      </w:pPr>
      <w:r>
        <w:rPr>
          <w:b/>
          <w:spacing w:val="27"/>
          <w:w w:val="99"/>
          <w:sz w:val="32"/>
          <w:szCs w:val="32"/>
        </w:rPr>
        <w:t>提升金融保险。</w:t>
      </w:r>
      <w:r>
        <w:rPr>
          <w:spacing w:val="23"/>
          <w:w w:val="99"/>
          <w:sz w:val="32"/>
          <w:szCs w:val="32"/>
        </w:rPr>
        <w:t>吸引国内外保险机构入驻，争取国家、自治区层面的保险业改革在阅海湾商务区先行先试，以建信财险区域性总部为龙头，加快构建集保险交易市场、保险代理、保险经纪、保险电商平台、保险企业、保险监管机构和</w:t>
      </w:r>
      <w:r>
        <w:rPr>
          <w:spacing w:val="24"/>
          <w:w w:val="99"/>
          <w:sz w:val="32"/>
          <w:szCs w:val="32"/>
        </w:rPr>
        <w:t>公共基础资源供应商</w:t>
      </w:r>
      <w:r>
        <w:rPr>
          <w:spacing w:val="26"/>
          <w:w w:val="99"/>
          <w:sz w:val="32"/>
          <w:szCs w:val="32"/>
        </w:rPr>
        <w:t>（</w:t>
      </w:r>
      <w:r>
        <w:rPr>
          <w:spacing w:val="22"/>
          <w:w w:val="99"/>
          <w:sz w:val="32"/>
          <w:szCs w:val="32"/>
        </w:rPr>
        <w:t>评级机构、资信机构、行为数据后台</w:t>
      </w:r>
      <w:r>
        <w:rPr>
          <w:spacing w:val="21"/>
          <w:w w:val="99"/>
          <w:sz w:val="32"/>
          <w:szCs w:val="32"/>
        </w:rPr>
        <w:t>机构等</w:t>
      </w:r>
      <w:r>
        <w:rPr>
          <w:spacing w:val="24"/>
          <w:w w:val="99"/>
          <w:sz w:val="32"/>
          <w:szCs w:val="32"/>
        </w:rPr>
        <w:t>）</w:t>
      </w:r>
      <w:r>
        <w:rPr>
          <w:spacing w:val="18"/>
          <w:w w:val="99"/>
          <w:sz w:val="32"/>
          <w:szCs w:val="32"/>
        </w:rPr>
        <w:t>为一体的保险生态圈。</w:t>
      </w:r>
    </w:p>
    <w:p w14:paraId="15CD4456">
      <w:pPr>
        <w:spacing w:before="11"/>
        <w:ind w:left="834"/>
        <w:rPr>
          <w:sz w:val="32"/>
        </w:rPr>
      </w:pPr>
      <w:r>
        <w:rPr>
          <w:b/>
          <w:spacing w:val="27"/>
          <w:w w:val="95"/>
          <w:sz w:val="32"/>
        </w:rPr>
        <w:t>发展</w:t>
      </w:r>
      <w:r>
        <w:rPr>
          <w:b/>
          <w:spacing w:val="29"/>
          <w:w w:val="95"/>
          <w:sz w:val="32"/>
        </w:rPr>
        <w:t>网络金融。</w:t>
      </w:r>
      <w:r>
        <w:rPr>
          <w:spacing w:val="27"/>
          <w:w w:val="95"/>
          <w:sz w:val="32"/>
        </w:rPr>
        <w:t>探索</w:t>
      </w:r>
      <w:r>
        <w:rPr>
          <w:spacing w:val="26"/>
          <w:w w:val="95"/>
          <w:sz w:val="32"/>
        </w:rPr>
        <w:t>引进</w:t>
      </w:r>
      <w:r>
        <w:rPr>
          <w:spacing w:val="27"/>
          <w:w w:val="95"/>
          <w:sz w:val="32"/>
        </w:rPr>
        <w:t>由银行</w:t>
      </w:r>
      <w:r>
        <w:rPr>
          <w:spacing w:val="26"/>
          <w:w w:val="95"/>
          <w:sz w:val="32"/>
        </w:rPr>
        <w:t>业、</w:t>
      </w:r>
      <w:r>
        <w:rPr>
          <w:spacing w:val="29"/>
          <w:w w:val="95"/>
          <w:sz w:val="32"/>
        </w:rPr>
        <w:t>证</w:t>
      </w:r>
      <w:r>
        <w:rPr>
          <w:spacing w:val="26"/>
          <w:w w:val="95"/>
          <w:sz w:val="32"/>
        </w:rPr>
        <w:t>券业</w:t>
      </w:r>
      <w:r>
        <w:rPr>
          <w:spacing w:val="29"/>
          <w:w w:val="95"/>
          <w:sz w:val="32"/>
        </w:rPr>
        <w:t>、</w:t>
      </w:r>
      <w:r>
        <w:rPr>
          <w:spacing w:val="26"/>
          <w:w w:val="95"/>
          <w:sz w:val="32"/>
        </w:rPr>
        <w:t>保险</w:t>
      </w:r>
      <w:r>
        <w:rPr>
          <w:spacing w:val="9"/>
          <w:w w:val="95"/>
          <w:sz w:val="32"/>
        </w:rPr>
        <w:t>业等</w:t>
      </w:r>
    </w:p>
    <w:p w14:paraId="06FCA291">
      <w:pPr>
        <w:rPr>
          <w:sz w:val="32"/>
        </w:rPr>
        <w:sectPr>
          <w:pgSz w:w="11910" w:h="16840"/>
          <w:pgMar w:top="1800" w:right="1220" w:bottom="1160" w:left="1280" w:header="0" w:footer="975" w:gutter="0"/>
          <w:cols w:space="720" w:num="1"/>
        </w:sectPr>
      </w:pPr>
    </w:p>
    <w:p w14:paraId="28CADBD7">
      <w:pPr>
        <w:spacing w:before="28" w:line="338" w:lineRule="auto"/>
        <w:ind w:left="193" w:right="275"/>
        <w:jc w:val="both"/>
        <w:rPr>
          <w:sz w:val="32"/>
          <w:szCs w:val="32"/>
        </w:rPr>
      </w:pPr>
      <w:r>
        <w:rPr>
          <w:spacing w:val="23"/>
          <w:w w:val="99"/>
          <w:sz w:val="32"/>
          <w:szCs w:val="32"/>
        </w:rPr>
        <w:t>传统金融机构共同发起设立的从事互联网金融相关业务的功能性总部。重点发展互联网第三方支付平台、基于电子商务大数据的小额贷款公司、网络保险公司和互联网金融后台服</w:t>
      </w:r>
      <w:r>
        <w:rPr>
          <w:spacing w:val="-12"/>
          <w:w w:val="99"/>
          <w:sz w:val="32"/>
          <w:szCs w:val="32"/>
        </w:rPr>
        <w:t>务</w:t>
      </w:r>
      <w:r>
        <w:rPr>
          <w:spacing w:val="24"/>
          <w:w w:val="99"/>
          <w:sz w:val="32"/>
          <w:szCs w:val="32"/>
        </w:rPr>
        <w:t>（</w:t>
      </w:r>
      <w:r>
        <w:rPr>
          <w:spacing w:val="16"/>
          <w:w w:val="99"/>
          <w:sz w:val="32"/>
          <w:szCs w:val="32"/>
        </w:rPr>
        <w:t>互联网增值服务、大数据平台</w:t>
      </w:r>
      <w:r>
        <w:rPr>
          <w:spacing w:val="-147"/>
          <w:w w:val="99"/>
          <w:sz w:val="32"/>
          <w:szCs w:val="32"/>
        </w:rPr>
        <w:t>）</w:t>
      </w:r>
      <w:r>
        <w:rPr>
          <w:spacing w:val="14"/>
          <w:w w:val="99"/>
          <w:sz w:val="32"/>
          <w:szCs w:val="32"/>
        </w:rPr>
        <w:t>，积极拓展众筹等网络债</w:t>
      </w:r>
      <w:r>
        <w:rPr>
          <w:spacing w:val="23"/>
          <w:w w:val="99"/>
          <w:sz w:val="32"/>
          <w:szCs w:val="32"/>
        </w:rPr>
        <w:t>券融资、网络股权融资业务，帮助有条件的企业搭建金融交</w:t>
      </w:r>
      <w:r>
        <w:rPr>
          <w:spacing w:val="19"/>
          <w:w w:val="99"/>
          <w:sz w:val="32"/>
          <w:szCs w:val="32"/>
        </w:rPr>
        <w:t>易信息平台，提高金融资产处置交易水平。</w:t>
      </w:r>
    </w:p>
    <w:p w14:paraId="09608F44">
      <w:pPr>
        <w:spacing w:line="494" w:lineRule="exact"/>
        <w:ind w:left="877"/>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spacing w:val="24"/>
          <w:w w:val="95"/>
          <w:sz w:val="32"/>
          <w:szCs w:val="32"/>
        </w:rPr>
        <w:t>（四）加快聚集总部经</w:t>
      </w:r>
      <w:r>
        <w:rPr>
          <w:rFonts w:ascii="Microsoft JhengHei" w:hAnsi="Microsoft JhengHei" w:eastAsia="Microsoft JhengHei" w:cs="Microsoft JhengHei"/>
          <w:b/>
          <w:bCs/>
          <w:spacing w:val="-10"/>
          <w:w w:val="95"/>
          <w:sz w:val="32"/>
          <w:szCs w:val="32"/>
        </w:rPr>
        <w:t>济</w:t>
      </w:r>
    </w:p>
    <w:p w14:paraId="5864D41B">
      <w:pPr>
        <w:spacing w:before="97" w:line="338" w:lineRule="auto"/>
        <w:ind w:left="193" w:right="275" w:firstLine="684"/>
        <w:jc w:val="both"/>
        <w:rPr>
          <w:sz w:val="32"/>
          <w:szCs w:val="32"/>
        </w:rPr>
      </w:pPr>
      <w:r>
        <w:rPr>
          <w:spacing w:val="23"/>
          <w:w w:val="99"/>
          <w:sz w:val="32"/>
          <w:szCs w:val="32"/>
        </w:rPr>
        <w:t>发挥阅海湾中央商务区、丝路经济园融合发展的叠加优势，以区域性总部为重点，培育和引进企业总部，推动企业总部经济聚集，实施品牌带动战略，优化总部企业服务，构</w:t>
      </w:r>
      <w:r>
        <w:rPr>
          <w:spacing w:val="20"/>
          <w:w w:val="99"/>
          <w:sz w:val="32"/>
          <w:szCs w:val="32"/>
        </w:rPr>
        <w:t>建“区域企业+金凤总部”“宁夏市场+金凤区位”“宁夏基</w:t>
      </w:r>
      <w:r>
        <w:rPr>
          <w:spacing w:val="18"/>
          <w:w w:val="99"/>
          <w:sz w:val="32"/>
          <w:szCs w:val="32"/>
        </w:rPr>
        <w:t>地+金凤办公”的发展模式，打造区域总部经济发展高地。</w:t>
      </w:r>
    </w:p>
    <w:p w14:paraId="2F29F6B0">
      <w:pPr>
        <w:spacing w:before="9" w:line="338" w:lineRule="auto"/>
        <w:ind w:left="193" w:right="273" w:firstLine="640"/>
        <w:jc w:val="both"/>
        <w:rPr>
          <w:sz w:val="32"/>
          <w:szCs w:val="32"/>
        </w:rPr>
      </w:pPr>
      <w:r>
        <w:rPr>
          <w:b/>
          <w:spacing w:val="27"/>
          <w:w w:val="99"/>
          <w:sz w:val="32"/>
          <w:szCs w:val="32"/>
        </w:rPr>
        <w:t>实施总部带动战略。</w:t>
      </w:r>
      <w:r>
        <w:rPr>
          <w:spacing w:val="23"/>
          <w:w w:val="99"/>
          <w:sz w:val="32"/>
          <w:szCs w:val="32"/>
        </w:rPr>
        <w:t>积极引进国内外区域性总部，鼓励企业在辖区内设立营销总部、行政总部、结算总部、研发总</w:t>
      </w:r>
      <w:r>
        <w:rPr>
          <w:spacing w:val="24"/>
          <w:w w:val="99"/>
          <w:sz w:val="32"/>
          <w:szCs w:val="32"/>
        </w:rPr>
        <w:t>部等功能性总部，促进阅海湾中央商务区</w:t>
      </w:r>
      <w:r>
        <w:rPr>
          <w:spacing w:val="26"/>
          <w:w w:val="99"/>
          <w:sz w:val="32"/>
          <w:szCs w:val="32"/>
        </w:rPr>
        <w:t>（</w:t>
      </w:r>
      <w:r>
        <w:rPr>
          <w:spacing w:val="24"/>
          <w:w w:val="99"/>
          <w:sz w:val="32"/>
          <w:szCs w:val="32"/>
        </w:rPr>
        <w:t>丝路经济园）</w:t>
      </w:r>
      <w:r>
        <w:rPr>
          <w:w w:val="99"/>
          <w:sz w:val="32"/>
          <w:szCs w:val="32"/>
        </w:rPr>
        <w:t>世</w:t>
      </w:r>
      <w:r>
        <w:rPr>
          <w:spacing w:val="23"/>
          <w:w w:val="99"/>
          <w:sz w:val="32"/>
          <w:szCs w:val="32"/>
        </w:rPr>
        <w:t>茂侨商经济中心、国度大厦、顺亿资产、宁夏物资流通协会大厦、闽宁大厦、山东大厦浙商大厦、内蒙古大厦、豫商总部大厦等总部项目落地建设，推进平安银行、太平洋保险等</w:t>
      </w:r>
      <w:r>
        <w:rPr>
          <w:spacing w:val="16"/>
          <w:w w:val="99"/>
          <w:sz w:val="32"/>
          <w:szCs w:val="32"/>
        </w:rPr>
        <w:t>机构落地。</w:t>
      </w:r>
    </w:p>
    <w:p w14:paraId="77E98079">
      <w:pPr>
        <w:spacing w:before="14" w:line="338" w:lineRule="auto"/>
        <w:ind w:left="193" w:right="274" w:firstLine="684"/>
        <w:jc w:val="both"/>
        <w:rPr>
          <w:sz w:val="32"/>
          <w:szCs w:val="32"/>
        </w:rPr>
      </w:pPr>
      <w:r>
        <w:rPr>
          <w:b/>
          <w:spacing w:val="26"/>
          <w:w w:val="99"/>
          <w:sz w:val="32"/>
          <w:szCs w:val="32"/>
        </w:rPr>
        <w:t>实施产业带动战略。</w:t>
      </w:r>
      <w:r>
        <w:rPr>
          <w:spacing w:val="22"/>
          <w:w w:val="99"/>
          <w:sz w:val="32"/>
          <w:szCs w:val="32"/>
        </w:rPr>
        <w:t>发挥总部经济产业链“龙头效应”</w:t>
      </w:r>
      <w:r>
        <w:rPr>
          <w:spacing w:val="23"/>
          <w:w w:val="99"/>
          <w:sz w:val="32"/>
          <w:szCs w:val="32"/>
        </w:rPr>
        <w:t>和集聚规模优势，围绕金融、现代商贸、科技服务、数字经</w:t>
      </w:r>
      <w:r>
        <w:rPr>
          <w:spacing w:val="22"/>
          <w:w w:val="99"/>
          <w:sz w:val="32"/>
          <w:szCs w:val="32"/>
        </w:rPr>
        <w:t>济等重点产业，加快引进世界</w:t>
      </w:r>
      <w:r>
        <w:rPr>
          <w:spacing w:val="-50"/>
          <w:sz w:val="32"/>
          <w:szCs w:val="32"/>
        </w:rPr>
        <w:t xml:space="preserve"> </w:t>
      </w:r>
      <w:r>
        <w:rPr>
          <w:rFonts w:ascii="Times New Roman" w:hAnsi="Times New Roman" w:eastAsia="Times New Roman"/>
          <w:spacing w:val="8"/>
          <w:w w:val="99"/>
          <w:sz w:val="32"/>
          <w:szCs w:val="32"/>
        </w:rPr>
        <w:t>5</w:t>
      </w:r>
      <w:r>
        <w:rPr>
          <w:rFonts w:ascii="Times New Roman" w:hAnsi="Times New Roman" w:eastAsia="Times New Roman"/>
          <w:spacing w:val="10"/>
          <w:w w:val="99"/>
          <w:sz w:val="32"/>
          <w:szCs w:val="32"/>
        </w:rPr>
        <w:t>0</w:t>
      </w:r>
      <w:r>
        <w:rPr>
          <w:rFonts w:ascii="Times New Roman" w:hAnsi="Times New Roman" w:eastAsia="Times New Roman"/>
          <w:w w:val="99"/>
          <w:sz w:val="32"/>
          <w:szCs w:val="32"/>
        </w:rPr>
        <w:t>0</w:t>
      </w:r>
      <w:r>
        <w:rPr>
          <w:rFonts w:ascii="Times New Roman" w:hAnsi="Times New Roman" w:eastAsia="Times New Roman"/>
          <w:spacing w:val="24"/>
          <w:sz w:val="32"/>
          <w:szCs w:val="32"/>
        </w:rPr>
        <w:t xml:space="preserve"> </w:t>
      </w:r>
      <w:r>
        <w:rPr>
          <w:spacing w:val="18"/>
          <w:w w:val="99"/>
          <w:sz w:val="32"/>
          <w:szCs w:val="32"/>
        </w:rPr>
        <w:t>强、国内</w:t>
      </w:r>
      <w:r>
        <w:rPr>
          <w:spacing w:val="-50"/>
          <w:sz w:val="32"/>
          <w:szCs w:val="32"/>
        </w:rPr>
        <w:t xml:space="preserve"> </w:t>
      </w:r>
      <w:r>
        <w:rPr>
          <w:rFonts w:ascii="Times New Roman" w:hAnsi="Times New Roman" w:eastAsia="Times New Roman"/>
          <w:spacing w:val="8"/>
          <w:w w:val="99"/>
          <w:sz w:val="32"/>
          <w:szCs w:val="32"/>
        </w:rPr>
        <w:t>5</w:t>
      </w:r>
      <w:r>
        <w:rPr>
          <w:rFonts w:ascii="Times New Roman" w:hAnsi="Times New Roman" w:eastAsia="Times New Roman"/>
          <w:spacing w:val="10"/>
          <w:w w:val="99"/>
          <w:sz w:val="32"/>
          <w:szCs w:val="32"/>
        </w:rPr>
        <w:t>0</w:t>
      </w:r>
      <w:r>
        <w:rPr>
          <w:rFonts w:ascii="Times New Roman" w:hAnsi="Times New Roman" w:eastAsia="Times New Roman"/>
          <w:w w:val="99"/>
          <w:sz w:val="32"/>
          <w:szCs w:val="32"/>
        </w:rPr>
        <w:t>0</w:t>
      </w:r>
      <w:r>
        <w:rPr>
          <w:rFonts w:ascii="Times New Roman" w:hAnsi="Times New Roman" w:eastAsia="Times New Roman"/>
          <w:spacing w:val="24"/>
          <w:sz w:val="32"/>
          <w:szCs w:val="32"/>
        </w:rPr>
        <w:t xml:space="preserve"> </w:t>
      </w:r>
      <w:r>
        <w:rPr>
          <w:spacing w:val="20"/>
          <w:w w:val="99"/>
          <w:sz w:val="32"/>
          <w:szCs w:val="32"/>
        </w:rPr>
        <w:t>强管理型总</w:t>
      </w:r>
      <w:r>
        <w:rPr>
          <w:spacing w:val="23"/>
          <w:w w:val="99"/>
          <w:sz w:val="32"/>
          <w:szCs w:val="32"/>
        </w:rPr>
        <w:t>部、行业龙头研发、销售等职能型总部、大型企业区域型总</w:t>
      </w:r>
    </w:p>
    <w:p w14:paraId="3F3C6CFC">
      <w:pPr>
        <w:spacing w:line="338" w:lineRule="auto"/>
        <w:jc w:val="both"/>
        <w:sectPr>
          <w:pgSz w:w="11910" w:h="16840"/>
          <w:pgMar w:top="1800" w:right="1220" w:bottom="1160" w:left="1280" w:header="0" w:footer="975" w:gutter="0"/>
          <w:cols w:space="720" w:num="1"/>
        </w:sectPr>
      </w:pPr>
    </w:p>
    <w:p w14:paraId="1A38FF34">
      <w:pPr>
        <w:spacing w:before="28" w:line="340" w:lineRule="auto"/>
        <w:ind w:left="193" w:right="275"/>
        <w:rPr>
          <w:sz w:val="32"/>
          <w:szCs w:val="32"/>
        </w:rPr>
      </w:pPr>
      <w:r>
        <w:rPr>
          <w:spacing w:val="23"/>
          <w:w w:val="99"/>
          <w:sz w:val="32"/>
          <w:szCs w:val="32"/>
        </w:rPr>
        <w:t>部以及二三线城市企业总部，推进全区产业发展高端化，逐</w:t>
      </w:r>
      <w:r>
        <w:rPr>
          <w:spacing w:val="19"/>
          <w:w w:val="99"/>
          <w:sz w:val="32"/>
          <w:szCs w:val="32"/>
        </w:rPr>
        <w:t>步嵌入全球高端价值链体系。</w:t>
      </w:r>
    </w:p>
    <w:p w14:paraId="17A31B4D">
      <w:pPr>
        <w:spacing w:line="340" w:lineRule="auto"/>
        <w:ind w:left="193" w:right="274" w:firstLine="684"/>
        <w:jc w:val="both"/>
        <w:rPr>
          <w:sz w:val="32"/>
          <w:szCs w:val="32"/>
        </w:rPr>
      </w:pPr>
      <w:r>
        <w:rPr>
          <w:b/>
          <w:spacing w:val="20"/>
          <w:w w:val="99"/>
          <w:sz w:val="32"/>
          <w:szCs w:val="32"/>
        </w:rPr>
        <w:t>实施品牌化战略。</w:t>
      </w:r>
      <w:r>
        <w:rPr>
          <w:spacing w:val="11"/>
          <w:w w:val="99"/>
          <w:sz w:val="32"/>
          <w:szCs w:val="32"/>
        </w:rPr>
        <w:t>以“金凤总部+全球市场”为目标，形</w:t>
      </w:r>
      <w:r>
        <w:rPr>
          <w:spacing w:val="23"/>
          <w:w w:val="99"/>
          <w:sz w:val="32"/>
          <w:szCs w:val="32"/>
        </w:rPr>
        <w:t>成现代金融、电子商务、互联网数字经济、科技服务、健康养老、文化创意、商贸物流等特色鲜明的总部型企业和企业总部群落，打造金凤总部经济品牌，形成银川总部经济高端</w:t>
      </w:r>
      <w:r>
        <w:rPr>
          <w:spacing w:val="15"/>
          <w:w w:val="99"/>
          <w:sz w:val="32"/>
          <w:szCs w:val="32"/>
        </w:rPr>
        <w:t>集聚区。</w:t>
      </w:r>
    </w:p>
    <w:p w14:paraId="675B0F4B">
      <w:pPr>
        <w:spacing w:line="338" w:lineRule="auto"/>
        <w:ind w:left="193" w:right="275" w:firstLine="684"/>
        <w:jc w:val="both"/>
        <w:rPr>
          <w:sz w:val="32"/>
          <w:szCs w:val="32"/>
        </w:rPr>
      </w:pPr>
      <w:r>
        <w:rPr>
          <w:sz w:val="32"/>
          <w:szCs w:val="32"/>
        </w:rPr>
        <mc:AlternateContent>
          <mc:Choice Requires="wps">
            <w:drawing>
              <wp:anchor distT="0" distB="0" distL="114300" distR="114300" simplePos="0" relativeHeight="251701248" behindDoc="1" locked="0" layoutInCell="1" allowOverlap="1">
                <wp:simplePos x="0" y="0"/>
                <wp:positionH relativeFrom="page">
                  <wp:posOffset>887095</wp:posOffset>
                </wp:positionH>
                <wp:positionV relativeFrom="paragraph">
                  <wp:posOffset>1751965</wp:posOffset>
                </wp:positionV>
                <wp:extent cx="5785485" cy="3859530"/>
                <wp:effectExtent l="0" t="0" r="0" b="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5785485" cy="3859530"/>
                        </a:xfrm>
                        <a:prstGeom prst="rect">
                          <a:avLst/>
                        </a:prstGeom>
                        <a:noFill/>
                        <a:ln w="6096">
                          <a:solidFill>
                            <a:srgbClr val="000000"/>
                          </a:solidFill>
                          <a:prstDash val="solid"/>
                          <a:miter lim="800000"/>
                        </a:ln>
                      </wps:spPr>
                      <wps:txbx>
                        <w:txbxContent>
                          <w:p w14:paraId="7A7706CD">
                            <w:pPr>
                              <w:spacing w:before="80"/>
                              <w:ind w:left="2472" w:right="2492"/>
                              <w:jc w:val="center"/>
                              <w:rPr>
                                <w:rFonts w:ascii="黑体" w:eastAsia="黑体"/>
                                <w:sz w:val="24"/>
                              </w:rPr>
                            </w:pPr>
                            <w:r>
                              <w:rPr>
                                <w:rFonts w:ascii="黑体" w:eastAsia="黑体"/>
                                <w:spacing w:val="-5"/>
                                <w:sz w:val="24"/>
                              </w:rPr>
                              <w:t xml:space="preserve">专栏 </w:t>
                            </w:r>
                            <w:r>
                              <w:rPr>
                                <w:rFonts w:ascii="黑体" w:eastAsia="黑体"/>
                                <w:sz w:val="24"/>
                              </w:rPr>
                              <w:t>1</w:t>
                            </w:r>
                            <w:r>
                              <w:rPr>
                                <w:rFonts w:ascii="黑体" w:eastAsia="黑体"/>
                                <w:spacing w:val="115"/>
                                <w:w w:val="150"/>
                                <w:sz w:val="24"/>
                              </w:rPr>
                              <w:t xml:space="preserve"> </w:t>
                            </w:r>
                            <w:r>
                              <w:rPr>
                                <w:rFonts w:ascii="黑体" w:eastAsia="黑体"/>
                                <w:spacing w:val="18"/>
                                <w:sz w:val="24"/>
                              </w:rPr>
                              <w:t>支撑服务产业重点建设项目</w:t>
                            </w:r>
                          </w:p>
                          <w:p w14:paraId="434CEAF2">
                            <w:pPr>
                              <w:spacing w:before="191" w:line="357" w:lineRule="auto"/>
                              <w:ind w:left="102" w:firstLine="463"/>
                              <w:rPr>
                                <w:rFonts w:ascii="宋体" w:eastAsia="宋体"/>
                                <w:sz w:val="21"/>
                              </w:rPr>
                            </w:pPr>
                            <w:r>
                              <w:rPr>
                                <w:rFonts w:hint="eastAsia" w:ascii="宋体" w:eastAsia="宋体"/>
                                <w:b/>
                                <w:spacing w:val="18"/>
                                <w:sz w:val="21"/>
                              </w:rPr>
                              <w:t>互联网数字经济项目</w:t>
                            </w:r>
                            <w:r>
                              <w:rPr>
                                <w:rFonts w:hint="eastAsia" w:ascii="宋体" w:eastAsia="宋体"/>
                                <w:b/>
                                <w:sz w:val="21"/>
                              </w:rPr>
                              <w:t>。</w:t>
                            </w:r>
                            <w:r>
                              <w:rPr>
                                <w:rFonts w:ascii="宋体" w:eastAsia="宋体"/>
                                <w:spacing w:val="18"/>
                                <w:sz w:val="21"/>
                              </w:rPr>
                              <w:t>城市数据湖</w:t>
                            </w:r>
                            <w:r>
                              <w:rPr>
                                <w:rFonts w:ascii="宋体" w:eastAsia="宋体"/>
                                <w:sz w:val="21"/>
                              </w:rPr>
                              <w:t>、</w:t>
                            </w:r>
                            <w:r>
                              <w:rPr>
                                <w:rFonts w:ascii="宋体" w:eastAsia="宋体"/>
                                <w:spacing w:val="18"/>
                                <w:sz w:val="21"/>
                              </w:rPr>
                              <w:t>智能体验中心</w:t>
                            </w:r>
                            <w:r>
                              <w:rPr>
                                <w:rFonts w:ascii="宋体" w:eastAsia="宋体"/>
                                <w:sz w:val="21"/>
                              </w:rPr>
                              <w:t>、</w:t>
                            </w:r>
                            <w:r>
                              <w:rPr>
                                <w:rFonts w:ascii="宋体" w:eastAsia="宋体"/>
                                <w:spacing w:val="18"/>
                                <w:sz w:val="21"/>
                              </w:rPr>
                              <w:t>阅海湾中央商</w:t>
                            </w:r>
                            <w:r>
                              <w:rPr>
                                <w:rFonts w:ascii="宋体" w:eastAsia="宋体"/>
                                <w:spacing w:val="-4"/>
                                <w:sz w:val="21"/>
                              </w:rPr>
                              <w:t xml:space="preserve">务区 </w:t>
                            </w:r>
                            <w:r>
                              <w:rPr>
                                <w:rFonts w:ascii="Calibri" w:eastAsia="Calibri"/>
                                <w:sz w:val="21"/>
                              </w:rPr>
                              <w:t>5G</w:t>
                            </w:r>
                            <w:r>
                              <w:rPr>
                                <w:rFonts w:ascii="Calibri" w:eastAsia="Calibri"/>
                                <w:spacing w:val="5"/>
                                <w:sz w:val="21"/>
                              </w:rPr>
                              <w:t xml:space="preserve"> </w:t>
                            </w:r>
                            <w:r>
                              <w:rPr>
                                <w:rFonts w:ascii="宋体" w:eastAsia="宋体"/>
                                <w:spacing w:val="18"/>
                                <w:sz w:val="21"/>
                              </w:rPr>
                              <w:t>智慧</w:t>
                            </w:r>
                            <w:r>
                              <w:rPr>
                                <w:rFonts w:ascii="宋体" w:eastAsia="宋体"/>
                                <w:spacing w:val="12"/>
                                <w:sz w:val="21"/>
                              </w:rPr>
                              <w:t>园区、</w:t>
                            </w:r>
                            <w:r>
                              <w:rPr>
                                <w:rFonts w:ascii="宋体" w:eastAsia="宋体"/>
                                <w:spacing w:val="22"/>
                                <w:sz w:val="21"/>
                              </w:rPr>
                              <w:t>阅海</w:t>
                            </w:r>
                            <w:r>
                              <w:rPr>
                                <w:rFonts w:ascii="宋体" w:eastAsia="宋体"/>
                                <w:spacing w:val="23"/>
                                <w:sz w:val="21"/>
                              </w:rPr>
                              <w:t>湾中</w:t>
                            </w:r>
                            <w:r>
                              <w:rPr>
                                <w:rFonts w:ascii="宋体" w:eastAsia="宋体"/>
                                <w:spacing w:val="21"/>
                                <w:sz w:val="21"/>
                              </w:rPr>
                              <w:t>央</w:t>
                            </w:r>
                            <w:r>
                              <w:rPr>
                                <w:rFonts w:ascii="宋体" w:eastAsia="宋体"/>
                                <w:spacing w:val="23"/>
                                <w:sz w:val="21"/>
                              </w:rPr>
                              <w:t>商务</w:t>
                            </w:r>
                            <w:r>
                              <w:rPr>
                                <w:rFonts w:ascii="宋体" w:eastAsia="宋体"/>
                                <w:spacing w:val="21"/>
                                <w:sz w:val="21"/>
                              </w:rPr>
                              <w:t>区</w:t>
                            </w:r>
                            <w:r>
                              <w:rPr>
                                <w:rFonts w:ascii="宋体" w:eastAsia="宋体"/>
                                <w:spacing w:val="23"/>
                                <w:sz w:val="21"/>
                              </w:rPr>
                              <w:t>互联</w:t>
                            </w:r>
                            <w:r>
                              <w:rPr>
                                <w:rFonts w:ascii="宋体" w:eastAsia="宋体"/>
                                <w:spacing w:val="21"/>
                                <w:sz w:val="21"/>
                              </w:rPr>
                              <w:t>网</w:t>
                            </w:r>
                            <w:r>
                              <w:rPr>
                                <w:rFonts w:ascii="宋体" w:eastAsia="宋体"/>
                                <w:spacing w:val="23"/>
                                <w:sz w:val="21"/>
                              </w:rPr>
                              <w:t>数字</w:t>
                            </w:r>
                            <w:r>
                              <w:rPr>
                                <w:rFonts w:ascii="宋体" w:eastAsia="宋体"/>
                                <w:spacing w:val="21"/>
                                <w:sz w:val="21"/>
                              </w:rPr>
                              <w:t>经</w:t>
                            </w:r>
                            <w:r>
                              <w:rPr>
                                <w:rFonts w:ascii="宋体" w:eastAsia="宋体"/>
                                <w:spacing w:val="23"/>
                                <w:sz w:val="21"/>
                              </w:rPr>
                              <w:t>济产业</w:t>
                            </w:r>
                            <w:r>
                              <w:rPr>
                                <w:rFonts w:ascii="宋体" w:eastAsia="宋体"/>
                                <w:spacing w:val="22"/>
                                <w:sz w:val="21"/>
                              </w:rPr>
                              <w:t>园、</w:t>
                            </w:r>
                            <w:r>
                              <w:rPr>
                                <w:rFonts w:ascii="Calibri" w:eastAsia="Calibri"/>
                                <w:sz w:val="21"/>
                              </w:rPr>
                              <w:t>5G</w:t>
                            </w:r>
                            <w:r>
                              <w:rPr>
                                <w:rFonts w:ascii="Calibri" w:eastAsia="Calibri"/>
                                <w:spacing w:val="23"/>
                                <w:sz w:val="21"/>
                              </w:rPr>
                              <w:t xml:space="preserve"> </w:t>
                            </w:r>
                            <w:r>
                              <w:rPr>
                                <w:rFonts w:ascii="宋体" w:eastAsia="宋体"/>
                                <w:spacing w:val="22"/>
                                <w:sz w:val="21"/>
                              </w:rPr>
                              <w:t>智慧</w:t>
                            </w:r>
                            <w:r>
                              <w:rPr>
                                <w:rFonts w:ascii="宋体" w:eastAsia="宋体"/>
                                <w:spacing w:val="23"/>
                                <w:sz w:val="21"/>
                              </w:rPr>
                              <w:t>广电</w:t>
                            </w:r>
                            <w:r>
                              <w:rPr>
                                <w:rFonts w:ascii="宋体" w:eastAsia="宋体"/>
                                <w:spacing w:val="21"/>
                                <w:sz w:val="21"/>
                              </w:rPr>
                              <w:t>服</w:t>
                            </w:r>
                            <w:r>
                              <w:rPr>
                                <w:rFonts w:ascii="宋体" w:eastAsia="宋体"/>
                                <w:spacing w:val="23"/>
                                <w:sz w:val="21"/>
                              </w:rPr>
                              <w:t>务、</w:t>
                            </w:r>
                            <w:r>
                              <w:rPr>
                                <w:rFonts w:ascii="宋体" w:eastAsia="宋体"/>
                                <w:spacing w:val="21"/>
                                <w:sz w:val="21"/>
                              </w:rPr>
                              <w:t>智</w:t>
                            </w:r>
                            <w:r>
                              <w:rPr>
                                <w:rFonts w:ascii="宋体" w:eastAsia="宋体"/>
                                <w:spacing w:val="23"/>
                                <w:sz w:val="21"/>
                              </w:rPr>
                              <w:t>慧物</w:t>
                            </w:r>
                            <w:r>
                              <w:rPr>
                                <w:rFonts w:ascii="宋体" w:eastAsia="宋体"/>
                                <w:spacing w:val="21"/>
                                <w:sz w:val="21"/>
                              </w:rPr>
                              <w:t>流</w:t>
                            </w:r>
                            <w:r>
                              <w:rPr>
                                <w:rFonts w:ascii="宋体" w:eastAsia="宋体"/>
                                <w:spacing w:val="23"/>
                                <w:sz w:val="21"/>
                              </w:rPr>
                              <w:t>综合</w:t>
                            </w:r>
                            <w:r>
                              <w:rPr>
                                <w:rFonts w:ascii="宋体" w:eastAsia="宋体"/>
                                <w:spacing w:val="21"/>
                                <w:sz w:val="21"/>
                              </w:rPr>
                              <w:t>管</w:t>
                            </w:r>
                            <w:r>
                              <w:rPr>
                                <w:rFonts w:ascii="宋体" w:eastAsia="宋体"/>
                                <w:spacing w:val="23"/>
                                <w:sz w:val="21"/>
                              </w:rPr>
                              <w:t>控平</w:t>
                            </w:r>
                            <w:r>
                              <w:rPr>
                                <w:rFonts w:ascii="宋体" w:eastAsia="宋体"/>
                                <w:spacing w:val="10"/>
                                <w:sz w:val="21"/>
                              </w:rPr>
                              <w:t>台、</w:t>
                            </w:r>
                            <w:r>
                              <w:rPr>
                                <w:rFonts w:ascii="宋体" w:eastAsia="宋体"/>
                                <w:spacing w:val="23"/>
                                <w:sz w:val="21"/>
                              </w:rPr>
                              <w:t>新型</w:t>
                            </w:r>
                            <w:r>
                              <w:rPr>
                                <w:rFonts w:ascii="宋体" w:eastAsia="宋体"/>
                                <w:spacing w:val="21"/>
                                <w:sz w:val="21"/>
                              </w:rPr>
                              <w:t>基</w:t>
                            </w:r>
                            <w:r>
                              <w:rPr>
                                <w:rFonts w:ascii="宋体" w:eastAsia="宋体"/>
                                <w:spacing w:val="23"/>
                                <w:sz w:val="21"/>
                              </w:rPr>
                              <w:t>础设</w:t>
                            </w:r>
                            <w:r>
                              <w:rPr>
                                <w:rFonts w:ascii="宋体" w:eastAsia="宋体"/>
                                <w:spacing w:val="21"/>
                                <w:sz w:val="21"/>
                              </w:rPr>
                              <w:t>施</w:t>
                            </w:r>
                            <w:r>
                              <w:rPr>
                                <w:rFonts w:ascii="Calibri" w:eastAsia="Calibri"/>
                                <w:spacing w:val="10"/>
                                <w:sz w:val="21"/>
                              </w:rPr>
                              <w:t>(5G+</w:t>
                            </w:r>
                            <w:r>
                              <w:rPr>
                                <w:rFonts w:ascii="宋体" w:eastAsia="宋体"/>
                                <w:spacing w:val="23"/>
                                <w:sz w:val="21"/>
                              </w:rPr>
                              <w:t>智慧</w:t>
                            </w:r>
                            <w:r>
                              <w:rPr>
                                <w:rFonts w:ascii="宋体" w:eastAsia="宋体"/>
                                <w:spacing w:val="22"/>
                                <w:sz w:val="21"/>
                              </w:rPr>
                              <w:t>教育</w:t>
                            </w:r>
                            <w:r>
                              <w:rPr>
                                <w:rFonts w:ascii="Calibri" w:eastAsia="Calibri"/>
                                <w:spacing w:val="13"/>
                                <w:sz w:val="21"/>
                              </w:rPr>
                              <w:t>)</w:t>
                            </w:r>
                            <w:r>
                              <w:rPr>
                                <w:rFonts w:ascii="宋体" w:eastAsia="宋体"/>
                                <w:spacing w:val="14"/>
                                <w:sz w:val="21"/>
                              </w:rPr>
                              <w:t>建设、</w:t>
                            </w:r>
                            <w:r>
                              <w:rPr>
                                <w:rFonts w:ascii="宋体" w:eastAsia="宋体"/>
                                <w:spacing w:val="23"/>
                                <w:sz w:val="21"/>
                              </w:rPr>
                              <w:t>金凤</w:t>
                            </w:r>
                            <w:r>
                              <w:rPr>
                                <w:rFonts w:ascii="宋体" w:eastAsia="宋体"/>
                                <w:spacing w:val="-4"/>
                                <w:sz w:val="21"/>
                              </w:rPr>
                              <w:t xml:space="preserve">区 </w:t>
                            </w:r>
                            <w:r>
                              <w:rPr>
                                <w:rFonts w:ascii="Calibri" w:eastAsia="Calibri"/>
                                <w:sz w:val="21"/>
                              </w:rPr>
                              <w:t>5G</w:t>
                            </w:r>
                            <w:r>
                              <w:rPr>
                                <w:rFonts w:ascii="Calibri" w:eastAsia="Calibri"/>
                                <w:spacing w:val="26"/>
                                <w:sz w:val="21"/>
                              </w:rPr>
                              <w:t xml:space="preserve"> </w:t>
                            </w:r>
                            <w:r>
                              <w:rPr>
                                <w:rFonts w:ascii="宋体" w:eastAsia="宋体"/>
                                <w:spacing w:val="23"/>
                                <w:sz w:val="21"/>
                              </w:rPr>
                              <w:t>网络</w:t>
                            </w:r>
                            <w:r>
                              <w:rPr>
                                <w:rFonts w:ascii="宋体" w:eastAsia="宋体"/>
                                <w:spacing w:val="21"/>
                                <w:sz w:val="21"/>
                              </w:rPr>
                              <w:t>覆</w:t>
                            </w:r>
                            <w:r>
                              <w:rPr>
                                <w:rFonts w:ascii="宋体" w:eastAsia="宋体"/>
                                <w:spacing w:val="23"/>
                                <w:sz w:val="21"/>
                              </w:rPr>
                              <w:t>盖工程</w:t>
                            </w:r>
                            <w:r>
                              <w:rPr>
                                <w:rFonts w:ascii="宋体" w:eastAsia="宋体"/>
                                <w:sz w:val="21"/>
                              </w:rPr>
                              <w:t>、</w:t>
                            </w:r>
                            <w:r>
                              <w:rPr>
                                <w:rFonts w:ascii="宋体" w:eastAsia="宋体"/>
                                <w:spacing w:val="23"/>
                                <w:sz w:val="21"/>
                              </w:rPr>
                              <w:t>金凤</w:t>
                            </w:r>
                            <w:r>
                              <w:rPr>
                                <w:rFonts w:ascii="宋体" w:eastAsia="宋体"/>
                                <w:spacing w:val="-3"/>
                                <w:sz w:val="21"/>
                              </w:rPr>
                              <w:t xml:space="preserve">区 </w:t>
                            </w:r>
                            <w:r>
                              <w:rPr>
                                <w:rFonts w:ascii="Calibri" w:eastAsia="Calibri"/>
                                <w:sz w:val="21"/>
                              </w:rPr>
                              <w:t>5G</w:t>
                            </w:r>
                            <w:r>
                              <w:rPr>
                                <w:rFonts w:ascii="Calibri" w:eastAsia="Calibri"/>
                                <w:spacing w:val="23"/>
                                <w:sz w:val="21"/>
                              </w:rPr>
                              <w:t xml:space="preserve"> </w:t>
                            </w:r>
                            <w:r>
                              <w:rPr>
                                <w:rFonts w:ascii="宋体" w:eastAsia="宋体"/>
                                <w:spacing w:val="5"/>
                                <w:sz w:val="21"/>
                              </w:rPr>
                              <w:t xml:space="preserve">基站 </w:t>
                            </w:r>
                            <w:r>
                              <w:rPr>
                                <w:rFonts w:ascii="Calibri" w:eastAsia="Calibri"/>
                                <w:sz w:val="21"/>
                              </w:rPr>
                              <w:t>C-RAN</w:t>
                            </w:r>
                            <w:r>
                              <w:rPr>
                                <w:rFonts w:ascii="Calibri" w:eastAsia="Calibri"/>
                                <w:spacing w:val="23"/>
                                <w:sz w:val="21"/>
                              </w:rPr>
                              <w:t xml:space="preserve"> </w:t>
                            </w:r>
                            <w:r>
                              <w:rPr>
                                <w:rFonts w:ascii="宋体" w:eastAsia="宋体"/>
                                <w:spacing w:val="11"/>
                                <w:sz w:val="21"/>
                              </w:rPr>
                              <w:t>汇聚</w:t>
                            </w:r>
                            <w:r>
                              <w:rPr>
                                <w:rFonts w:ascii="宋体" w:eastAsia="宋体"/>
                                <w:spacing w:val="21"/>
                                <w:sz w:val="21"/>
                              </w:rPr>
                              <w:t>机房建设等项目</w:t>
                            </w:r>
                            <w:r>
                              <w:rPr>
                                <w:rFonts w:ascii="宋体" w:eastAsia="宋体"/>
                                <w:sz w:val="21"/>
                              </w:rPr>
                              <w:t>。</w:t>
                            </w:r>
                          </w:p>
                          <w:p w14:paraId="78DE2525">
                            <w:pPr>
                              <w:spacing w:line="357" w:lineRule="auto"/>
                              <w:ind w:left="102" w:right="118" w:firstLine="463"/>
                              <w:jc w:val="both"/>
                              <w:rPr>
                                <w:rFonts w:ascii="宋体" w:hAnsi="宋体" w:eastAsia="宋体"/>
                                <w:sz w:val="21"/>
                              </w:rPr>
                            </w:pPr>
                            <w:r>
                              <w:rPr>
                                <w:rFonts w:hint="eastAsia" w:ascii="宋体" w:hAnsi="宋体" w:eastAsia="宋体"/>
                                <w:b/>
                                <w:spacing w:val="26"/>
                                <w:w w:val="99"/>
                                <w:sz w:val="21"/>
                              </w:rPr>
                              <w:t>现代商贸项目。</w:t>
                            </w:r>
                            <w:r>
                              <w:rPr>
                                <w:rFonts w:ascii="宋体" w:hAnsi="宋体" w:eastAsia="宋体"/>
                                <w:spacing w:val="22"/>
                                <w:w w:val="99"/>
                                <w:sz w:val="21"/>
                              </w:rPr>
                              <w:t>吾悦广场、建发悠阅城、绿地新都会等商业综合体建设运营、智慧</w:t>
                            </w:r>
                            <w:r>
                              <w:rPr>
                                <w:rFonts w:ascii="宋体" w:hAnsi="宋体" w:eastAsia="宋体"/>
                                <w:spacing w:val="23"/>
                                <w:w w:val="99"/>
                                <w:sz w:val="21"/>
                              </w:rPr>
                              <w:t>商圈改造升级、特色街区提升改造</w:t>
                            </w:r>
                            <w:r>
                              <w:rPr>
                                <w:rFonts w:ascii="宋体" w:hAnsi="宋体" w:eastAsia="宋体"/>
                                <w:spacing w:val="-46"/>
                                <w:w w:val="99"/>
                                <w:sz w:val="21"/>
                              </w:rPr>
                              <w:t>、“</w:t>
                            </w:r>
                            <w:r>
                              <w:rPr>
                                <w:rFonts w:ascii="宋体" w:hAnsi="宋体" w:eastAsia="宋体"/>
                                <w:spacing w:val="-79"/>
                                <w:sz w:val="21"/>
                              </w:rPr>
                              <w:t xml:space="preserve"> </w:t>
                            </w:r>
                            <w:r>
                              <w:rPr>
                                <w:rFonts w:ascii="宋体" w:hAnsi="宋体" w:eastAsia="宋体"/>
                                <w:spacing w:val="12"/>
                                <w:w w:val="99"/>
                                <w:sz w:val="21"/>
                              </w:rPr>
                              <w:t>夜游金凤”、深夜食堂、夜宿博物馆、深夜书店等</w:t>
                            </w:r>
                            <w:r>
                              <w:rPr>
                                <w:rFonts w:ascii="宋体" w:hAnsi="宋体" w:eastAsia="宋体"/>
                                <w:spacing w:val="22"/>
                                <w:w w:val="99"/>
                                <w:sz w:val="21"/>
                              </w:rPr>
                              <w:t>休闲娱乐、体验式购物中心、新零售超市旗舰店、城乡社区服务体系建设、城市邻里中</w:t>
                            </w:r>
                            <w:r>
                              <w:rPr>
                                <w:rFonts w:ascii="宋体" w:hAnsi="宋体" w:eastAsia="宋体"/>
                                <w:spacing w:val="-22"/>
                                <w:w w:val="99"/>
                                <w:sz w:val="21"/>
                              </w:rPr>
                              <w:t>心、“</w:t>
                            </w:r>
                            <w:r>
                              <w:rPr>
                                <w:rFonts w:ascii="宋体" w:hAnsi="宋体" w:eastAsia="宋体"/>
                                <w:spacing w:val="-82"/>
                                <w:sz w:val="21"/>
                              </w:rPr>
                              <w:t xml:space="preserve"> </w:t>
                            </w:r>
                            <w:r>
                              <w:rPr>
                                <w:rFonts w:ascii="宋体" w:hAnsi="宋体" w:eastAsia="宋体"/>
                                <w:spacing w:val="18"/>
                                <w:w w:val="99"/>
                                <w:sz w:val="21"/>
                              </w:rPr>
                              <w:t>智慧社区”</w:t>
                            </w:r>
                            <w:r>
                              <w:rPr>
                                <w:rFonts w:ascii="宋体" w:hAnsi="宋体" w:eastAsia="宋体"/>
                                <w:spacing w:val="-79"/>
                                <w:sz w:val="21"/>
                              </w:rPr>
                              <w:t xml:space="preserve"> </w:t>
                            </w:r>
                            <w:r>
                              <w:rPr>
                                <w:rFonts w:ascii="宋体" w:hAnsi="宋体" w:eastAsia="宋体"/>
                                <w:spacing w:val="23"/>
                                <w:w w:val="99"/>
                                <w:sz w:val="21"/>
                              </w:rPr>
                              <w:t>试点、社区老年食堂、社区居家养老服务</w:t>
                            </w:r>
                            <w:r>
                              <w:rPr>
                                <w:rFonts w:ascii="宋体" w:hAnsi="宋体" w:eastAsia="宋体"/>
                                <w:spacing w:val="-46"/>
                                <w:w w:val="99"/>
                                <w:sz w:val="21"/>
                              </w:rPr>
                              <w:t>、“</w:t>
                            </w:r>
                            <w:r>
                              <w:rPr>
                                <w:rFonts w:ascii="宋体" w:hAnsi="宋体" w:eastAsia="宋体"/>
                                <w:spacing w:val="-82"/>
                                <w:sz w:val="21"/>
                              </w:rPr>
                              <w:t xml:space="preserve"> </w:t>
                            </w:r>
                            <w:r>
                              <w:rPr>
                                <w:rFonts w:ascii="宋体" w:hAnsi="宋体" w:eastAsia="宋体"/>
                                <w:spacing w:val="18"/>
                                <w:w w:val="99"/>
                                <w:sz w:val="21"/>
                              </w:rPr>
                              <w:t>一站式”</w:t>
                            </w:r>
                            <w:r>
                              <w:rPr>
                                <w:rFonts w:ascii="宋体" w:hAnsi="宋体" w:eastAsia="宋体"/>
                                <w:spacing w:val="-82"/>
                                <w:sz w:val="21"/>
                              </w:rPr>
                              <w:t xml:space="preserve"> </w:t>
                            </w:r>
                            <w:r>
                              <w:rPr>
                                <w:rFonts w:ascii="宋体" w:hAnsi="宋体" w:eastAsia="宋体"/>
                                <w:spacing w:val="19"/>
                                <w:w w:val="99"/>
                                <w:sz w:val="21"/>
                              </w:rPr>
                              <w:t>新型社区商圈等</w:t>
                            </w:r>
                            <w:r>
                              <w:rPr>
                                <w:rFonts w:ascii="宋体" w:hAnsi="宋体" w:eastAsia="宋体"/>
                                <w:spacing w:val="14"/>
                                <w:w w:val="99"/>
                                <w:sz w:val="21"/>
                              </w:rPr>
                              <w:t>项目。</w:t>
                            </w:r>
                          </w:p>
                          <w:p w14:paraId="7D43F778">
                            <w:pPr>
                              <w:spacing w:line="355" w:lineRule="auto"/>
                              <w:ind w:left="102" w:right="3" w:firstLine="463"/>
                              <w:rPr>
                                <w:rFonts w:ascii="宋体" w:eastAsia="宋体"/>
                                <w:sz w:val="21"/>
                              </w:rPr>
                            </w:pPr>
                            <w:r>
                              <w:rPr>
                                <w:rFonts w:hint="eastAsia" w:ascii="宋体" w:eastAsia="宋体"/>
                                <w:b/>
                                <w:spacing w:val="21"/>
                                <w:w w:val="99"/>
                                <w:sz w:val="21"/>
                              </w:rPr>
                              <w:t>现代金融项目。</w:t>
                            </w:r>
                            <w:r>
                              <w:rPr>
                                <w:rFonts w:ascii="宋体" w:eastAsia="宋体"/>
                                <w:spacing w:val="17"/>
                                <w:w w:val="99"/>
                                <w:sz w:val="21"/>
                              </w:rPr>
                              <w:t>平安银行、长安保险、顺亿资产中心等区域金融总部、互联网金融、</w:t>
                            </w:r>
                            <w:r>
                              <w:rPr>
                                <w:rFonts w:ascii="宋体" w:eastAsia="宋体"/>
                                <w:spacing w:val="19"/>
                                <w:w w:val="99"/>
                                <w:sz w:val="21"/>
                              </w:rPr>
                              <w:t>科技金融、互联网第三方支付平台等项目。</w:t>
                            </w:r>
                          </w:p>
                          <w:p w14:paraId="3379C0B0">
                            <w:pPr>
                              <w:ind w:left="566"/>
                              <w:rPr>
                                <w:rFonts w:ascii="宋体" w:eastAsia="宋体"/>
                                <w:sz w:val="21"/>
                              </w:rPr>
                            </w:pPr>
                            <w:r>
                              <w:rPr>
                                <w:rFonts w:hint="eastAsia" w:ascii="宋体" w:eastAsia="宋体"/>
                                <w:b/>
                                <w:spacing w:val="23"/>
                                <w:w w:val="95"/>
                                <w:sz w:val="21"/>
                              </w:rPr>
                              <w:t>总部经济项</w:t>
                            </w:r>
                            <w:r>
                              <w:rPr>
                                <w:rFonts w:hint="eastAsia" w:ascii="宋体" w:eastAsia="宋体"/>
                                <w:b/>
                                <w:spacing w:val="20"/>
                                <w:w w:val="95"/>
                                <w:sz w:val="21"/>
                              </w:rPr>
                              <w:t>目。</w:t>
                            </w:r>
                            <w:r>
                              <w:rPr>
                                <w:rFonts w:ascii="宋体" w:eastAsia="宋体"/>
                                <w:spacing w:val="22"/>
                                <w:w w:val="95"/>
                                <w:sz w:val="21"/>
                              </w:rPr>
                              <w:t>丝路</w:t>
                            </w:r>
                            <w:r>
                              <w:rPr>
                                <w:rFonts w:ascii="宋体" w:eastAsia="宋体"/>
                                <w:spacing w:val="23"/>
                                <w:w w:val="95"/>
                                <w:sz w:val="21"/>
                              </w:rPr>
                              <w:t>经济园</w:t>
                            </w:r>
                            <w:r>
                              <w:rPr>
                                <w:rFonts w:ascii="宋体" w:eastAsia="宋体"/>
                                <w:spacing w:val="21"/>
                                <w:w w:val="95"/>
                                <w:sz w:val="21"/>
                              </w:rPr>
                              <w:t>领</w:t>
                            </w:r>
                            <w:r>
                              <w:rPr>
                                <w:rFonts w:ascii="宋体" w:eastAsia="宋体"/>
                                <w:spacing w:val="23"/>
                                <w:w w:val="95"/>
                                <w:sz w:val="21"/>
                              </w:rPr>
                              <w:t>航大厦</w:t>
                            </w:r>
                            <w:r>
                              <w:rPr>
                                <w:rFonts w:ascii="宋体" w:eastAsia="宋体"/>
                                <w:spacing w:val="19"/>
                                <w:w w:val="95"/>
                                <w:sz w:val="21"/>
                              </w:rPr>
                              <w:t>、创新</w:t>
                            </w:r>
                            <w:r>
                              <w:rPr>
                                <w:rFonts w:ascii="宋体" w:eastAsia="宋体"/>
                                <w:spacing w:val="23"/>
                                <w:w w:val="95"/>
                                <w:sz w:val="21"/>
                              </w:rPr>
                              <w:t>大厦</w:t>
                            </w:r>
                            <w:r>
                              <w:rPr>
                                <w:rFonts w:ascii="宋体" w:eastAsia="宋体"/>
                                <w:spacing w:val="19"/>
                                <w:w w:val="95"/>
                                <w:sz w:val="21"/>
                              </w:rPr>
                              <w:t>、建发</w:t>
                            </w:r>
                            <w:r>
                              <w:rPr>
                                <w:rFonts w:ascii="宋体" w:eastAsia="宋体"/>
                                <w:spacing w:val="23"/>
                                <w:w w:val="95"/>
                                <w:sz w:val="21"/>
                              </w:rPr>
                              <w:t>总部</w:t>
                            </w:r>
                            <w:r>
                              <w:rPr>
                                <w:rFonts w:ascii="宋体" w:eastAsia="宋体"/>
                                <w:spacing w:val="19"/>
                                <w:w w:val="95"/>
                                <w:sz w:val="21"/>
                              </w:rPr>
                              <w:t>、闽宁</w:t>
                            </w:r>
                            <w:r>
                              <w:rPr>
                                <w:rFonts w:ascii="宋体" w:eastAsia="宋体"/>
                                <w:spacing w:val="23"/>
                                <w:w w:val="95"/>
                                <w:sz w:val="21"/>
                              </w:rPr>
                              <w:t>大厦</w:t>
                            </w:r>
                            <w:r>
                              <w:rPr>
                                <w:rFonts w:ascii="宋体" w:eastAsia="宋体"/>
                                <w:spacing w:val="15"/>
                                <w:w w:val="95"/>
                                <w:sz w:val="21"/>
                              </w:rPr>
                              <w:t>、华城大厦、</w:t>
                            </w:r>
                          </w:p>
                          <w:p w14:paraId="60E1F0C9">
                            <w:pPr>
                              <w:spacing w:line="400" w:lineRule="atLeast"/>
                              <w:ind w:left="102" w:right="123"/>
                              <w:rPr>
                                <w:rFonts w:ascii="宋体" w:eastAsia="宋体"/>
                                <w:sz w:val="21"/>
                              </w:rPr>
                            </w:pPr>
                            <w:r>
                              <w:rPr>
                                <w:rFonts w:ascii="宋体" w:eastAsia="宋体"/>
                                <w:spacing w:val="22"/>
                                <w:w w:val="99"/>
                                <w:sz w:val="21"/>
                              </w:rPr>
                              <w:t>世茂侨商经济中心、山东大厦、浙商大厦、内蒙古大厦、豫商总部大厦、晋商大厦、广</w:t>
                            </w:r>
                            <w:r>
                              <w:rPr>
                                <w:rFonts w:ascii="宋体" w:eastAsia="宋体"/>
                                <w:spacing w:val="19"/>
                                <w:w w:val="99"/>
                                <w:sz w:val="21"/>
                              </w:rPr>
                              <w:t>东大厦、国度大厦等项目。</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69.85pt;margin-top:137.95pt;height:303.9pt;width:455.55pt;mso-position-horizontal-relative:page;z-index:-251615232;mso-width-relative:page;mso-height-relative:page;" filled="f" stroked="t" coordsize="21600,21600" o:gfxdata="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R05kjYAAAADAEAAA8AAAAAAAAAAQAgAAAAIgAA&#10;AGRycy9kb3ducmV2LnhtbFBLAQIUABQAAAAIAIdO4kA9tW76QQIAAGgEAAAOAAAAAAAAAAEAIAAA&#10;ACcBAABkcnMvZTJvRG9jLnhtbFBLBQYAAAAABgAGAFkBAADaBQAAAAA=&#10;">
                <v:fill on="f" focussize="0,0"/>
                <v:stroke weight="0.48pt" color="#000000" miterlimit="8" joinstyle="miter"/>
                <v:imagedata o:title=""/>
                <o:lock v:ext="edit" aspectratio="f"/>
                <v:textbox inset="0mm,0mm,0mm,0mm">
                  <w:txbxContent>
                    <w:p w14:paraId="7A7706CD">
                      <w:pPr>
                        <w:spacing w:before="80"/>
                        <w:ind w:left="2472" w:right="2492"/>
                        <w:jc w:val="center"/>
                        <w:rPr>
                          <w:rFonts w:ascii="黑体" w:eastAsia="黑体"/>
                          <w:sz w:val="24"/>
                        </w:rPr>
                      </w:pPr>
                      <w:r>
                        <w:rPr>
                          <w:rFonts w:ascii="黑体" w:eastAsia="黑体"/>
                          <w:spacing w:val="-5"/>
                          <w:sz w:val="24"/>
                        </w:rPr>
                        <w:t xml:space="preserve">专栏 </w:t>
                      </w:r>
                      <w:r>
                        <w:rPr>
                          <w:rFonts w:ascii="黑体" w:eastAsia="黑体"/>
                          <w:sz w:val="24"/>
                        </w:rPr>
                        <w:t>1</w:t>
                      </w:r>
                      <w:r>
                        <w:rPr>
                          <w:rFonts w:ascii="黑体" w:eastAsia="黑体"/>
                          <w:spacing w:val="115"/>
                          <w:w w:val="150"/>
                          <w:sz w:val="24"/>
                        </w:rPr>
                        <w:t xml:space="preserve"> </w:t>
                      </w:r>
                      <w:r>
                        <w:rPr>
                          <w:rFonts w:ascii="黑体" w:eastAsia="黑体"/>
                          <w:spacing w:val="18"/>
                          <w:sz w:val="24"/>
                        </w:rPr>
                        <w:t>支撑服务产业重点建设项目</w:t>
                      </w:r>
                    </w:p>
                    <w:p w14:paraId="434CEAF2">
                      <w:pPr>
                        <w:spacing w:before="191" w:line="357" w:lineRule="auto"/>
                        <w:ind w:left="102" w:firstLine="463"/>
                        <w:rPr>
                          <w:rFonts w:ascii="宋体" w:eastAsia="宋体"/>
                          <w:sz w:val="21"/>
                        </w:rPr>
                      </w:pPr>
                      <w:r>
                        <w:rPr>
                          <w:rFonts w:hint="eastAsia" w:ascii="宋体" w:eastAsia="宋体"/>
                          <w:b/>
                          <w:spacing w:val="18"/>
                          <w:sz w:val="21"/>
                        </w:rPr>
                        <w:t>互联网数字经济项目</w:t>
                      </w:r>
                      <w:r>
                        <w:rPr>
                          <w:rFonts w:hint="eastAsia" w:ascii="宋体" w:eastAsia="宋体"/>
                          <w:b/>
                          <w:sz w:val="21"/>
                        </w:rPr>
                        <w:t>。</w:t>
                      </w:r>
                      <w:r>
                        <w:rPr>
                          <w:rFonts w:ascii="宋体" w:eastAsia="宋体"/>
                          <w:spacing w:val="18"/>
                          <w:sz w:val="21"/>
                        </w:rPr>
                        <w:t>城市数据湖</w:t>
                      </w:r>
                      <w:r>
                        <w:rPr>
                          <w:rFonts w:ascii="宋体" w:eastAsia="宋体"/>
                          <w:sz w:val="21"/>
                        </w:rPr>
                        <w:t>、</w:t>
                      </w:r>
                      <w:r>
                        <w:rPr>
                          <w:rFonts w:ascii="宋体" w:eastAsia="宋体"/>
                          <w:spacing w:val="18"/>
                          <w:sz w:val="21"/>
                        </w:rPr>
                        <w:t>智能体验中心</w:t>
                      </w:r>
                      <w:r>
                        <w:rPr>
                          <w:rFonts w:ascii="宋体" w:eastAsia="宋体"/>
                          <w:sz w:val="21"/>
                        </w:rPr>
                        <w:t>、</w:t>
                      </w:r>
                      <w:r>
                        <w:rPr>
                          <w:rFonts w:ascii="宋体" w:eastAsia="宋体"/>
                          <w:spacing w:val="18"/>
                          <w:sz w:val="21"/>
                        </w:rPr>
                        <w:t>阅海湾中央商</w:t>
                      </w:r>
                      <w:r>
                        <w:rPr>
                          <w:rFonts w:ascii="宋体" w:eastAsia="宋体"/>
                          <w:spacing w:val="-4"/>
                          <w:sz w:val="21"/>
                        </w:rPr>
                        <w:t xml:space="preserve">务区 </w:t>
                      </w:r>
                      <w:r>
                        <w:rPr>
                          <w:rFonts w:ascii="Calibri" w:eastAsia="Calibri"/>
                          <w:sz w:val="21"/>
                        </w:rPr>
                        <w:t>5G</w:t>
                      </w:r>
                      <w:r>
                        <w:rPr>
                          <w:rFonts w:ascii="Calibri" w:eastAsia="Calibri"/>
                          <w:spacing w:val="5"/>
                          <w:sz w:val="21"/>
                        </w:rPr>
                        <w:t xml:space="preserve"> </w:t>
                      </w:r>
                      <w:r>
                        <w:rPr>
                          <w:rFonts w:ascii="宋体" w:eastAsia="宋体"/>
                          <w:spacing w:val="18"/>
                          <w:sz w:val="21"/>
                        </w:rPr>
                        <w:t>智慧</w:t>
                      </w:r>
                      <w:r>
                        <w:rPr>
                          <w:rFonts w:ascii="宋体" w:eastAsia="宋体"/>
                          <w:spacing w:val="12"/>
                          <w:sz w:val="21"/>
                        </w:rPr>
                        <w:t>园区、</w:t>
                      </w:r>
                      <w:r>
                        <w:rPr>
                          <w:rFonts w:ascii="宋体" w:eastAsia="宋体"/>
                          <w:spacing w:val="22"/>
                          <w:sz w:val="21"/>
                        </w:rPr>
                        <w:t>阅海</w:t>
                      </w:r>
                      <w:r>
                        <w:rPr>
                          <w:rFonts w:ascii="宋体" w:eastAsia="宋体"/>
                          <w:spacing w:val="23"/>
                          <w:sz w:val="21"/>
                        </w:rPr>
                        <w:t>湾中</w:t>
                      </w:r>
                      <w:r>
                        <w:rPr>
                          <w:rFonts w:ascii="宋体" w:eastAsia="宋体"/>
                          <w:spacing w:val="21"/>
                          <w:sz w:val="21"/>
                        </w:rPr>
                        <w:t>央</w:t>
                      </w:r>
                      <w:r>
                        <w:rPr>
                          <w:rFonts w:ascii="宋体" w:eastAsia="宋体"/>
                          <w:spacing w:val="23"/>
                          <w:sz w:val="21"/>
                        </w:rPr>
                        <w:t>商务</w:t>
                      </w:r>
                      <w:r>
                        <w:rPr>
                          <w:rFonts w:ascii="宋体" w:eastAsia="宋体"/>
                          <w:spacing w:val="21"/>
                          <w:sz w:val="21"/>
                        </w:rPr>
                        <w:t>区</w:t>
                      </w:r>
                      <w:r>
                        <w:rPr>
                          <w:rFonts w:ascii="宋体" w:eastAsia="宋体"/>
                          <w:spacing w:val="23"/>
                          <w:sz w:val="21"/>
                        </w:rPr>
                        <w:t>互联</w:t>
                      </w:r>
                      <w:r>
                        <w:rPr>
                          <w:rFonts w:ascii="宋体" w:eastAsia="宋体"/>
                          <w:spacing w:val="21"/>
                          <w:sz w:val="21"/>
                        </w:rPr>
                        <w:t>网</w:t>
                      </w:r>
                      <w:r>
                        <w:rPr>
                          <w:rFonts w:ascii="宋体" w:eastAsia="宋体"/>
                          <w:spacing w:val="23"/>
                          <w:sz w:val="21"/>
                        </w:rPr>
                        <w:t>数字</w:t>
                      </w:r>
                      <w:r>
                        <w:rPr>
                          <w:rFonts w:ascii="宋体" w:eastAsia="宋体"/>
                          <w:spacing w:val="21"/>
                          <w:sz w:val="21"/>
                        </w:rPr>
                        <w:t>经</w:t>
                      </w:r>
                      <w:r>
                        <w:rPr>
                          <w:rFonts w:ascii="宋体" w:eastAsia="宋体"/>
                          <w:spacing w:val="23"/>
                          <w:sz w:val="21"/>
                        </w:rPr>
                        <w:t>济产业</w:t>
                      </w:r>
                      <w:r>
                        <w:rPr>
                          <w:rFonts w:ascii="宋体" w:eastAsia="宋体"/>
                          <w:spacing w:val="22"/>
                          <w:sz w:val="21"/>
                        </w:rPr>
                        <w:t>园、</w:t>
                      </w:r>
                      <w:r>
                        <w:rPr>
                          <w:rFonts w:ascii="Calibri" w:eastAsia="Calibri"/>
                          <w:sz w:val="21"/>
                        </w:rPr>
                        <w:t>5G</w:t>
                      </w:r>
                      <w:r>
                        <w:rPr>
                          <w:rFonts w:ascii="Calibri" w:eastAsia="Calibri"/>
                          <w:spacing w:val="23"/>
                          <w:sz w:val="21"/>
                        </w:rPr>
                        <w:t xml:space="preserve"> </w:t>
                      </w:r>
                      <w:r>
                        <w:rPr>
                          <w:rFonts w:ascii="宋体" w:eastAsia="宋体"/>
                          <w:spacing w:val="22"/>
                          <w:sz w:val="21"/>
                        </w:rPr>
                        <w:t>智慧</w:t>
                      </w:r>
                      <w:r>
                        <w:rPr>
                          <w:rFonts w:ascii="宋体" w:eastAsia="宋体"/>
                          <w:spacing w:val="23"/>
                          <w:sz w:val="21"/>
                        </w:rPr>
                        <w:t>广电</w:t>
                      </w:r>
                      <w:r>
                        <w:rPr>
                          <w:rFonts w:ascii="宋体" w:eastAsia="宋体"/>
                          <w:spacing w:val="21"/>
                          <w:sz w:val="21"/>
                        </w:rPr>
                        <w:t>服</w:t>
                      </w:r>
                      <w:r>
                        <w:rPr>
                          <w:rFonts w:ascii="宋体" w:eastAsia="宋体"/>
                          <w:spacing w:val="23"/>
                          <w:sz w:val="21"/>
                        </w:rPr>
                        <w:t>务、</w:t>
                      </w:r>
                      <w:r>
                        <w:rPr>
                          <w:rFonts w:ascii="宋体" w:eastAsia="宋体"/>
                          <w:spacing w:val="21"/>
                          <w:sz w:val="21"/>
                        </w:rPr>
                        <w:t>智</w:t>
                      </w:r>
                      <w:r>
                        <w:rPr>
                          <w:rFonts w:ascii="宋体" w:eastAsia="宋体"/>
                          <w:spacing w:val="23"/>
                          <w:sz w:val="21"/>
                        </w:rPr>
                        <w:t>慧物</w:t>
                      </w:r>
                      <w:r>
                        <w:rPr>
                          <w:rFonts w:ascii="宋体" w:eastAsia="宋体"/>
                          <w:spacing w:val="21"/>
                          <w:sz w:val="21"/>
                        </w:rPr>
                        <w:t>流</w:t>
                      </w:r>
                      <w:r>
                        <w:rPr>
                          <w:rFonts w:ascii="宋体" w:eastAsia="宋体"/>
                          <w:spacing w:val="23"/>
                          <w:sz w:val="21"/>
                        </w:rPr>
                        <w:t>综合</w:t>
                      </w:r>
                      <w:r>
                        <w:rPr>
                          <w:rFonts w:ascii="宋体" w:eastAsia="宋体"/>
                          <w:spacing w:val="21"/>
                          <w:sz w:val="21"/>
                        </w:rPr>
                        <w:t>管</w:t>
                      </w:r>
                      <w:r>
                        <w:rPr>
                          <w:rFonts w:ascii="宋体" w:eastAsia="宋体"/>
                          <w:spacing w:val="23"/>
                          <w:sz w:val="21"/>
                        </w:rPr>
                        <w:t>控平</w:t>
                      </w:r>
                      <w:r>
                        <w:rPr>
                          <w:rFonts w:ascii="宋体" w:eastAsia="宋体"/>
                          <w:spacing w:val="10"/>
                          <w:sz w:val="21"/>
                        </w:rPr>
                        <w:t>台、</w:t>
                      </w:r>
                      <w:r>
                        <w:rPr>
                          <w:rFonts w:ascii="宋体" w:eastAsia="宋体"/>
                          <w:spacing w:val="23"/>
                          <w:sz w:val="21"/>
                        </w:rPr>
                        <w:t>新型</w:t>
                      </w:r>
                      <w:r>
                        <w:rPr>
                          <w:rFonts w:ascii="宋体" w:eastAsia="宋体"/>
                          <w:spacing w:val="21"/>
                          <w:sz w:val="21"/>
                        </w:rPr>
                        <w:t>基</w:t>
                      </w:r>
                      <w:r>
                        <w:rPr>
                          <w:rFonts w:ascii="宋体" w:eastAsia="宋体"/>
                          <w:spacing w:val="23"/>
                          <w:sz w:val="21"/>
                        </w:rPr>
                        <w:t>础设</w:t>
                      </w:r>
                      <w:r>
                        <w:rPr>
                          <w:rFonts w:ascii="宋体" w:eastAsia="宋体"/>
                          <w:spacing w:val="21"/>
                          <w:sz w:val="21"/>
                        </w:rPr>
                        <w:t>施</w:t>
                      </w:r>
                      <w:r>
                        <w:rPr>
                          <w:rFonts w:ascii="Calibri" w:eastAsia="Calibri"/>
                          <w:spacing w:val="10"/>
                          <w:sz w:val="21"/>
                        </w:rPr>
                        <w:t>(5G+</w:t>
                      </w:r>
                      <w:r>
                        <w:rPr>
                          <w:rFonts w:ascii="宋体" w:eastAsia="宋体"/>
                          <w:spacing w:val="23"/>
                          <w:sz w:val="21"/>
                        </w:rPr>
                        <w:t>智慧</w:t>
                      </w:r>
                      <w:r>
                        <w:rPr>
                          <w:rFonts w:ascii="宋体" w:eastAsia="宋体"/>
                          <w:spacing w:val="22"/>
                          <w:sz w:val="21"/>
                        </w:rPr>
                        <w:t>教育</w:t>
                      </w:r>
                      <w:r>
                        <w:rPr>
                          <w:rFonts w:ascii="Calibri" w:eastAsia="Calibri"/>
                          <w:spacing w:val="13"/>
                          <w:sz w:val="21"/>
                        </w:rPr>
                        <w:t>)</w:t>
                      </w:r>
                      <w:r>
                        <w:rPr>
                          <w:rFonts w:ascii="宋体" w:eastAsia="宋体"/>
                          <w:spacing w:val="14"/>
                          <w:sz w:val="21"/>
                        </w:rPr>
                        <w:t>建设、</w:t>
                      </w:r>
                      <w:r>
                        <w:rPr>
                          <w:rFonts w:ascii="宋体" w:eastAsia="宋体"/>
                          <w:spacing w:val="23"/>
                          <w:sz w:val="21"/>
                        </w:rPr>
                        <w:t>金凤</w:t>
                      </w:r>
                      <w:r>
                        <w:rPr>
                          <w:rFonts w:ascii="宋体" w:eastAsia="宋体"/>
                          <w:spacing w:val="-4"/>
                          <w:sz w:val="21"/>
                        </w:rPr>
                        <w:t xml:space="preserve">区 </w:t>
                      </w:r>
                      <w:r>
                        <w:rPr>
                          <w:rFonts w:ascii="Calibri" w:eastAsia="Calibri"/>
                          <w:sz w:val="21"/>
                        </w:rPr>
                        <w:t>5G</w:t>
                      </w:r>
                      <w:r>
                        <w:rPr>
                          <w:rFonts w:ascii="Calibri" w:eastAsia="Calibri"/>
                          <w:spacing w:val="26"/>
                          <w:sz w:val="21"/>
                        </w:rPr>
                        <w:t xml:space="preserve"> </w:t>
                      </w:r>
                      <w:r>
                        <w:rPr>
                          <w:rFonts w:ascii="宋体" w:eastAsia="宋体"/>
                          <w:spacing w:val="23"/>
                          <w:sz w:val="21"/>
                        </w:rPr>
                        <w:t>网络</w:t>
                      </w:r>
                      <w:r>
                        <w:rPr>
                          <w:rFonts w:ascii="宋体" w:eastAsia="宋体"/>
                          <w:spacing w:val="21"/>
                          <w:sz w:val="21"/>
                        </w:rPr>
                        <w:t>覆</w:t>
                      </w:r>
                      <w:r>
                        <w:rPr>
                          <w:rFonts w:ascii="宋体" w:eastAsia="宋体"/>
                          <w:spacing w:val="23"/>
                          <w:sz w:val="21"/>
                        </w:rPr>
                        <w:t>盖工程</w:t>
                      </w:r>
                      <w:r>
                        <w:rPr>
                          <w:rFonts w:ascii="宋体" w:eastAsia="宋体"/>
                          <w:sz w:val="21"/>
                        </w:rPr>
                        <w:t>、</w:t>
                      </w:r>
                      <w:r>
                        <w:rPr>
                          <w:rFonts w:ascii="宋体" w:eastAsia="宋体"/>
                          <w:spacing w:val="23"/>
                          <w:sz w:val="21"/>
                        </w:rPr>
                        <w:t>金凤</w:t>
                      </w:r>
                      <w:r>
                        <w:rPr>
                          <w:rFonts w:ascii="宋体" w:eastAsia="宋体"/>
                          <w:spacing w:val="-3"/>
                          <w:sz w:val="21"/>
                        </w:rPr>
                        <w:t xml:space="preserve">区 </w:t>
                      </w:r>
                      <w:r>
                        <w:rPr>
                          <w:rFonts w:ascii="Calibri" w:eastAsia="Calibri"/>
                          <w:sz w:val="21"/>
                        </w:rPr>
                        <w:t>5G</w:t>
                      </w:r>
                      <w:r>
                        <w:rPr>
                          <w:rFonts w:ascii="Calibri" w:eastAsia="Calibri"/>
                          <w:spacing w:val="23"/>
                          <w:sz w:val="21"/>
                        </w:rPr>
                        <w:t xml:space="preserve"> </w:t>
                      </w:r>
                      <w:r>
                        <w:rPr>
                          <w:rFonts w:ascii="宋体" w:eastAsia="宋体"/>
                          <w:spacing w:val="5"/>
                          <w:sz w:val="21"/>
                        </w:rPr>
                        <w:t xml:space="preserve">基站 </w:t>
                      </w:r>
                      <w:r>
                        <w:rPr>
                          <w:rFonts w:ascii="Calibri" w:eastAsia="Calibri"/>
                          <w:sz w:val="21"/>
                        </w:rPr>
                        <w:t>C-RAN</w:t>
                      </w:r>
                      <w:r>
                        <w:rPr>
                          <w:rFonts w:ascii="Calibri" w:eastAsia="Calibri"/>
                          <w:spacing w:val="23"/>
                          <w:sz w:val="21"/>
                        </w:rPr>
                        <w:t xml:space="preserve"> </w:t>
                      </w:r>
                      <w:r>
                        <w:rPr>
                          <w:rFonts w:ascii="宋体" w:eastAsia="宋体"/>
                          <w:spacing w:val="11"/>
                          <w:sz w:val="21"/>
                        </w:rPr>
                        <w:t>汇聚</w:t>
                      </w:r>
                      <w:r>
                        <w:rPr>
                          <w:rFonts w:ascii="宋体" w:eastAsia="宋体"/>
                          <w:spacing w:val="21"/>
                          <w:sz w:val="21"/>
                        </w:rPr>
                        <w:t>机房建设等项目</w:t>
                      </w:r>
                      <w:r>
                        <w:rPr>
                          <w:rFonts w:ascii="宋体" w:eastAsia="宋体"/>
                          <w:sz w:val="21"/>
                        </w:rPr>
                        <w:t>。</w:t>
                      </w:r>
                    </w:p>
                    <w:p w14:paraId="78DE2525">
                      <w:pPr>
                        <w:spacing w:line="357" w:lineRule="auto"/>
                        <w:ind w:left="102" w:right="118" w:firstLine="463"/>
                        <w:jc w:val="both"/>
                        <w:rPr>
                          <w:rFonts w:ascii="宋体" w:hAnsi="宋体" w:eastAsia="宋体"/>
                          <w:sz w:val="21"/>
                        </w:rPr>
                      </w:pPr>
                      <w:r>
                        <w:rPr>
                          <w:rFonts w:hint="eastAsia" w:ascii="宋体" w:hAnsi="宋体" w:eastAsia="宋体"/>
                          <w:b/>
                          <w:spacing w:val="26"/>
                          <w:w w:val="99"/>
                          <w:sz w:val="21"/>
                        </w:rPr>
                        <w:t>现代商贸项目。</w:t>
                      </w:r>
                      <w:r>
                        <w:rPr>
                          <w:rFonts w:ascii="宋体" w:hAnsi="宋体" w:eastAsia="宋体"/>
                          <w:spacing w:val="22"/>
                          <w:w w:val="99"/>
                          <w:sz w:val="21"/>
                        </w:rPr>
                        <w:t>吾悦广场、建发悠阅城、绿地新都会等商业综合体建设运营、智慧</w:t>
                      </w:r>
                      <w:r>
                        <w:rPr>
                          <w:rFonts w:ascii="宋体" w:hAnsi="宋体" w:eastAsia="宋体"/>
                          <w:spacing w:val="23"/>
                          <w:w w:val="99"/>
                          <w:sz w:val="21"/>
                        </w:rPr>
                        <w:t>商圈改造升级、特色街区提升改造</w:t>
                      </w:r>
                      <w:r>
                        <w:rPr>
                          <w:rFonts w:ascii="宋体" w:hAnsi="宋体" w:eastAsia="宋体"/>
                          <w:spacing w:val="-46"/>
                          <w:w w:val="99"/>
                          <w:sz w:val="21"/>
                        </w:rPr>
                        <w:t>、“</w:t>
                      </w:r>
                      <w:r>
                        <w:rPr>
                          <w:rFonts w:ascii="宋体" w:hAnsi="宋体" w:eastAsia="宋体"/>
                          <w:spacing w:val="-79"/>
                          <w:sz w:val="21"/>
                        </w:rPr>
                        <w:t xml:space="preserve"> </w:t>
                      </w:r>
                      <w:r>
                        <w:rPr>
                          <w:rFonts w:ascii="宋体" w:hAnsi="宋体" w:eastAsia="宋体"/>
                          <w:spacing w:val="12"/>
                          <w:w w:val="99"/>
                          <w:sz w:val="21"/>
                        </w:rPr>
                        <w:t>夜游金凤”、深夜食堂、夜宿博物馆、深夜书店等</w:t>
                      </w:r>
                      <w:r>
                        <w:rPr>
                          <w:rFonts w:ascii="宋体" w:hAnsi="宋体" w:eastAsia="宋体"/>
                          <w:spacing w:val="22"/>
                          <w:w w:val="99"/>
                          <w:sz w:val="21"/>
                        </w:rPr>
                        <w:t>休闲娱乐、体验式购物中心、新零售超市旗舰店、城乡社区服务体系建设、城市邻里中</w:t>
                      </w:r>
                      <w:r>
                        <w:rPr>
                          <w:rFonts w:ascii="宋体" w:hAnsi="宋体" w:eastAsia="宋体"/>
                          <w:spacing w:val="-22"/>
                          <w:w w:val="99"/>
                          <w:sz w:val="21"/>
                        </w:rPr>
                        <w:t>心、“</w:t>
                      </w:r>
                      <w:r>
                        <w:rPr>
                          <w:rFonts w:ascii="宋体" w:hAnsi="宋体" w:eastAsia="宋体"/>
                          <w:spacing w:val="-82"/>
                          <w:sz w:val="21"/>
                        </w:rPr>
                        <w:t xml:space="preserve"> </w:t>
                      </w:r>
                      <w:r>
                        <w:rPr>
                          <w:rFonts w:ascii="宋体" w:hAnsi="宋体" w:eastAsia="宋体"/>
                          <w:spacing w:val="18"/>
                          <w:w w:val="99"/>
                          <w:sz w:val="21"/>
                        </w:rPr>
                        <w:t>智慧社区”</w:t>
                      </w:r>
                      <w:r>
                        <w:rPr>
                          <w:rFonts w:ascii="宋体" w:hAnsi="宋体" w:eastAsia="宋体"/>
                          <w:spacing w:val="-79"/>
                          <w:sz w:val="21"/>
                        </w:rPr>
                        <w:t xml:space="preserve"> </w:t>
                      </w:r>
                      <w:r>
                        <w:rPr>
                          <w:rFonts w:ascii="宋体" w:hAnsi="宋体" w:eastAsia="宋体"/>
                          <w:spacing w:val="23"/>
                          <w:w w:val="99"/>
                          <w:sz w:val="21"/>
                        </w:rPr>
                        <w:t>试点、社区老年食堂、社区居家养老服务</w:t>
                      </w:r>
                      <w:r>
                        <w:rPr>
                          <w:rFonts w:ascii="宋体" w:hAnsi="宋体" w:eastAsia="宋体"/>
                          <w:spacing w:val="-46"/>
                          <w:w w:val="99"/>
                          <w:sz w:val="21"/>
                        </w:rPr>
                        <w:t>、“</w:t>
                      </w:r>
                      <w:r>
                        <w:rPr>
                          <w:rFonts w:ascii="宋体" w:hAnsi="宋体" w:eastAsia="宋体"/>
                          <w:spacing w:val="-82"/>
                          <w:sz w:val="21"/>
                        </w:rPr>
                        <w:t xml:space="preserve"> </w:t>
                      </w:r>
                      <w:r>
                        <w:rPr>
                          <w:rFonts w:ascii="宋体" w:hAnsi="宋体" w:eastAsia="宋体"/>
                          <w:spacing w:val="18"/>
                          <w:w w:val="99"/>
                          <w:sz w:val="21"/>
                        </w:rPr>
                        <w:t>一站式”</w:t>
                      </w:r>
                      <w:r>
                        <w:rPr>
                          <w:rFonts w:ascii="宋体" w:hAnsi="宋体" w:eastAsia="宋体"/>
                          <w:spacing w:val="-82"/>
                          <w:sz w:val="21"/>
                        </w:rPr>
                        <w:t xml:space="preserve"> </w:t>
                      </w:r>
                      <w:r>
                        <w:rPr>
                          <w:rFonts w:ascii="宋体" w:hAnsi="宋体" w:eastAsia="宋体"/>
                          <w:spacing w:val="19"/>
                          <w:w w:val="99"/>
                          <w:sz w:val="21"/>
                        </w:rPr>
                        <w:t>新型社区商圈等</w:t>
                      </w:r>
                      <w:r>
                        <w:rPr>
                          <w:rFonts w:ascii="宋体" w:hAnsi="宋体" w:eastAsia="宋体"/>
                          <w:spacing w:val="14"/>
                          <w:w w:val="99"/>
                          <w:sz w:val="21"/>
                        </w:rPr>
                        <w:t>项目。</w:t>
                      </w:r>
                    </w:p>
                    <w:p w14:paraId="7D43F778">
                      <w:pPr>
                        <w:spacing w:line="355" w:lineRule="auto"/>
                        <w:ind w:left="102" w:right="3" w:firstLine="463"/>
                        <w:rPr>
                          <w:rFonts w:ascii="宋体" w:eastAsia="宋体"/>
                          <w:sz w:val="21"/>
                        </w:rPr>
                      </w:pPr>
                      <w:r>
                        <w:rPr>
                          <w:rFonts w:hint="eastAsia" w:ascii="宋体" w:eastAsia="宋体"/>
                          <w:b/>
                          <w:spacing w:val="21"/>
                          <w:w w:val="99"/>
                          <w:sz w:val="21"/>
                        </w:rPr>
                        <w:t>现代金融项目。</w:t>
                      </w:r>
                      <w:r>
                        <w:rPr>
                          <w:rFonts w:ascii="宋体" w:eastAsia="宋体"/>
                          <w:spacing w:val="17"/>
                          <w:w w:val="99"/>
                          <w:sz w:val="21"/>
                        </w:rPr>
                        <w:t>平安银行、长安保险、顺亿资产中心等区域金融总部、互联网金融、</w:t>
                      </w:r>
                      <w:r>
                        <w:rPr>
                          <w:rFonts w:ascii="宋体" w:eastAsia="宋体"/>
                          <w:spacing w:val="19"/>
                          <w:w w:val="99"/>
                          <w:sz w:val="21"/>
                        </w:rPr>
                        <w:t>科技金融、互联网第三方支付平台等项目。</w:t>
                      </w:r>
                    </w:p>
                    <w:p w14:paraId="3379C0B0">
                      <w:pPr>
                        <w:ind w:left="566"/>
                        <w:rPr>
                          <w:rFonts w:ascii="宋体" w:eastAsia="宋体"/>
                          <w:sz w:val="21"/>
                        </w:rPr>
                      </w:pPr>
                      <w:r>
                        <w:rPr>
                          <w:rFonts w:hint="eastAsia" w:ascii="宋体" w:eastAsia="宋体"/>
                          <w:b/>
                          <w:spacing w:val="23"/>
                          <w:w w:val="95"/>
                          <w:sz w:val="21"/>
                        </w:rPr>
                        <w:t>总部经济项</w:t>
                      </w:r>
                      <w:r>
                        <w:rPr>
                          <w:rFonts w:hint="eastAsia" w:ascii="宋体" w:eastAsia="宋体"/>
                          <w:b/>
                          <w:spacing w:val="20"/>
                          <w:w w:val="95"/>
                          <w:sz w:val="21"/>
                        </w:rPr>
                        <w:t>目。</w:t>
                      </w:r>
                      <w:r>
                        <w:rPr>
                          <w:rFonts w:ascii="宋体" w:eastAsia="宋体"/>
                          <w:spacing w:val="22"/>
                          <w:w w:val="95"/>
                          <w:sz w:val="21"/>
                        </w:rPr>
                        <w:t>丝路</w:t>
                      </w:r>
                      <w:r>
                        <w:rPr>
                          <w:rFonts w:ascii="宋体" w:eastAsia="宋体"/>
                          <w:spacing w:val="23"/>
                          <w:w w:val="95"/>
                          <w:sz w:val="21"/>
                        </w:rPr>
                        <w:t>经济园</w:t>
                      </w:r>
                      <w:r>
                        <w:rPr>
                          <w:rFonts w:ascii="宋体" w:eastAsia="宋体"/>
                          <w:spacing w:val="21"/>
                          <w:w w:val="95"/>
                          <w:sz w:val="21"/>
                        </w:rPr>
                        <w:t>领</w:t>
                      </w:r>
                      <w:r>
                        <w:rPr>
                          <w:rFonts w:ascii="宋体" w:eastAsia="宋体"/>
                          <w:spacing w:val="23"/>
                          <w:w w:val="95"/>
                          <w:sz w:val="21"/>
                        </w:rPr>
                        <w:t>航大厦</w:t>
                      </w:r>
                      <w:r>
                        <w:rPr>
                          <w:rFonts w:ascii="宋体" w:eastAsia="宋体"/>
                          <w:spacing w:val="19"/>
                          <w:w w:val="95"/>
                          <w:sz w:val="21"/>
                        </w:rPr>
                        <w:t>、创新</w:t>
                      </w:r>
                      <w:r>
                        <w:rPr>
                          <w:rFonts w:ascii="宋体" w:eastAsia="宋体"/>
                          <w:spacing w:val="23"/>
                          <w:w w:val="95"/>
                          <w:sz w:val="21"/>
                        </w:rPr>
                        <w:t>大厦</w:t>
                      </w:r>
                      <w:r>
                        <w:rPr>
                          <w:rFonts w:ascii="宋体" w:eastAsia="宋体"/>
                          <w:spacing w:val="19"/>
                          <w:w w:val="95"/>
                          <w:sz w:val="21"/>
                        </w:rPr>
                        <w:t>、建发</w:t>
                      </w:r>
                      <w:r>
                        <w:rPr>
                          <w:rFonts w:ascii="宋体" w:eastAsia="宋体"/>
                          <w:spacing w:val="23"/>
                          <w:w w:val="95"/>
                          <w:sz w:val="21"/>
                        </w:rPr>
                        <w:t>总部</w:t>
                      </w:r>
                      <w:r>
                        <w:rPr>
                          <w:rFonts w:ascii="宋体" w:eastAsia="宋体"/>
                          <w:spacing w:val="19"/>
                          <w:w w:val="95"/>
                          <w:sz w:val="21"/>
                        </w:rPr>
                        <w:t>、闽宁</w:t>
                      </w:r>
                      <w:r>
                        <w:rPr>
                          <w:rFonts w:ascii="宋体" w:eastAsia="宋体"/>
                          <w:spacing w:val="23"/>
                          <w:w w:val="95"/>
                          <w:sz w:val="21"/>
                        </w:rPr>
                        <w:t>大厦</w:t>
                      </w:r>
                      <w:r>
                        <w:rPr>
                          <w:rFonts w:ascii="宋体" w:eastAsia="宋体"/>
                          <w:spacing w:val="15"/>
                          <w:w w:val="95"/>
                          <w:sz w:val="21"/>
                        </w:rPr>
                        <w:t>、华城大厦、</w:t>
                      </w:r>
                    </w:p>
                    <w:p w14:paraId="60E1F0C9">
                      <w:pPr>
                        <w:spacing w:line="400" w:lineRule="atLeast"/>
                        <w:ind w:left="102" w:right="123"/>
                        <w:rPr>
                          <w:rFonts w:ascii="宋体" w:eastAsia="宋体"/>
                          <w:sz w:val="21"/>
                        </w:rPr>
                      </w:pPr>
                      <w:r>
                        <w:rPr>
                          <w:rFonts w:ascii="宋体" w:eastAsia="宋体"/>
                          <w:spacing w:val="22"/>
                          <w:w w:val="99"/>
                          <w:sz w:val="21"/>
                        </w:rPr>
                        <w:t>世茂侨商经济中心、山东大厦、浙商大厦、内蒙古大厦、豫商总部大厦、晋商大厦、广</w:t>
                      </w:r>
                      <w:r>
                        <w:rPr>
                          <w:rFonts w:ascii="宋体" w:eastAsia="宋体"/>
                          <w:spacing w:val="19"/>
                          <w:w w:val="99"/>
                          <w:sz w:val="21"/>
                        </w:rPr>
                        <w:t>东大厦、国度大厦等项目。</w:t>
                      </w:r>
                    </w:p>
                  </w:txbxContent>
                </v:textbox>
              </v:shape>
            </w:pict>
          </mc:Fallback>
        </mc:AlternateContent>
      </w:r>
      <w:r>
        <w:rPr>
          <w:b/>
          <w:spacing w:val="26"/>
          <w:w w:val="99"/>
          <w:sz w:val="32"/>
          <w:szCs w:val="32"/>
        </w:rPr>
        <w:t>优化总部企业服务。</w:t>
      </w:r>
      <w:r>
        <w:rPr>
          <w:spacing w:val="24"/>
          <w:w w:val="99"/>
          <w:sz w:val="32"/>
          <w:szCs w:val="32"/>
        </w:rPr>
        <w:t>发挥阅海湾中央商务区</w:t>
      </w:r>
      <w:r>
        <w:rPr>
          <w:spacing w:val="26"/>
          <w:w w:val="99"/>
          <w:sz w:val="32"/>
          <w:szCs w:val="32"/>
        </w:rPr>
        <w:t>（</w:t>
      </w:r>
      <w:r>
        <w:rPr>
          <w:spacing w:val="18"/>
          <w:w w:val="99"/>
          <w:sz w:val="32"/>
          <w:szCs w:val="32"/>
        </w:rPr>
        <w:t>丝路经济</w:t>
      </w:r>
      <w:r>
        <w:rPr>
          <w:spacing w:val="26"/>
          <w:w w:val="99"/>
          <w:sz w:val="32"/>
          <w:szCs w:val="32"/>
        </w:rPr>
        <w:t>园</w:t>
      </w:r>
      <w:r>
        <w:rPr>
          <w:spacing w:val="24"/>
          <w:w w:val="99"/>
          <w:sz w:val="32"/>
          <w:szCs w:val="32"/>
        </w:rPr>
        <w:t>）</w:t>
      </w:r>
      <w:r>
        <w:rPr>
          <w:spacing w:val="23"/>
          <w:w w:val="99"/>
          <w:sz w:val="32"/>
          <w:szCs w:val="32"/>
        </w:rPr>
        <w:t>融合发展的政策、资金、人力、空间等叠加效应，对现有的总部企业、招商成功及有意入驻的企业实行“人对人、点对点”对接包干制度，开展送政策、送服务进企业活动，</w:t>
      </w:r>
      <w:r>
        <w:rPr>
          <w:spacing w:val="19"/>
          <w:w w:val="99"/>
          <w:sz w:val="32"/>
          <w:szCs w:val="32"/>
        </w:rPr>
        <w:t>优化总部经济发展环境，促进企业健康发展。</w:t>
      </w:r>
    </w:p>
    <w:p w14:paraId="2B66A489">
      <w:pPr>
        <w:rPr>
          <w:sz w:val="20"/>
          <w:szCs w:val="32"/>
        </w:rPr>
      </w:pPr>
    </w:p>
    <w:p w14:paraId="1BC2F204">
      <w:pPr>
        <w:rPr>
          <w:sz w:val="20"/>
          <w:szCs w:val="32"/>
        </w:rPr>
      </w:pPr>
    </w:p>
    <w:p w14:paraId="20CB398E">
      <w:pPr>
        <w:rPr>
          <w:sz w:val="20"/>
          <w:szCs w:val="32"/>
        </w:rPr>
      </w:pPr>
    </w:p>
    <w:p w14:paraId="2F6BB59C">
      <w:pPr>
        <w:rPr>
          <w:sz w:val="20"/>
          <w:szCs w:val="32"/>
        </w:rPr>
      </w:pPr>
    </w:p>
    <w:p w14:paraId="5222DDEA">
      <w:pPr>
        <w:rPr>
          <w:sz w:val="20"/>
          <w:szCs w:val="32"/>
        </w:rPr>
      </w:pPr>
    </w:p>
    <w:p w14:paraId="1EA83559">
      <w:pPr>
        <w:rPr>
          <w:sz w:val="20"/>
          <w:szCs w:val="32"/>
        </w:rPr>
      </w:pPr>
    </w:p>
    <w:p w14:paraId="36135AEB">
      <w:pPr>
        <w:rPr>
          <w:sz w:val="20"/>
          <w:szCs w:val="32"/>
        </w:rPr>
      </w:pPr>
    </w:p>
    <w:p w14:paraId="1F93BD11">
      <w:pPr>
        <w:rPr>
          <w:sz w:val="20"/>
          <w:szCs w:val="32"/>
        </w:rPr>
      </w:pPr>
    </w:p>
    <w:p w14:paraId="01C90AE6">
      <w:pPr>
        <w:rPr>
          <w:sz w:val="20"/>
          <w:szCs w:val="32"/>
        </w:rPr>
      </w:pPr>
    </w:p>
    <w:p w14:paraId="18B3C53E">
      <w:pPr>
        <w:rPr>
          <w:sz w:val="20"/>
          <w:szCs w:val="32"/>
        </w:rPr>
      </w:pPr>
    </w:p>
    <w:p w14:paraId="43A28B08">
      <w:pPr>
        <w:rPr>
          <w:sz w:val="20"/>
          <w:szCs w:val="32"/>
        </w:rPr>
      </w:pPr>
    </w:p>
    <w:p w14:paraId="4DBC8287">
      <w:pPr>
        <w:rPr>
          <w:sz w:val="20"/>
          <w:szCs w:val="32"/>
        </w:rPr>
      </w:pPr>
    </w:p>
    <w:p w14:paraId="53E85FF7">
      <w:pPr>
        <w:rPr>
          <w:sz w:val="20"/>
          <w:szCs w:val="32"/>
        </w:rPr>
      </w:pPr>
    </w:p>
    <w:p w14:paraId="14B6684A">
      <w:pPr>
        <w:rPr>
          <w:sz w:val="20"/>
          <w:szCs w:val="32"/>
        </w:rPr>
      </w:pPr>
    </w:p>
    <w:p w14:paraId="34CBA564">
      <w:pPr>
        <w:rPr>
          <w:sz w:val="20"/>
          <w:szCs w:val="32"/>
        </w:rPr>
      </w:pPr>
    </w:p>
    <w:p w14:paraId="0394C440">
      <w:pPr>
        <w:rPr>
          <w:sz w:val="20"/>
          <w:szCs w:val="32"/>
        </w:rPr>
      </w:pPr>
    </w:p>
    <w:p w14:paraId="7D397355">
      <w:pPr>
        <w:rPr>
          <w:sz w:val="20"/>
          <w:szCs w:val="32"/>
        </w:rPr>
      </w:pPr>
    </w:p>
    <w:p w14:paraId="200A8AE7">
      <w:pPr>
        <w:rPr>
          <w:sz w:val="20"/>
          <w:szCs w:val="32"/>
        </w:rPr>
      </w:pPr>
    </w:p>
    <w:p w14:paraId="4F7F7FAE">
      <w:pPr>
        <w:rPr>
          <w:sz w:val="20"/>
          <w:szCs w:val="32"/>
        </w:rPr>
      </w:pPr>
    </w:p>
    <w:p w14:paraId="69522627">
      <w:pPr>
        <w:rPr>
          <w:sz w:val="20"/>
          <w:szCs w:val="32"/>
        </w:rPr>
      </w:pPr>
    </w:p>
    <w:p w14:paraId="0F8E8E3F">
      <w:pPr>
        <w:rPr>
          <w:sz w:val="20"/>
          <w:szCs w:val="32"/>
        </w:rPr>
      </w:pPr>
    </w:p>
    <w:p w14:paraId="6AF3C5D3">
      <w:pPr>
        <w:rPr>
          <w:sz w:val="20"/>
          <w:szCs w:val="32"/>
        </w:rPr>
      </w:pPr>
    </w:p>
    <w:p w14:paraId="24F91FAC">
      <w:pPr>
        <w:spacing w:before="2"/>
        <w:rPr>
          <w:sz w:val="29"/>
          <w:szCs w:val="32"/>
        </w:rPr>
      </w:pPr>
    </w:p>
    <w:p w14:paraId="0440D23E">
      <w:pPr>
        <w:spacing w:before="55"/>
        <w:ind w:left="877"/>
        <w:rPr>
          <w:rFonts w:ascii="黑体" w:eastAsia="黑体"/>
          <w:sz w:val="32"/>
          <w:szCs w:val="32"/>
        </w:rPr>
      </w:pPr>
      <w:r>
        <w:rPr>
          <w:rFonts w:ascii="黑体" w:eastAsia="黑体"/>
          <w:spacing w:val="18"/>
          <w:w w:val="95"/>
          <w:sz w:val="32"/>
          <w:szCs w:val="32"/>
        </w:rPr>
        <w:t>二、提升发展五大成长型产业</w:t>
      </w:r>
    </w:p>
    <w:p w14:paraId="57AE4CC6">
      <w:pPr>
        <w:spacing w:line="511" w:lineRule="exact"/>
        <w:ind w:left="797"/>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spacing w:val="24"/>
          <w:w w:val="95"/>
          <w:sz w:val="32"/>
          <w:szCs w:val="32"/>
        </w:rPr>
        <w:t>（一）大力发展科技服务</w:t>
      </w:r>
      <w:r>
        <w:rPr>
          <w:rFonts w:ascii="Microsoft JhengHei" w:hAnsi="Microsoft JhengHei" w:eastAsia="Microsoft JhengHei" w:cs="Microsoft JhengHei"/>
          <w:b/>
          <w:bCs/>
          <w:spacing w:val="-10"/>
          <w:w w:val="95"/>
          <w:sz w:val="32"/>
          <w:szCs w:val="32"/>
        </w:rPr>
        <w:t>业</w:t>
      </w:r>
    </w:p>
    <w:p w14:paraId="54C439E5">
      <w:pPr>
        <w:spacing w:before="98" w:line="338" w:lineRule="auto"/>
        <w:ind w:left="113" w:right="293" w:firstLine="684"/>
        <w:jc w:val="both"/>
        <w:rPr>
          <w:sz w:val="32"/>
          <w:szCs w:val="32"/>
        </w:rPr>
      </w:pPr>
      <w:r>
        <w:rPr>
          <w:spacing w:val="23"/>
          <w:w w:val="99"/>
          <w:sz w:val="32"/>
          <w:szCs w:val="32"/>
        </w:rPr>
        <w:t>把握沿黄科技创新改革试验区建设契机，加快建设金凤区科技服务产业园，推动发展科技研发、成果转化、监测认证等服务，加快形成以企业为主体的科技服务体系，注重企业、院校原始创新，瞄准人工智能、生命健康、数字资产、 “区块链”等前沿领域，鼓励实施一批具有前瞻性、战略性</w:t>
      </w:r>
      <w:r>
        <w:rPr>
          <w:spacing w:val="14"/>
          <w:w w:val="99"/>
          <w:sz w:val="32"/>
          <w:szCs w:val="32"/>
        </w:rPr>
        <w:t>的区域性重大科技项目，到</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02</w:t>
      </w:r>
      <w:r>
        <w:rPr>
          <w:rFonts w:ascii="Times New Roman" w:hAnsi="Times New Roman" w:eastAsia="Times New Roman"/>
          <w:w w:val="99"/>
          <w:sz w:val="32"/>
          <w:szCs w:val="32"/>
        </w:rPr>
        <w:t>5</w:t>
      </w:r>
      <w:r>
        <w:rPr>
          <w:rFonts w:ascii="Times New Roman" w:hAnsi="Times New Roman" w:eastAsia="Times New Roman"/>
          <w:spacing w:val="22"/>
          <w:sz w:val="32"/>
          <w:szCs w:val="32"/>
        </w:rPr>
        <w:t xml:space="preserve"> </w:t>
      </w:r>
      <w:r>
        <w:rPr>
          <w:spacing w:val="13"/>
          <w:w w:val="99"/>
          <w:sz w:val="32"/>
          <w:szCs w:val="32"/>
        </w:rPr>
        <w:t>年，全区科技进步贡献率达到</w:t>
      </w:r>
      <w:r>
        <w:rPr>
          <w:spacing w:val="-52"/>
          <w:sz w:val="32"/>
          <w:szCs w:val="32"/>
        </w:rPr>
        <w:t xml:space="preserve"> </w:t>
      </w:r>
      <w:r>
        <w:rPr>
          <w:rFonts w:ascii="Times New Roman" w:hAnsi="Times New Roman" w:eastAsia="Times New Roman"/>
          <w:spacing w:val="8"/>
          <w:w w:val="99"/>
          <w:sz w:val="32"/>
          <w:szCs w:val="32"/>
        </w:rPr>
        <w:t>6</w:t>
      </w:r>
      <w:r>
        <w:rPr>
          <w:rFonts w:ascii="Times New Roman" w:hAnsi="Times New Roman" w:eastAsia="Times New Roman"/>
          <w:spacing w:val="10"/>
          <w:w w:val="99"/>
          <w:sz w:val="32"/>
          <w:szCs w:val="32"/>
        </w:rPr>
        <w:t>3</w:t>
      </w:r>
      <w:r>
        <w:rPr>
          <w:rFonts w:ascii="Times New Roman" w:hAnsi="Times New Roman" w:eastAsia="Times New Roman"/>
          <w:spacing w:val="15"/>
          <w:w w:val="99"/>
          <w:sz w:val="32"/>
          <w:szCs w:val="32"/>
        </w:rPr>
        <w:t>%</w:t>
      </w:r>
      <w:r>
        <w:rPr>
          <w:spacing w:val="-17"/>
          <w:w w:val="99"/>
          <w:sz w:val="32"/>
          <w:szCs w:val="32"/>
        </w:rPr>
        <w:t>，</w:t>
      </w:r>
      <w:r>
        <w:rPr>
          <w:rFonts w:ascii="Times New Roman" w:hAnsi="Times New Roman" w:eastAsia="Times New Roman"/>
          <w:spacing w:val="8"/>
          <w:w w:val="99"/>
          <w:sz w:val="32"/>
          <w:szCs w:val="32"/>
        </w:rPr>
        <w:t>R</w:t>
      </w:r>
      <w:r>
        <w:rPr>
          <w:rFonts w:ascii="Times New Roman" w:hAnsi="Times New Roman" w:eastAsia="Times New Roman"/>
          <w:spacing w:val="11"/>
          <w:w w:val="99"/>
          <w:sz w:val="32"/>
          <w:szCs w:val="32"/>
        </w:rPr>
        <w:t>&amp;</w:t>
      </w:r>
      <w:r>
        <w:rPr>
          <w:rFonts w:ascii="Times New Roman" w:hAnsi="Times New Roman" w:eastAsia="Times New Roman"/>
          <w:w w:val="99"/>
          <w:sz w:val="32"/>
          <w:szCs w:val="32"/>
        </w:rPr>
        <w:t>D</w:t>
      </w:r>
      <w:r>
        <w:rPr>
          <w:rFonts w:ascii="Times New Roman" w:hAnsi="Times New Roman" w:eastAsia="Times New Roman"/>
          <w:spacing w:val="20"/>
          <w:sz w:val="32"/>
          <w:szCs w:val="32"/>
        </w:rPr>
        <w:t xml:space="preserve"> </w:t>
      </w:r>
      <w:r>
        <w:rPr>
          <w:spacing w:val="16"/>
          <w:w w:val="99"/>
          <w:sz w:val="32"/>
          <w:szCs w:val="32"/>
        </w:rPr>
        <w:t>投入强度高于全市平均水平，每万人口发明专</w:t>
      </w:r>
      <w:r>
        <w:rPr>
          <w:spacing w:val="17"/>
          <w:w w:val="99"/>
          <w:sz w:val="32"/>
          <w:szCs w:val="32"/>
        </w:rPr>
        <w:t>利授权量达到</w:t>
      </w:r>
      <w:r>
        <w:rPr>
          <w:spacing w:val="-50"/>
          <w:sz w:val="32"/>
          <w:szCs w:val="32"/>
        </w:rPr>
        <w:t xml:space="preserve"> </w:t>
      </w:r>
      <w:r>
        <w:rPr>
          <w:rFonts w:ascii="Times New Roman" w:hAnsi="Times New Roman" w:eastAsia="Times New Roman"/>
          <w:spacing w:val="6"/>
          <w:w w:val="99"/>
          <w:sz w:val="32"/>
          <w:szCs w:val="32"/>
        </w:rPr>
        <w:t>1</w:t>
      </w:r>
      <w:r>
        <w:rPr>
          <w:rFonts w:ascii="Times New Roman" w:hAnsi="Times New Roman" w:eastAsia="Times New Roman"/>
          <w:w w:val="99"/>
          <w:sz w:val="32"/>
          <w:szCs w:val="32"/>
        </w:rPr>
        <w:t>8</w:t>
      </w:r>
      <w:r>
        <w:rPr>
          <w:rFonts w:ascii="Times New Roman" w:hAnsi="Times New Roman" w:eastAsia="Times New Roman"/>
          <w:spacing w:val="22"/>
          <w:sz w:val="32"/>
          <w:szCs w:val="32"/>
        </w:rPr>
        <w:t xml:space="preserve"> </w:t>
      </w:r>
      <w:r>
        <w:rPr>
          <w:spacing w:val="10"/>
          <w:w w:val="99"/>
          <w:sz w:val="32"/>
          <w:szCs w:val="32"/>
        </w:rPr>
        <w:t>件。</w:t>
      </w:r>
    </w:p>
    <w:p w14:paraId="06EDEA99">
      <w:pPr>
        <w:spacing w:before="14" w:line="338" w:lineRule="auto"/>
        <w:ind w:left="113" w:right="293" w:firstLine="684"/>
        <w:jc w:val="both"/>
        <w:rPr>
          <w:sz w:val="32"/>
          <w:szCs w:val="32"/>
        </w:rPr>
      </w:pPr>
      <w:r>
        <w:rPr>
          <w:b/>
          <w:i/>
          <w:spacing w:val="26"/>
          <w:w w:val="99"/>
          <w:sz w:val="32"/>
          <w:szCs w:val="32"/>
        </w:rPr>
        <w:t>做优科技研发服务业。</w:t>
      </w:r>
      <w:r>
        <w:rPr>
          <w:spacing w:val="24"/>
          <w:w w:val="99"/>
          <w:sz w:val="32"/>
          <w:szCs w:val="32"/>
        </w:rPr>
        <w:t>依托阅海湾中央商务区</w:t>
      </w:r>
      <w:r>
        <w:rPr>
          <w:spacing w:val="26"/>
          <w:w w:val="99"/>
          <w:sz w:val="32"/>
          <w:szCs w:val="32"/>
        </w:rPr>
        <w:t>（</w:t>
      </w:r>
      <w:r>
        <w:rPr>
          <w:spacing w:val="16"/>
          <w:w w:val="99"/>
          <w:sz w:val="32"/>
          <w:szCs w:val="32"/>
        </w:rPr>
        <w:t>丝路经</w:t>
      </w:r>
      <w:r>
        <w:rPr>
          <w:spacing w:val="25"/>
          <w:w w:val="99"/>
          <w:sz w:val="32"/>
          <w:szCs w:val="32"/>
        </w:rPr>
        <w:t>济园</w:t>
      </w:r>
      <w:r>
        <w:rPr>
          <w:spacing w:val="26"/>
          <w:w w:val="99"/>
          <w:sz w:val="32"/>
          <w:szCs w:val="32"/>
        </w:rPr>
        <w:t>）</w:t>
      </w:r>
      <w:r>
        <w:rPr>
          <w:spacing w:val="22"/>
          <w:w w:val="99"/>
          <w:sz w:val="32"/>
          <w:szCs w:val="32"/>
        </w:rPr>
        <w:t>及现有各类科技创新资源，加快培育更多科技型中介</w:t>
      </w:r>
      <w:r>
        <w:rPr>
          <w:spacing w:val="23"/>
          <w:w w:val="99"/>
          <w:sz w:val="32"/>
          <w:szCs w:val="32"/>
        </w:rPr>
        <w:t>服务机构和科技创新平台，着力保护产权，建成知识产权管理和保护中心，为企业及科研人员创新、研发提供支持。强化研发人才服务保障，依托人才公寓、大学生共有产权房提供居住便利。建立创新服务券、飞地园区项目转化等柔性机</w:t>
      </w:r>
      <w:r>
        <w:rPr>
          <w:spacing w:val="19"/>
          <w:w w:val="99"/>
          <w:sz w:val="32"/>
          <w:szCs w:val="32"/>
        </w:rPr>
        <w:t>制，激励研发创新积极性。</w:t>
      </w:r>
    </w:p>
    <w:p w14:paraId="704DB257">
      <w:pPr>
        <w:spacing w:before="14" w:line="338" w:lineRule="auto"/>
        <w:ind w:left="113" w:right="293" w:firstLine="684"/>
        <w:jc w:val="both"/>
        <w:rPr>
          <w:sz w:val="32"/>
          <w:szCs w:val="32"/>
        </w:rPr>
      </w:pPr>
      <w:r>
        <w:rPr>
          <w:b/>
          <w:i/>
          <w:spacing w:val="26"/>
          <w:w w:val="99"/>
          <w:sz w:val="32"/>
          <w:szCs w:val="32"/>
        </w:rPr>
        <w:t>培育技术转移服务业。</w:t>
      </w:r>
      <w:r>
        <w:rPr>
          <w:spacing w:val="22"/>
          <w:w w:val="99"/>
          <w:sz w:val="32"/>
          <w:szCs w:val="32"/>
        </w:rPr>
        <w:t>加强与区内外科研院所、科技型</w:t>
      </w:r>
      <w:r>
        <w:rPr>
          <w:spacing w:val="23"/>
          <w:w w:val="99"/>
          <w:sz w:val="32"/>
          <w:szCs w:val="32"/>
        </w:rPr>
        <w:t>企业的创新合作，落实“科技支宁”东西部合作项目，为辖区工业企业转型发展提供科技、创新等要素保障。加大对科技成果中试熟化环节的支持力度，提升技术市场服务机构专业化水平，使企业成为科研攻关、成果转化、技术推广的主</w:t>
      </w:r>
      <w:r>
        <w:rPr>
          <w:spacing w:val="10"/>
          <w:w w:val="99"/>
          <w:sz w:val="32"/>
          <w:szCs w:val="32"/>
        </w:rPr>
        <w:t>体。</w:t>
      </w:r>
    </w:p>
    <w:p w14:paraId="6FBFADBC">
      <w:pPr>
        <w:spacing w:before="12"/>
        <w:ind w:left="797"/>
        <w:rPr>
          <w:sz w:val="32"/>
        </w:rPr>
      </w:pPr>
      <w:r>
        <w:rPr>
          <w:b/>
          <w:i/>
          <w:spacing w:val="26"/>
          <w:w w:val="95"/>
          <w:sz w:val="32"/>
        </w:rPr>
        <w:t>鼓励科技咨询服务业。</w:t>
      </w:r>
      <w:r>
        <w:rPr>
          <w:spacing w:val="21"/>
          <w:w w:val="95"/>
          <w:sz w:val="32"/>
        </w:rPr>
        <w:t>积极发展战略咨询、管理咨询、</w:t>
      </w:r>
    </w:p>
    <w:p w14:paraId="036D9FC5">
      <w:pPr>
        <w:rPr>
          <w:sz w:val="32"/>
        </w:rPr>
        <w:sectPr>
          <w:footerReference r:id="rId18" w:type="default"/>
          <w:footerReference r:id="rId19" w:type="even"/>
          <w:pgSz w:w="11910" w:h="16840"/>
          <w:pgMar w:top="1800" w:right="1200" w:bottom="1160" w:left="1360" w:header="0" w:footer="975" w:gutter="0"/>
          <w:pgNumType w:start="43"/>
          <w:cols w:space="720" w:num="1"/>
        </w:sectPr>
      </w:pPr>
    </w:p>
    <w:p w14:paraId="6947CC12">
      <w:pPr>
        <w:spacing w:before="28" w:line="338" w:lineRule="auto"/>
        <w:ind w:left="113" w:right="126"/>
        <w:rPr>
          <w:sz w:val="32"/>
          <w:szCs w:val="32"/>
        </w:rPr>
      </w:pPr>
      <w:r>
        <w:rPr>
          <w:spacing w:val="23"/>
          <w:w w:val="99"/>
          <w:sz w:val="32"/>
          <w:szCs w:val="32"/>
        </w:rPr>
        <w:t>工程咨询、信息咨询等专业化咨询业务。加快发展专业楼宇经济，重点引进猎头人才公司、人才测评、技能培训、招聘代理、薪酬代发等服务业态。支持科技咨询机构在科研项目管理、创新信息管理、园区管理、专业化会展服务、人才引</w:t>
      </w:r>
      <w:r>
        <w:rPr>
          <w:spacing w:val="11"/>
          <w:w w:val="99"/>
          <w:sz w:val="32"/>
          <w:szCs w:val="32"/>
        </w:rPr>
        <w:t>进等方面开展专业服务。支持科技咨询机构开展行业数据库、</w:t>
      </w:r>
      <w:r>
        <w:rPr>
          <w:spacing w:val="23"/>
          <w:w w:val="99"/>
          <w:sz w:val="32"/>
          <w:szCs w:val="32"/>
        </w:rPr>
        <w:t>知识库建设，探索运用新技术、新方法、新模型发展新型咨</w:t>
      </w:r>
      <w:r>
        <w:rPr>
          <w:spacing w:val="19"/>
          <w:w w:val="99"/>
          <w:sz w:val="32"/>
          <w:szCs w:val="32"/>
        </w:rPr>
        <w:t>询业务，建设新型高端知识服务平台。</w:t>
      </w:r>
    </w:p>
    <w:p w14:paraId="026CC9E0">
      <w:pPr>
        <w:spacing w:before="14" w:line="338" w:lineRule="auto"/>
        <w:ind w:left="113" w:right="126" w:firstLine="684"/>
        <w:jc w:val="both"/>
        <w:rPr>
          <w:sz w:val="32"/>
          <w:szCs w:val="32"/>
        </w:rPr>
      </w:pPr>
      <w:r>
        <w:rPr>
          <w:b/>
          <w:i/>
          <w:spacing w:val="24"/>
          <w:sz w:val="32"/>
          <w:szCs w:val="32"/>
        </w:rPr>
        <w:t>发展检验检测服务业。</w:t>
      </w:r>
      <w:r>
        <w:rPr>
          <w:spacing w:val="22"/>
          <w:sz w:val="32"/>
          <w:szCs w:val="32"/>
        </w:rPr>
        <w:t>鼓励社会力量开展第三方检验检</w:t>
      </w:r>
      <w:r>
        <w:rPr>
          <w:spacing w:val="24"/>
          <w:sz w:val="32"/>
          <w:szCs w:val="32"/>
        </w:rPr>
        <w:t>测认证服务；支持检验检测企业发展面向设计开</w:t>
      </w:r>
      <w:r>
        <w:rPr>
          <w:spacing w:val="19"/>
          <w:sz w:val="32"/>
          <w:szCs w:val="32"/>
        </w:rPr>
        <w:t>发、生产制</w:t>
      </w:r>
      <w:r>
        <w:rPr>
          <w:spacing w:val="24"/>
          <w:sz w:val="32"/>
          <w:szCs w:val="32"/>
        </w:rPr>
        <w:t>造、售后服务全过程的观测、分析、测试、检验</w:t>
      </w:r>
      <w:r>
        <w:rPr>
          <w:spacing w:val="19"/>
          <w:sz w:val="32"/>
          <w:szCs w:val="32"/>
        </w:rPr>
        <w:t>、计量、标</w:t>
      </w:r>
      <w:r>
        <w:rPr>
          <w:spacing w:val="24"/>
          <w:sz w:val="32"/>
          <w:szCs w:val="32"/>
        </w:rPr>
        <w:t>准、认证等一站式服务，加快建设金凤区食品药</w:t>
      </w:r>
      <w:r>
        <w:rPr>
          <w:spacing w:val="19"/>
          <w:sz w:val="32"/>
          <w:szCs w:val="32"/>
        </w:rPr>
        <w:t>品检验检测</w:t>
      </w:r>
      <w:r>
        <w:rPr>
          <w:spacing w:val="24"/>
          <w:sz w:val="32"/>
          <w:szCs w:val="32"/>
        </w:rPr>
        <w:t>实验室，加强实验室认证；鼓励技术标准研制与</w:t>
      </w:r>
      <w:r>
        <w:rPr>
          <w:spacing w:val="19"/>
          <w:sz w:val="32"/>
          <w:szCs w:val="32"/>
        </w:rPr>
        <w:t>应用，发展</w:t>
      </w:r>
      <w:r>
        <w:rPr>
          <w:spacing w:val="12"/>
          <w:w w:val="95"/>
          <w:sz w:val="32"/>
          <w:szCs w:val="32"/>
        </w:rPr>
        <w:t>标准研发、信息、咨询等服务，构建技术标准全程服务体系。</w:t>
      </w:r>
    </w:p>
    <w:p w14:paraId="2289491B">
      <w:pPr>
        <w:spacing w:line="494" w:lineRule="exact"/>
        <w:ind w:left="797"/>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spacing w:val="24"/>
          <w:w w:val="95"/>
          <w:sz w:val="32"/>
          <w:szCs w:val="32"/>
        </w:rPr>
        <w:t>（二）积极发展人力资源服务</w:t>
      </w:r>
      <w:r>
        <w:rPr>
          <w:rFonts w:ascii="Microsoft JhengHei" w:hAnsi="Microsoft JhengHei" w:eastAsia="Microsoft JhengHei" w:cs="Microsoft JhengHei"/>
          <w:b/>
          <w:bCs/>
          <w:spacing w:val="-10"/>
          <w:w w:val="95"/>
          <w:sz w:val="32"/>
          <w:szCs w:val="32"/>
        </w:rPr>
        <w:t>业</w:t>
      </w:r>
    </w:p>
    <w:p w14:paraId="07C6432B">
      <w:pPr>
        <w:spacing w:before="95" w:line="340" w:lineRule="auto"/>
        <w:ind w:left="113" w:right="126" w:firstLine="684"/>
        <w:rPr>
          <w:sz w:val="32"/>
          <w:szCs w:val="32"/>
        </w:rPr>
      </w:pPr>
      <w:r>
        <w:rPr>
          <w:spacing w:val="13"/>
          <w:w w:val="99"/>
          <w:sz w:val="32"/>
          <w:szCs w:val="32"/>
        </w:rPr>
        <w:t>大力引进知名人力资源服务企业，培育一批有核心产品、</w:t>
      </w:r>
      <w:r>
        <w:rPr>
          <w:spacing w:val="11"/>
          <w:w w:val="99"/>
          <w:sz w:val="32"/>
          <w:szCs w:val="32"/>
        </w:rPr>
        <w:t>成长性好、竞争力强的人力资源服务企业，推进“一带一路”</w:t>
      </w:r>
      <w:r>
        <w:rPr>
          <w:spacing w:val="14"/>
          <w:w w:val="99"/>
          <w:sz w:val="32"/>
          <w:szCs w:val="32"/>
        </w:rPr>
        <w:t>人力资本服务产业园建设，深入推进“人才服务</w:t>
      </w:r>
      <w:r>
        <w:rPr>
          <w:rFonts w:ascii="Times New Roman" w:hAnsi="Times New Roman" w:eastAsia="Times New Roman"/>
          <w:spacing w:val="12"/>
          <w:w w:val="99"/>
          <w:sz w:val="32"/>
          <w:szCs w:val="32"/>
        </w:rPr>
        <w:t>+</w:t>
      </w:r>
      <w:r>
        <w:rPr>
          <w:spacing w:val="8"/>
          <w:w w:val="99"/>
          <w:sz w:val="32"/>
          <w:szCs w:val="32"/>
        </w:rPr>
        <w:t>互联网”行</w:t>
      </w:r>
      <w:r>
        <w:rPr>
          <w:spacing w:val="23"/>
          <w:w w:val="99"/>
          <w:sz w:val="32"/>
          <w:szCs w:val="32"/>
        </w:rPr>
        <w:t>动，针对性开展技术培训，多层次、多渠道培养和引进人力</w:t>
      </w:r>
      <w:r>
        <w:rPr>
          <w:spacing w:val="11"/>
          <w:w w:val="99"/>
          <w:sz w:val="32"/>
          <w:szCs w:val="32"/>
        </w:rPr>
        <w:t>资源服务业急需的人才，打造自治区中高端人力资源集散地，</w:t>
      </w:r>
      <w:r>
        <w:rPr>
          <w:spacing w:val="19"/>
          <w:w w:val="99"/>
          <w:sz w:val="32"/>
          <w:szCs w:val="32"/>
        </w:rPr>
        <w:t>为自治区各行业发展提供人才智力支撑。</w:t>
      </w:r>
    </w:p>
    <w:p w14:paraId="5C0B6F22">
      <w:pPr>
        <w:spacing w:line="397" w:lineRule="exact"/>
        <w:ind w:left="797"/>
        <w:rPr>
          <w:sz w:val="32"/>
        </w:rPr>
      </w:pPr>
      <w:r>
        <w:rPr>
          <w:b/>
          <w:i/>
          <w:spacing w:val="26"/>
          <w:w w:val="95"/>
          <w:sz w:val="32"/>
        </w:rPr>
        <w:t>推进人力资源集聚。</w:t>
      </w:r>
      <w:r>
        <w:rPr>
          <w:spacing w:val="24"/>
          <w:w w:val="95"/>
          <w:sz w:val="32"/>
        </w:rPr>
        <w:t>推进建设阅海湾中央商务区</w:t>
      </w:r>
      <w:r>
        <w:rPr>
          <w:spacing w:val="26"/>
          <w:w w:val="95"/>
          <w:sz w:val="32"/>
        </w:rPr>
        <w:t>（</w:t>
      </w:r>
      <w:r>
        <w:rPr>
          <w:spacing w:val="7"/>
          <w:w w:val="95"/>
          <w:sz w:val="32"/>
        </w:rPr>
        <w:t>丝路</w:t>
      </w:r>
    </w:p>
    <w:p w14:paraId="3DB35321">
      <w:pPr>
        <w:spacing w:before="171" w:line="340" w:lineRule="auto"/>
        <w:ind w:left="113" w:right="295"/>
        <w:rPr>
          <w:sz w:val="32"/>
          <w:szCs w:val="32"/>
        </w:rPr>
      </w:pPr>
      <w:r>
        <w:rPr>
          <w:spacing w:val="25"/>
          <w:w w:val="99"/>
          <w:sz w:val="32"/>
          <w:szCs w:val="32"/>
        </w:rPr>
        <w:t>经济园</w:t>
      </w:r>
      <w:r>
        <w:rPr>
          <w:spacing w:val="24"/>
          <w:w w:val="99"/>
          <w:sz w:val="32"/>
          <w:szCs w:val="32"/>
        </w:rPr>
        <w:t>）</w:t>
      </w:r>
      <w:r>
        <w:rPr>
          <w:spacing w:val="22"/>
          <w:w w:val="99"/>
          <w:sz w:val="32"/>
          <w:szCs w:val="32"/>
        </w:rPr>
        <w:t>“一带一路”人力资本服务产业园，大力引进知名</w:t>
      </w:r>
      <w:r>
        <w:rPr>
          <w:spacing w:val="23"/>
          <w:w w:val="99"/>
          <w:sz w:val="32"/>
          <w:szCs w:val="32"/>
        </w:rPr>
        <w:t>人力资源服务企业，鼓励校企合作，建设实训基地，打造集</w:t>
      </w:r>
    </w:p>
    <w:p w14:paraId="161831AD">
      <w:pPr>
        <w:spacing w:line="340" w:lineRule="auto"/>
        <w:sectPr>
          <w:pgSz w:w="11910" w:h="16840"/>
          <w:pgMar w:top="1800" w:right="1200" w:bottom="1160" w:left="1360" w:header="0" w:footer="975" w:gutter="0"/>
          <w:cols w:space="720" w:num="1"/>
        </w:sectPr>
      </w:pPr>
    </w:p>
    <w:p w14:paraId="5562FD02">
      <w:pPr>
        <w:spacing w:before="28" w:line="338" w:lineRule="auto"/>
        <w:ind w:left="113" w:right="126"/>
        <w:jc w:val="both"/>
        <w:rPr>
          <w:sz w:val="32"/>
          <w:szCs w:val="32"/>
        </w:rPr>
      </w:pPr>
      <w:r>
        <w:rPr>
          <w:spacing w:val="24"/>
          <w:sz w:val="32"/>
          <w:szCs w:val="32"/>
        </w:rPr>
        <w:t>中高端人才交流、一站式政务服务、众创服务、</w:t>
      </w:r>
      <w:r>
        <w:rPr>
          <w:spacing w:val="19"/>
          <w:sz w:val="32"/>
          <w:szCs w:val="32"/>
        </w:rPr>
        <w:t>人才测评服</w:t>
      </w:r>
      <w:r>
        <w:rPr>
          <w:spacing w:val="24"/>
          <w:sz w:val="32"/>
          <w:szCs w:val="32"/>
        </w:rPr>
        <w:t>务、虚拟服务等功能于一体的人力资源服务平台</w:t>
      </w:r>
      <w:r>
        <w:rPr>
          <w:spacing w:val="19"/>
          <w:sz w:val="32"/>
          <w:szCs w:val="32"/>
        </w:rPr>
        <w:t>，进一步规</w:t>
      </w:r>
      <w:r>
        <w:rPr>
          <w:spacing w:val="17"/>
          <w:sz w:val="32"/>
          <w:szCs w:val="32"/>
        </w:rPr>
        <w:t>范人力资源企业服务标准。深入推进“人才服务</w:t>
      </w:r>
      <w:r>
        <w:rPr>
          <w:rFonts w:ascii="Times New Roman" w:hAnsi="Times New Roman" w:eastAsia="Times New Roman"/>
          <w:spacing w:val="12"/>
          <w:sz w:val="32"/>
          <w:szCs w:val="32"/>
        </w:rPr>
        <w:t>+</w:t>
      </w:r>
      <w:r>
        <w:rPr>
          <w:spacing w:val="22"/>
          <w:sz w:val="32"/>
          <w:szCs w:val="32"/>
        </w:rPr>
        <w:t>互</w:t>
      </w:r>
      <w:r>
        <w:rPr>
          <w:spacing w:val="21"/>
          <w:sz w:val="32"/>
          <w:szCs w:val="32"/>
        </w:rPr>
        <w:t>联网</w:t>
      </w:r>
      <w:r>
        <w:rPr>
          <w:sz w:val="32"/>
          <w:szCs w:val="32"/>
        </w:rPr>
        <w:t>”行</w:t>
      </w:r>
      <w:r>
        <w:rPr>
          <w:spacing w:val="17"/>
          <w:w w:val="95"/>
          <w:sz w:val="32"/>
          <w:szCs w:val="32"/>
        </w:rPr>
        <w:t>动，积极探索建立网上人力资源产</w:t>
      </w:r>
      <w:r>
        <w:rPr>
          <w:spacing w:val="22"/>
          <w:w w:val="95"/>
          <w:sz w:val="32"/>
          <w:szCs w:val="32"/>
        </w:rPr>
        <w:t>业园</w:t>
      </w:r>
      <w:r>
        <w:rPr>
          <w:spacing w:val="14"/>
          <w:w w:val="95"/>
          <w:sz w:val="32"/>
          <w:szCs w:val="32"/>
        </w:rPr>
        <w:t>，实现供需精准对接。</w:t>
      </w:r>
    </w:p>
    <w:p w14:paraId="51912345">
      <w:pPr>
        <w:spacing w:line="328" w:lineRule="auto"/>
        <w:ind w:left="113" w:right="294" w:firstLine="602"/>
        <w:jc w:val="both"/>
        <w:rPr>
          <w:sz w:val="32"/>
          <w:szCs w:val="32"/>
        </w:rPr>
      </w:pPr>
      <w:r>
        <w:rPr>
          <w:b/>
          <w:i/>
          <w:spacing w:val="29"/>
          <w:w w:val="99"/>
          <w:sz w:val="32"/>
          <w:szCs w:val="32"/>
        </w:rPr>
        <w:t>加强人才队伍建设。</w:t>
      </w:r>
      <w:r>
        <w:rPr>
          <w:spacing w:val="26"/>
          <w:w w:val="99"/>
          <w:sz w:val="32"/>
          <w:szCs w:val="32"/>
        </w:rPr>
        <w:t>坚持突出重点、分类推进、整体开</w:t>
      </w:r>
      <w:r>
        <w:rPr>
          <w:spacing w:val="23"/>
          <w:w w:val="99"/>
          <w:sz w:val="32"/>
          <w:szCs w:val="32"/>
        </w:rPr>
        <w:t>发，以人才资源能力建设为核心，实施党政人才素质提升、企业管理人才培育、专业技术人才培育、高技能人才培育、农村实用人才开发、社会工作人才发展等工程，统筹推动人才队伍建设。制定实施人力资源服务业领军人才培养计划，继续完善“</w:t>
      </w:r>
      <w:r>
        <w:rPr>
          <w:spacing w:val="-131"/>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2"/>
          <w:w w:val="99"/>
          <w:sz w:val="32"/>
          <w:szCs w:val="32"/>
        </w:rPr>
        <w:t>+</w:t>
      </w:r>
      <w:r>
        <w:rPr>
          <w:rFonts w:ascii="Times New Roman" w:hAnsi="Times New Roman" w:eastAsia="Times New Roman"/>
          <w:spacing w:val="21"/>
          <w:w w:val="99"/>
          <w:sz w:val="32"/>
          <w:szCs w:val="32"/>
        </w:rPr>
        <w:t>N</w:t>
      </w:r>
      <w:r>
        <w:rPr>
          <w:w w:val="99"/>
          <w:sz w:val="32"/>
          <w:szCs w:val="32"/>
        </w:rPr>
        <w:t>”</w:t>
      </w:r>
      <w:r>
        <w:rPr>
          <w:spacing w:val="-131"/>
          <w:sz w:val="32"/>
          <w:szCs w:val="32"/>
        </w:rPr>
        <w:t xml:space="preserve"> </w:t>
      </w:r>
      <w:r>
        <w:rPr>
          <w:spacing w:val="24"/>
          <w:w w:val="99"/>
          <w:sz w:val="32"/>
          <w:szCs w:val="32"/>
        </w:rPr>
        <w:t>人才政策体系，</w:t>
      </w:r>
      <w:r>
        <w:rPr>
          <w:spacing w:val="-131"/>
          <w:sz w:val="32"/>
          <w:szCs w:val="32"/>
        </w:rPr>
        <w:t xml:space="preserve"> </w:t>
      </w:r>
      <w:r>
        <w:rPr>
          <w:spacing w:val="24"/>
          <w:w w:val="99"/>
          <w:sz w:val="32"/>
          <w:szCs w:val="32"/>
        </w:rPr>
        <w:t>加快实施科技企业培育工</w:t>
      </w:r>
      <w:r>
        <w:rPr>
          <w:spacing w:val="23"/>
          <w:w w:val="99"/>
          <w:sz w:val="32"/>
          <w:szCs w:val="32"/>
        </w:rPr>
        <w:t>程、“本土人才回流”工程和“引凤创梦”行动。联合宁夏职业技术学院、银川科技职业学校等职业学校，建立实训基地，针对性开展技术培训，多层次、多渠道培养和引进人力资源服务急需的人才。推动人才双向流动，促进人才项目在基层落地。发挥“金凤区高层次人才创新创业基地”“金凤区基层干部实训基地”等人才培育孵化平台作用，加快形成</w:t>
      </w:r>
      <w:r>
        <w:rPr>
          <w:spacing w:val="19"/>
          <w:w w:val="99"/>
          <w:sz w:val="32"/>
          <w:szCs w:val="32"/>
        </w:rPr>
        <w:t>完整的人力资源产业链。</w:t>
      </w:r>
    </w:p>
    <w:p w14:paraId="4802FD56">
      <w:pPr>
        <w:spacing w:line="477" w:lineRule="exact"/>
        <w:ind w:left="660"/>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spacing w:val="24"/>
          <w:w w:val="95"/>
          <w:sz w:val="32"/>
          <w:szCs w:val="32"/>
        </w:rPr>
        <w:t>（三）优化发展健康养老服务</w:t>
      </w:r>
      <w:r>
        <w:rPr>
          <w:rFonts w:ascii="Microsoft JhengHei" w:hAnsi="Microsoft JhengHei" w:eastAsia="Microsoft JhengHei" w:cs="Microsoft JhengHei"/>
          <w:b/>
          <w:bCs/>
          <w:spacing w:val="-10"/>
          <w:w w:val="95"/>
          <w:sz w:val="32"/>
          <w:szCs w:val="32"/>
        </w:rPr>
        <w:t>业</w:t>
      </w:r>
    </w:p>
    <w:p w14:paraId="35BD9BF8">
      <w:pPr>
        <w:spacing w:before="89" w:line="338" w:lineRule="auto"/>
        <w:ind w:left="113" w:right="295" w:firstLine="684"/>
        <w:jc w:val="both"/>
        <w:rPr>
          <w:sz w:val="32"/>
          <w:szCs w:val="32"/>
        </w:rPr>
      </w:pPr>
      <w:r>
        <w:rPr>
          <w:spacing w:val="23"/>
          <w:w w:val="99"/>
          <w:sz w:val="32"/>
          <w:szCs w:val="32"/>
        </w:rPr>
        <w:t>紧扣健康中国战略，以医疗服务、养生养老、智慧健康养老、健康体育突破发展为着力点，推动互联网、大数据、人工智能和健康养老产业深度融合，加强医疗卫生、养生养老机构建设，推进医养结合，创新服务模式，着力构建“居家为基础、社区为依托、机构为补充”的养老服务体系，将</w:t>
      </w:r>
      <w:r>
        <w:rPr>
          <w:spacing w:val="19"/>
          <w:w w:val="99"/>
          <w:sz w:val="32"/>
          <w:szCs w:val="32"/>
        </w:rPr>
        <w:t>金凤打造成为黄河流域康养胜地。</w:t>
      </w:r>
    </w:p>
    <w:p w14:paraId="383D1C98">
      <w:pPr>
        <w:spacing w:line="338" w:lineRule="auto"/>
        <w:jc w:val="both"/>
        <w:sectPr>
          <w:pgSz w:w="11910" w:h="16840"/>
          <w:pgMar w:top="1800" w:right="1200" w:bottom="1160" w:left="1360" w:header="0" w:footer="975" w:gutter="0"/>
          <w:cols w:space="720" w:num="1"/>
        </w:sectPr>
      </w:pPr>
    </w:p>
    <w:p w14:paraId="36E29D20">
      <w:pPr>
        <w:spacing w:before="28" w:line="338" w:lineRule="auto"/>
        <w:ind w:left="113" w:right="126" w:firstLine="684"/>
        <w:rPr>
          <w:sz w:val="32"/>
          <w:szCs w:val="32"/>
        </w:rPr>
      </w:pPr>
      <w:r>
        <w:rPr>
          <w:b/>
          <w:i/>
          <w:spacing w:val="26"/>
          <w:w w:val="99"/>
          <w:sz w:val="32"/>
          <w:szCs w:val="32"/>
        </w:rPr>
        <w:t>发展健康医药产业。</w:t>
      </w:r>
      <w:r>
        <w:rPr>
          <w:spacing w:val="22"/>
          <w:w w:val="99"/>
          <w:sz w:val="32"/>
          <w:szCs w:val="32"/>
        </w:rPr>
        <w:t>鼓励支持中医药、药食两用等产业</w:t>
      </w:r>
      <w:r>
        <w:rPr>
          <w:spacing w:val="23"/>
          <w:w w:val="99"/>
          <w:sz w:val="32"/>
          <w:szCs w:val="32"/>
        </w:rPr>
        <w:t>发展，巩固全国基层中医药工作先进单位成果，促进中医药健康服务与旅游融合发展，加快形成中医药健康品牌，壮大健康医药产业，推动健康医药产业集群、集聚、集约发展。</w:t>
      </w:r>
      <w:r>
        <w:rPr>
          <w:spacing w:val="12"/>
          <w:w w:val="99"/>
          <w:sz w:val="32"/>
          <w:szCs w:val="32"/>
        </w:rPr>
        <w:t>深化“首都带首府”合作模式，依托“智慧银川”建设成果，</w:t>
      </w:r>
      <w:r>
        <w:rPr>
          <w:spacing w:val="19"/>
          <w:w w:val="99"/>
          <w:sz w:val="32"/>
          <w:szCs w:val="32"/>
        </w:rPr>
        <w:t>推进“智慧医疗”工程，发展“互联网+医疗”产业。</w:t>
      </w:r>
    </w:p>
    <w:p w14:paraId="2EB296A3">
      <w:pPr>
        <w:spacing w:before="11" w:line="338" w:lineRule="auto"/>
        <w:ind w:left="113" w:right="126" w:firstLine="684"/>
        <w:rPr>
          <w:sz w:val="32"/>
          <w:szCs w:val="32"/>
        </w:rPr>
      </w:pPr>
      <w:r>
        <w:rPr>
          <w:b/>
          <w:i/>
          <w:spacing w:val="26"/>
          <w:w w:val="99"/>
          <w:sz w:val="32"/>
          <w:szCs w:val="32"/>
        </w:rPr>
        <w:t>发展健康养老产业。</w:t>
      </w:r>
      <w:r>
        <w:rPr>
          <w:spacing w:val="22"/>
          <w:w w:val="99"/>
          <w:sz w:val="32"/>
          <w:szCs w:val="32"/>
        </w:rPr>
        <w:t>组织实施医养结合新型健康养老服</w:t>
      </w:r>
      <w:r>
        <w:rPr>
          <w:spacing w:val="23"/>
          <w:w w:val="99"/>
          <w:sz w:val="32"/>
          <w:szCs w:val="32"/>
        </w:rPr>
        <w:t>务业发展，鼓励社会力量参与公办养老机构改革，支持社会力量从事健康养老服务事业，壮大护理人员队伍。围绕阅海</w:t>
      </w:r>
      <w:r>
        <w:rPr>
          <w:spacing w:val="10"/>
          <w:w w:val="99"/>
          <w:sz w:val="32"/>
          <w:szCs w:val="32"/>
        </w:rPr>
        <w:t>片区，依托自治区工人疗养院、银川市综合福利中心等资源，</w:t>
      </w:r>
      <w:r>
        <w:rPr>
          <w:spacing w:val="23"/>
          <w:w w:val="99"/>
          <w:sz w:val="32"/>
          <w:szCs w:val="32"/>
        </w:rPr>
        <w:t>发展养老综合体项目，打造家庭服务—医疗养老服务—养老</w:t>
      </w:r>
      <w:r>
        <w:rPr>
          <w:spacing w:val="12"/>
          <w:w w:val="99"/>
          <w:sz w:val="32"/>
          <w:szCs w:val="32"/>
        </w:rPr>
        <w:t>养生地产—老年用品产业链，完善和加快发展以居家为基础、</w:t>
      </w:r>
      <w:r>
        <w:rPr>
          <w:spacing w:val="20"/>
          <w:w w:val="99"/>
          <w:sz w:val="32"/>
          <w:szCs w:val="32"/>
        </w:rPr>
        <w:t>社区为依托、机构为支撑、医养相结合的养老服务。</w:t>
      </w:r>
    </w:p>
    <w:p w14:paraId="1449C608">
      <w:pPr>
        <w:spacing w:before="14" w:line="338" w:lineRule="auto"/>
        <w:ind w:left="113" w:right="295" w:firstLine="684"/>
        <w:jc w:val="both"/>
        <w:rPr>
          <w:sz w:val="32"/>
          <w:szCs w:val="32"/>
        </w:rPr>
      </w:pPr>
      <w:r>
        <w:rPr>
          <w:b/>
          <w:i/>
          <w:spacing w:val="26"/>
          <w:w w:val="99"/>
          <w:sz w:val="32"/>
          <w:szCs w:val="32"/>
        </w:rPr>
        <w:t>发展健康运动产业。</w:t>
      </w:r>
      <w:r>
        <w:rPr>
          <w:spacing w:val="22"/>
          <w:w w:val="99"/>
          <w:sz w:val="32"/>
          <w:szCs w:val="32"/>
        </w:rPr>
        <w:t>以体育健身为主，广泛开展全民健</w:t>
      </w:r>
      <w:r>
        <w:rPr>
          <w:spacing w:val="23"/>
          <w:w w:val="99"/>
          <w:sz w:val="32"/>
          <w:szCs w:val="32"/>
        </w:rPr>
        <w:t>身活动，依托辖区水系资源，打造金凤特色水上运动品牌，实施冬季冰雪运动推广普及计划，扶持传统体育活动，将城市大型商场、有条件景区、园区闲置空间、体育场馆、美丽</w:t>
      </w:r>
      <w:r>
        <w:rPr>
          <w:spacing w:val="20"/>
          <w:w w:val="99"/>
          <w:sz w:val="32"/>
          <w:szCs w:val="32"/>
        </w:rPr>
        <w:t>乡村打造成体育旅游综合体，促进全民健身、全民消费。</w:t>
      </w:r>
    </w:p>
    <w:p w14:paraId="6D3EDA13">
      <w:pPr>
        <w:spacing w:before="9" w:line="340" w:lineRule="auto"/>
        <w:ind w:left="113" w:right="126" w:firstLine="684"/>
        <w:jc w:val="both"/>
        <w:rPr>
          <w:sz w:val="32"/>
          <w:szCs w:val="32"/>
        </w:rPr>
      </w:pPr>
      <w:r>
        <w:rPr>
          <w:b/>
          <w:i/>
          <w:spacing w:val="14"/>
          <w:sz w:val="32"/>
          <w:szCs w:val="32"/>
        </w:rPr>
        <w:t>发展“</w:t>
      </w:r>
      <w:r>
        <w:rPr>
          <w:b/>
          <w:i/>
          <w:spacing w:val="22"/>
          <w:sz w:val="32"/>
          <w:szCs w:val="32"/>
        </w:rPr>
        <w:t>康养</w:t>
      </w:r>
      <w:r>
        <w:rPr>
          <w:rFonts w:ascii="Times New Roman" w:hAnsi="Times New Roman" w:eastAsia="Times New Roman"/>
          <w:b/>
          <w:sz w:val="32"/>
          <w:szCs w:val="32"/>
        </w:rPr>
        <w:t>+</w:t>
      </w:r>
      <w:r>
        <w:rPr>
          <w:b/>
          <w:i/>
          <w:spacing w:val="10"/>
          <w:sz w:val="32"/>
          <w:szCs w:val="32"/>
        </w:rPr>
        <w:t>”业态。</w:t>
      </w:r>
      <w:r>
        <w:rPr>
          <w:spacing w:val="19"/>
          <w:sz w:val="32"/>
          <w:szCs w:val="32"/>
        </w:rPr>
        <w:t>鼓励和引导社会资本从事健康养老</w:t>
      </w:r>
      <w:r>
        <w:rPr>
          <w:spacing w:val="24"/>
          <w:sz w:val="32"/>
          <w:szCs w:val="32"/>
        </w:rPr>
        <w:t>服务，发展生态养老、田园养老、健身养老、药</w:t>
      </w:r>
      <w:r>
        <w:rPr>
          <w:spacing w:val="19"/>
          <w:sz w:val="32"/>
          <w:szCs w:val="32"/>
        </w:rPr>
        <w:t>食养老等新</w:t>
      </w:r>
      <w:r>
        <w:rPr>
          <w:spacing w:val="24"/>
          <w:sz w:val="32"/>
          <w:szCs w:val="32"/>
        </w:rPr>
        <w:t>型康养业态，探索建立休闲生态养老度假村，开</w:t>
      </w:r>
      <w:r>
        <w:rPr>
          <w:spacing w:val="19"/>
          <w:sz w:val="32"/>
          <w:szCs w:val="32"/>
        </w:rPr>
        <w:t>发适合老年</w:t>
      </w:r>
      <w:r>
        <w:rPr>
          <w:spacing w:val="24"/>
          <w:sz w:val="32"/>
          <w:szCs w:val="32"/>
        </w:rPr>
        <w:t>人特点的丝绸之路文化、休闲旅游、生态健康等</w:t>
      </w:r>
      <w:r>
        <w:rPr>
          <w:spacing w:val="19"/>
          <w:sz w:val="32"/>
          <w:szCs w:val="32"/>
        </w:rPr>
        <w:t>服务，打造</w:t>
      </w:r>
      <w:r>
        <w:rPr>
          <w:sz w:val="32"/>
          <w:szCs w:val="32"/>
        </w:rPr>
        <w:t xml:space="preserve"> </w:t>
      </w:r>
      <w:r>
        <w:rPr>
          <w:spacing w:val="13"/>
          <w:w w:val="95"/>
          <w:sz w:val="32"/>
          <w:szCs w:val="32"/>
        </w:rPr>
        <w:t>“养生养心养老”服务产业链，带动“银发经济”提质扩容。</w:t>
      </w:r>
    </w:p>
    <w:p w14:paraId="760691B0">
      <w:pPr>
        <w:spacing w:line="340" w:lineRule="auto"/>
        <w:jc w:val="both"/>
        <w:sectPr>
          <w:pgSz w:w="11910" w:h="16840"/>
          <w:pgMar w:top="1800" w:right="1200" w:bottom="1160" w:left="1360" w:header="0" w:footer="975" w:gutter="0"/>
          <w:cols w:space="720" w:num="1"/>
        </w:sectPr>
      </w:pPr>
    </w:p>
    <w:p w14:paraId="1AFB17A9">
      <w:pPr>
        <w:spacing w:line="511" w:lineRule="exact"/>
        <w:ind w:left="797"/>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spacing w:val="24"/>
          <w:w w:val="95"/>
          <w:sz w:val="32"/>
          <w:szCs w:val="32"/>
        </w:rPr>
        <w:t>（四）加快发展文化旅游</w:t>
      </w:r>
      <w:r>
        <w:rPr>
          <w:rFonts w:ascii="Microsoft JhengHei" w:hAnsi="Microsoft JhengHei" w:eastAsia="Microsoft JhengHei" w:cs="Microsoft JhengHei"/>
          <w:b/>
          <w:bCs/>
          <w:spacing w:val="-10"/>
          <w:w w:val="95"/>
          <w:sz w:val="32"/>
          <w:szCs w:val="32"/>
        </w:rPr>
        <w:t>业</w:t>
      </w:r>
    </w:p>
    <w:p w14:paraId="2DC780AB">
      <w:pPr>
        <w:spacing w:before="98" w:line="338" w:lineRule="auto"/>
        <w:ind w:left="113" w:right="294" w:firstLine="684"/>
        <w:jc w:val="both"/>
        <w:rPr>
          <w:sz w:val="32"/>
          <w:szCs w:val="32"/>
        </w:rPr>
      </w:pPr>
      <w:r>
        <w:rPr>
          <w:spacing w:val="23"/>
          <w:w w:val="99"/>
          <w:sz w:val="32"/>
          <w:szCs w:val="32"/>
        </w:rPr>
        <w:t>瞄准“塞上湖城”的“代言人”定位，推动发展全域旅游，抓好精品文化旅游景区建设，完善都市休闲游、乡村休闲游、活力金凤游等三大主题旅游精品线路，培育文化创意产业，推动旅游与文化深度融合，加快创建自治区级休闲旅</w:t>
      </w:r>
      <w:r>
        <w:rPr>
          <w:spacing w:val="18"/>
          <w:w w:val="99"/>
          <w:sz w:val="32"/>
          <w:szCs w:val="32"/>
        </w:rPr>
        <w:t>游度假区，打造一个</w:t>
      </w:r>
      <w:r>
        <w:rPr>
          <w:spacing w:val="-52"/>
          <w:sz w:val="32"/>
          <w:szCs w:val="32"/>
        </w:rPr>
        <w:t xml:space="preserve"> </w:t>
      </w:r>
      <w:r>
        <w:rPr>
          <w:rFonts w:ascii="Times New Roman" w:hAnsi="Times New Roman" w:eastAsia="Times New Roman"/>
          <w:spacing w:val="6"/>
          <w:w w:val="99"/>
          <w:sz w:val="32"/>
          <w:szCs w:val="32"/>
        </w:rPr>
        <w:t>4</w:t>
      </w:r>
      <w:r>
        <w:rPr>
          <w:rFonts w:ascii="Times New Roman" w:hAnsi="Times New Roman" w:eastAsia="Times New Roman"/>
          <w:w w:val="99"/>
          <w:sz w:val="32"/>
          <w:szCs w:val="32"/>
        </w:rPr>
        <w:t>A</w:t>
      </w:r>
      <w:r>
        <w:rPr>
          <w:rFonts w:ascii="Times New Roman" w:hAnsi="Times New Roman" w:eastAsia="Times New Roman"/>
          <w:spacing w:val="23"/>
          <w:sz w:val="32"/>
          <w:szCs w:val="32"/>
        </w:rPr>
        <w:t xml:space="preserve"> </w:t>
      </w:r>
      <w:r>
        <w:rPr>
          <w:spacing w:val="16"/>
          <w:w w:val="99"/>
          <w:sz w:val="32"/>
          <w:szCs w:val="32"/>
        </w:rPr>
        <w:t>级景区，到</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02</w:t>
      </w:r>
      <w:r>
        <w:rPr>
          <w:rFonts w:ascii="Times New Roman" w:hAnsi="Times New Roman" w:eastAsia="Times New Roman"/>
          <w:w w:val="99"/>
          <w:sz w:val="32"/>
          <w:szCs w:val="32"/>
        </w:rPr>
        <w:t>5</w:t>
      </w:r>
      <w:r>
        <w:rPr>
          <w:rFonts w:ascii="Times New Roman" w:hAnsi="Times New Roman" w:eastAsia="Times New Roman"/>
          <w:spacing w:val="22"/>
          <w:sz w:val="32"/>
          <w:szCs w:val="32"/>
        </w:rPr>
        <w:t xml:space="preserve"> </w:t>
      </w:r>
      <w:r>
        <w:rPr>
          <w:spacing w:val="18"/>
          <w:w w:val="99"/>
          <w:sz w:val="32"/>
          <w:szCs w:val="32"/>
        </w:rPr>
        <w:t>年，金凤区年接待</w:t>
      </w:r>
      <w:r>
        <w:rPr>
          <w:spacing w:val="24"/>
          <w:w w:val="99"/>
          <w:sz w:val="32"/>
          <w:szCs w:val="32"/>
        </w:rPr>
        <w:t>旅游人数达到</w:t>
      </w:r>
      <w:r>
        <w:rPr>
          <w:spacing w:val="-45"/>
          <w:sz w:val="32"/>
          <w:szCs w:val="32"/>
        </w:rPr>
        <w:t xml:space="preserve"> </w:t>
      </w:r>
      <w:r>
        <w:rPr>
          <w:rFonts w:ascii="Times New Roman" w:hAnsi="Times New Roman" w:eastAsia="Times New Roman"/>
          <w:spacing w:val="8"/>
          <w:w w:val="99"/>
          <w:sz w:val="32"/>
          <w:szCs w:val="32"/>
        </w:rPr>
        <w:t>5</w:t>
      </w:r>
      <w:r>
        <w:rPr>
          <w:rFonts w:ascii="Times New Roman" w:hAnsi="Times New Roman" w:eastAsia="Times New Roman"/>
          <w:spacing w:val="10"/>
          <w:w w:val="99"/>
          <w:sz w:val="32"/>
          <w:szCs w:val="32"/>
        </w:rPr>
        <w:t>0</w:t>
      </w:r>
      <w:r>
        <w:rPr>
          <w:rFonts w:ascii="Times New Roman" w:hAnsi="Times New Roman" w:eastAsia="Times New Roman"/>
          <w:w w:val="99"/>
          <w:sz w:val="32"/>
          <w:szCs w:val="32"/>
        </w:rPr>
        <w:t>0</w:t>
      </w:r>
      <w:r>
        <w:rPr>
          <w:rFonts w:ascii="Times New Roman" w:hAnsi="Times New Roman" w:eastAsia="Times New Roman"/>
          <w:spacing w:val="26"/>
          <w:sz w:val="32"/>
          <w:szCs w:val="32"/>
        </w:rPr>
        <w:t xml:space="preserve"> </w:t>
      </w:r>
      <w:r>
        <w:rPr>
          <w:spacing w:val="23"/>
          <w:w w:val="99"/>
          <w:sz w:val="32"/>
          <w:szCs w:val="32"/>
        </w:rPr>
        <w:t>万人以上，</w:t>
      </w:r>
      <w:r>
        <w:rPr>
          <w:spacing w:val="-131"/>
          <w:sz w:val="32"/>
          <w:szCs w:val="32"/>
        </w:rPr>
        <w:t xml:space="preserve"> </w:t>
      </w:r>
      <w:r>
        <w:rPr>
          <w:spacing w:val="24"/>
          <w:w w:val="99"/>
          <w:sz w:val="32"/>
          <w:szCs w:val="32"/>
        </w:rPr>
        <w:t>旅游年收入达</w:t>
      </w:r>
      <w:r>
        <w:rPr>
          <w:spacing w:val="-47"/>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1"/>
          <w:w w:val="99"/>
          <w:sz w:val="32"/>
          <w:szCs w:val="32"/>
        </w:rPr>
        <w:t>.</w:t>
      </w:r>
      <w:r>
        <w:rPr>
          <w:rFonts w:ascii="Times New Roman" w:hAnsi="Times New Roman" w:eastAsia="Times New Roman"/>
          <w:w w:val="99"/>
          <w:sz w:val="32"/>
          <w:szCs w:val="32"/>
        </w:rPr>
        <w:t>5</w:t>
      </w:r>
      <w:r>
        <w:rPr>
          <w:rFonts w:ascii="Times New Roman" w:hAnsi="Times New Roman" w:eastAsia="Times New Roman"/>
          <w:spacing w:val="26"/>
          <w:sz w:val="32"/>
          <w:szCs w:val="32"/>
        </w:rPr>
        <w:t xml:space="preserve"> </w:t>
      </w:r>
      <w:r>
        <w:rPr>
          <w:spacing w:val="20"/>
          <w:w w:val="99"/>
          <w:sz w:val="32"/>
          <w:szCs w:val="32"/>
        </w:rPr>
        <w:t>亿元以上，</w:t>
      </w:r>
      <w:r>
        <w:rPr>
          <w:spacing w:val="15"/>
          <w:w w:val="99"/>
          <w:sz w:val="32"/>
          <w:szCs w:val="32"/>
        </w:rPr>
        <w:t>年均增长</w:t>
      </w:r>
      <w:r>
        <w:rPr>
          <w:spacing w:val="-50"/>
          <w:sz w:val="32"/>
          <w:szCs w:val="32"/>
        </w:rPr>
        <w:t xml:space="preserve"> </w:t>
      </w:r>
      <w:r>
        <w:rPr>
          <w:rFonts w:ascii="Times New Roman" w:hAnsi="Times New Roman" w:eastAsia="Times New Roman"/>
          <w:spacing w:val="6"/>
          <w:w w:val="99"/>
          <w:sz w:val="32"/>
          <w:szCs w:val="32"/>
        </w:rPr>
        <w:t>1</w:t>
      </w:r>
      <w:r>
        <w:rPr>
          <w:rFonts w:ascii="Times New Roman" w:hAnsi="Times New Roman" w:eastAsia="Times New Roman"/>
          <w:spacing w:val="13"/>
          <w:w w:val="99"/>
          <w:sz w:val="32"/>
          <w:szCs w:val="32"/>
        </w:rPr>
        <w:t>0</w:t>
      </w:r>
      <w:r>
        <w:rPr>
          <w:rFonts w:ascii="Times New Roman" w:hAnsi="Times New Roman" w:eastAsia="Times New Roman"/>
          <w:spacing w:val="15"/>
          <w:w w:val="99"/>
          <w:sz w:val="32"/>
          <w:szCs w:val="32"/>
        </w:rPr>
        <w:t>%</w:t>
      </w:r>
      <w:r>
        <w:rPr>
          <w:spacing w:val="14"/>
          <w:w w:val="99"/>
          <w:sz w:val="32"/>
          <w:szCs w:val="32"/>
        </w:rPr>
        <w:t>左右。</w:t>
      </w:r>
    </w:p>
    <w:p w14:paraId="599FE488">
      <w:pPr>
        <w:spacing w:before="11" w:line="338" w:lineRule="auto"/>
        <w:ind w:left="113" w:right="288" w:firstLine="664"/>
        <w:jc w:val="right"/>
        <w:rPr>
          <w:sz w:val="32"/>
          <w:szCs w:val="32"/>
        </w:rPr>
      </w:pPr>
      <w:r>
        <w:rPr>
          <w:b/>
          <w:i/>
          <w:spacing w:val="19"/>
          <w:w w:val="99"/>
          <w:sz w:val="31"/>
          <w:szCs w:val="32"/>
        </w:rPr>
        <w:t>构建全域旅游发展格局。</w:t>
      </w:r>
      <w:r>
        <w:rPr>
          <w:spacing w:val="10"/>
          <w:w w:val="99"/>
          <w:sz w:val="32"/>
          <w:szCs w:val="32"/>
        </w:rPr>
        <w:t>北部做好“水文章”，串联“夜</w:t>
      </w:r>
      <w:r>
        <w:rPr>
          <w:spacing w:val="23"/>
          <w:w w:val="99"/>
          <w:sz w:val="32"/>
          <w:szCs w:val="32"/>
        </w:rPr>
        <w:t>游银川”、阅海国家湿地公园、花博园等资源；中部结合文娱产业，科学利用博物馆、美术馆、图书馆等文化场所开展文化、艺术旅游，推动剧场、演艺、游乐、动漫等产业与旅游业融合开展文化体验旅游；南部围绕“沙产业”，统筹良田镇园子村、森淼生态旅游区、颐和生态园等旅游资源，形</w:t>
      </w:r>
      <w:r>
        <w:rPr>
          <w:spacing w:val="20"/>
          <w:w w:val="99"/>
          <w:sz w:val="32"/>
          <w:szCs w:val="32"/>
        </w:rPr>
        <w:t>成特色乡村旅游区，打造金凤区南部休闲观光农业旅游带。</w:t>
      </w:r>
      <w:r>
        <w:rPr>
          <w:b/>
          <w:i/>
          <w:spacing w:val="26"/>
          <w:w w:val="99"/>
          <w:sz w:val="32"/>
          <w:szCs w:val="32"/>
        </w:rPr>
        <w:t>大力发展乡村休闲旅游。</w:t>
      </w:r>
      <w:r>
        <w:rPr>
          <w:spacing w:val="22"/>
          <w:w w:val="99"/>
          <w:sz w:val="32"/>
          <w:szCs w:val="32"/>
        </w:rPr>
        <w:t>立足金凤区城郊型农业实际，</w:t>
      </w:r>
    </w:p>
    <w:p w14:paraId="660F0906">
      <w:pPr>
        <w:spacing w:before="17" w:line="338" w:lineRule="auto"/>
        <w:ind w:left="113" w:right="295"/>
        <w:jc w:val="both"/>
        <w:rPr>
          <w:sz w:val="32"/>
          <w:szCs w:val="32"/>
        </w:rPr>
      </w:pPr>
      <w:r>
        <w:rPr>
          <w:spacing w:val="23"/>
          <w:w w:val="99"/>
          <w:sz w:val="32"/>
          <w:szCs w:val="32"/>
        </w:rPr>
        <w:t>加快推进乡村旅游振兴发展，以现代农业园区为依托，发展集农耕体验、田园观光、城郊休闲、健康养生、文化传承于一体的乡村旅游。加快实施乡村旅游扶贫富民工程，通过民宿改造提升、安排就业、定点采购、输送客源、培训指导以及建立农副土特产品销售区、乡村旅游后备基地等方式，增</w:t>
      </w:r>
      <w:r>
        <w:rPr>
          <w:spacing w:val="18"/>
          <w:w w:val="99"/>
          <w:sz w:val="32"/>
          <w:szCs w:val="32"/>
        </w:rPr>
        <w:t>加贫困人口收入。</w:t>
      </w:r>
    </w:p>
    <w:p w14:paraId="69DA204A">
      <w:pPr>
        <w:spacing w:before="12"/>
        <w:ind w:left="797"/>
        <w:rPr>
          <w:sz w:val="32"/>
        </w:rPr>
      </w:pPr>
      <w:r>
        <w:rPr>
          <w:b/>
          <w:i/>
          <w:spacing w:val="26"/>
          <w:w w:val="95"/>
          <w:sz w:val="32"/>
        </w:rPr>
        <w:t>推进全域旅游设施建设。</w:t>
      </w:r>
      <w:r>
        <w:rPr>
          <w:spacing w:val="24"/>
          <w:w w:val="95"/>
          <w:sz w:val="32"/>
        </w:rPr>
        <w:t>扎实推</w:t>
      </w:r>
      <w:r>
        <w:rPr>
          <w:spacing w:val="26"/>
          <w:w w:val="95"/>
          <w:sz w:val="32"/>
        </w:rPr>
        <w:t>进</w:t>
      </w:r>
      <w:r>
        <w:rPr>
          <w:spacing w:val="20"/>
          <w:w w:val="95"/>
          <w:sz w:val="32"/>
        </w:rPr>
        <w:t>“厕所革命”，抓好</w:t>
      </w:r>
    </w:p>
    <w:p w14:paraId="4E848489">
      <w:pPr>
        <w:rPr>
          <w:sz w:val="32"/>
        </w:rPr>
        <w:sectPr>
          <w:pgSz w:w="11910" w:h="16840"/>
          <w:pgMar w:top="1800" w:right="1200" w:bottom="1160" w:left="1360" w:header="0" w:footer="975" w:gutter="0"/>
          <w:cols w:space="720" w:num="1"/>
        </w:sectPr>
      </w:pPr>
    </w:p>
    <w:p w14:paraId="0B90BF01">
      <w:pPr>
        <w:spacing w:before="28" w:line="338" w:lineRule="auto"/>
        <w:ind w:left="113" w:right="126"/>
        <w:rPr>
          <w:sz w:val="32"/>
          <w:szCs w:val="32"/>
        </w:rPr>
      </w:pPr>
      <w:r>
        <w:rPr>
          <w:spacing w:val="23"/>
          <w:w w:val="99"/>
          <w:sz w:val="32"/>
          <w:szCs w:val="32"/>
        </w:rPr>
        <w:t>景区及周边的供水、供电、环卫、消防、停车场等基础设施</w:t>
      </w:r>
      <w:r>
        <w:rPr>
          <w:spacing w:val="10"/>
          <w:w w:val="99"/>
          <w:sz w:val="32"/>
          <w:szCs w:val="32"/>
        </w:rPr>
        <w:t>建设，突出打造以发展乡村旅游为主要内容的美丽乡村建设。</w:t>
      </w:r>
      <w:r>
        <w:rPr>
          <w:spacing w:val="23"/>
          <w:w w:val="99"/>
          <w:sz w:val="32"/>
          <w:szCs w:val="32"/>
        </w:rPr>
        <w:t>积极开展主要旅游线路沿线风貌集中整治，在路边、水边、村边开展净化、绿化、美化行动，在重点村镇实行改厨、改厕、改客房、整理院落和垃圾污水无害化、生态化处理，提</w:t>
      </w:r>
      <w:r>
        <w:rPr>
          <w:spacing w:val="19"/>
          <w:w w:val="99"/>
          <w:sz w:val="32"/>
          <w:szCs w:val="32"/>
        </w:rPr>
        <w:t>高旅游场所数字化水平，全面优化旅游环境。</w:t>
      </w:r>
    </w:p>
    <w:p w14:paraId="4AFC4694">
      <w:pPr>
        <w:spacing w:before="11" w:line="338" w:lineRule="auto"/>
        <w:ind w:left="113" w:right="122" w:firstLine="684"/>
        <w:rPr>
          <w:sz w:val="32"/>
          <w:szCs w:val="32"/>
        </w:rPr>
      </w:pPr>
      <w:r>
        <w:rPr>
          <w:b/>
          <w:i/>
          <w:spacing w:val="25"/>
          <w:w w:val="99"/>
          <w:sz w:val="32"/>
          <w:szCs w:val="32"/>
        </w:rPr>
        <w:t>打造金凤特色旅游</w:t>
      </w:r>
      <w:r>
        <w:rPr>
          <w:b/>
          <w:i/>
          <w:spacing w:val="-46"/>
          <w:sz w:val="32"/>
          <w:szCs w:val="32"/>
        </w:rPr>
        <w:t xml:space="preserve"> </w:t>
      </w:r>
      <w:r>
        <w:rPr>
          <w:rFonts w:ascii="Times New Roman" w:hAnsi="Times New Roman" w:eastAsia="Times New Roman"/>
          <w:b/>
          <w:spacing w:val="7"/>
          <w:w w:val="99"/>
          <w:sz w:val="32"/>
          <w:szCs w:val="32"/>
        </w:rPr>
        <w:t>I</w:t>
      </w:r>
      <w:r>
        <w:rPr>
          <w:rFonts w:ascii="Times New Roman" w:hAnsi="Times New Roman" w:eastAsia="Times New Roman"/>
          <w:b/>
          <w:spacing w:val="21"/>
          <w:w w:val="99"/>
          <w:sz w:val="32"/>
          <w:szCs w:val="32"/>
        </w:rPr>
        <w:t>P</w:t>
      </w:r>
      <w:r>
        <w:rPr>
          <w:b/>
          <w:i/>
          <w:spacing w:val="29"/>
          <w:w w:val="99"/>
          <w:sz w:val="32"/>
          <w:szCs w:val="32"/>
        </w:rPr>
        <w:t>。</w:t>
      </w:r>
      <w:r>
        <w:rPr>
          <w:spacing w:val="27"/>
          <w:w w:val="99"/>
          <w:sz w:val="32"/>
          <w:szCs w:val="32"/>
        </w:rPr>
        <w:t>以“旅游</w:t>
      </w:r>
      <w:r>
        <w:rPr>
          <w:rFonts w:ascii="Times New Roman" w:hAnsi="Times New Roman" w:eastAsia="Times New Roman"/>
          <w:spacing w:val="16"/>
          <w:w w:val="99"/>
          <w:sz w:val="32"/>
          <w:szCs w:val="32"/>
        </w:rPr>
        <w:t>+</w:t>
      </w:r>
      <w:r>
        <w:rPr>
          <w:spacing w:val="23"/>
          <w:w w:val="99"/>
          <w:sz w:val="32"/>
          <w:szCs w:val="32"/>
        </w:rPr>
        <w:t>文化、体育、农业、</w:t>
      </w:r>
      <w:r>
        <w:rPr>
          <w:spacing w:val="10"/>
          <w:w w:val="99"/>
          <w:sz w:val="32"/>
          <w:szCs w:val="32"/>
        </w:rPr>
        <w:t>商业”融合发展理念为引领，完善都市休闲游、乡村休闲游、</w:t>
      </w:r>
      <w:r>
        <w:rPr>
          <w:spacing w:val="23"/>
          <w:w w:val="99"/>
          <w:sz w:val="32"/>
          <w:szCs w:val="32"/>
        </w:rPr>
        <w:t>活力金凤游等三大主题精品线路内涵和品质。依托“夜游银川”城市旅游品牌，开展黄河合唱节、中秋诗会等全国大型</w:t>
      </w:r>
      <w:r>
        <w:rPr>
          <w:spacing w:val="4"/>
          <w:w w:val="99"/>
          <w:sz w:val="32"/>
          <w:szCs w:val="32"/>
        </w:rPr>
        <w:t>文化品牌活动，赋予城市文化休闲旅游新内涵，促进辖区“夜</w:t>
      </w:r>
      <w:r>
        <w:rPr>
          <w:spacing w:val="23"/>
          <w:w w:val="99"/>
          <w:sz w:val="32"/>
          <w:szCs w:val="32"/>
        </w:rPr>
        <w:t>经济”发展。依托环阅海健身旅游休闲圈、六大商圈、各景区景点，广泛开展文化旅游体育大拜年、冰雪嘉年华、全国徒步大会、铁人三项以及国际航模比赛等水上项目，积极打</w:t>
      </w:r>
      <w:r>
        <w:rPr>
          <w:spacing w:val="19"/>
          <w:w w:val="99"/>
          <w:sz w:val="32"/>
          <w:szCs w:val="32"/>
        </w:rPr>
        <w:t>造国家级、国际化的文旅品牌，促进“旅游+”发展新格局。</w:t>
      </w:r>
      <w:r>
        <w:rPr>
          <w:spacing w:val="23"/>
          <w:w w:val="99"/>
          <w:sz w:val="32"/>
          <w:szCs w:val="32"/>
        </w:rPr>
        <w:t>立足金凤城郊型农业实际，以现代农业园区为依托，大力发展集农耕体验、田园观光、城郊休闲、健康养生、文化传承于一体的乡村旅游。树立银川火车站窗口形象，积极盘活银</w:t>
      </w:r>
      <w:r>
        <w:rPr>
          <w:spacing w:val="12"/>
          <w:w w:val="99"/>
          <w:sz w:val="32"/>
          <w:szCs w:val="32"/>
        </w:rPr>
        <w:t>新铁路金凤区段资源，推广“过境游”“高铁游”“铁路游”</w:t>
      </w:r>
      <w:r>
        <w:rPr>
          <w:spacing w:val="19"/>
          <w:w w:val="99"/>
          <w:sz w:val="32"/>
          <w:szCs w:val="32"/>
        </w:rPr>
        <w:t>等产品，打造国际化、国家级文旅品牌。</w:t>
      </w:r>
    </w:p>
    <w:p w14:paraId="4B2C84F7">
      <w:pPr>
        <w:spacing w:before="26" w:line="340" w:lineRule="auto"/>
        <w:ind w:left="113" w:right="293" w:firstLine="684"/>
        <w:jc w:val="both"/>
        <w:rPr>
          <w:sz w:val="32"/>
          <w:szCs w:val="32"/>
        </w:rPr>
      </w:pPr>
      <w:r>
        <w:rPr>
          <w:b/>
          <w:i/>
          <w:spacing w:val="22"/>
          <w:sz w:val="32"/>
          <w:szCs w:val="32"/>
        </w:rPr>
        <w:t>鼓励发展文创旅游产业。</w:t>
      </w:r>
      <w:r>
        <w:rPr>
          <w:spacing w:val="21"/>
          <w:sz w:val="32"/>
          <w:szCs w:val="32"/>
        </w:rPr>
        <w:t>依托阅海湾中央商</w:t>
      </w:r>
      <w:r>
        <w:rPr>
          <w:spacing w:val="22"/>
          <w:sz w:val="32"/>
          <w:szCs w:val="32"/>
        </w:rPr>
        <w:t>务区</w:t>
      </w:r>
      <w:r>
        <w:rPr>
          <w:spacing w:val="21"/>
          <w:sz w:val="32"/>
          <w:szCs w:val="32"/>
        </w:rPr>
        <w:t>，银</w:t>
      </w:r>
      <w:r>
        <w:rPr>
          <w:sz w:val="32"/>
          <w:szCs w:val="32"/>
        </w:rPr>
        <w:t xml:space="preserve">川 </w:t>
      </w:r>
      <w:r>
        <w:rPr>
          <w:rFonts w:ascii="Times New Roman" w:eastAsia="Times New Roman"/>
          <w:sz w:val="32"/>
          <w:szCs w:val="32"/>
        </w:rPr>
        <w:t>iBi</w:t>
      </w:r>
      <w:r>
        <w:rPr>
          <w:rFonts w:ascii="Times New Roman" w:eastAsia="Times New Roman"/>
          <w:spacing w:val="-20"/>
          <w:sz w:val="32"/>
          <w:szCs w:val="32"/>
        </w:rPr>
        <w:t xml:space="preserve"> </w:t>
      </w:r>
      <w:r>
        <w:rPr>
          <w:spacing w:val="22"/>
          <w:sz w:val="32"/>
          <w:szCs w:val="32"/>
        </w:rPr>
        <w:t>育成</w:t>
      </w:r>
      <w:r>
        <w:rPr>
          <w:spacing w:val="24"/>
          <w:sz w:val="32"/>
          <w:szCs w:val="32"/>
        </w:rPr>
        <w:t>中心</w:t>
      </w:r>
      <w:r>
        <w:rPr>
          <w:spacing w:val="17"/>
          <w:sz w:val="32"/>
          <w:szCs w:val="32"/>
        </w:rPr>
        <w:t>、宁夏美</w:t>
      </w:r>
      <w:r>
        <w:rPr>
          <w:spacing w:val="21"/>
          <w:sz w:val="32"/>
          <w:szCs w:val="32"/>
        </w:rPr>
        <w:t>术馆</w:t>
      </w:r>
      <w:r>
        <w:rPr>
          <w:spacing w:val="14"/>
          <w:sz w:val="32"/>
          <w:szCs w:val="32"/>
        </w:rPr>
        <w:t>、银川文化园等载体，开展亲子研</w:t>
      </w:r>
      <w:r>
        <w:rPr>
          <w:spacing w:val="24"/>
          <w:w w:val="95"/>
          <w:sz w:val="32"/>
          <w:szCs w:val="32"/>
        </w:rPr>
        <w:t>学等旅游</w:t>
      </w:r>
      <w:r>
        <w:rPr>
          <w:spacing w:val="26"/>
          <w:w w:val="95"/>
          <w:sz w:val="32"/>
          <w:szCs w:val="32"/>
        </w:rPr>
        <w:t>线路</w:t>
      </w:r>
      <w:r>
        <w:rPr>
          <w:spacing w:val="24"/>
          <w:w w:val="95"/>
          <w:sz w:val="32"/>
          <w:szCs w:val="32"/>
        </w:rPr>
        <w:t>，进一</w:t>
      </w:r>
      <w:r>
        <w:rPr>
          <w:spacing w:val="26"/>
          <w:w w:val="95"/>
          <w:sz w:val="32"/>
          <w:szCs w:val="32"/>
        </w:rPr>
        <w:t>步促</w:t>
      </w:r>
      <w:r>
        <w:rPr>
          <w:spacing w:val="24"/>
          <w:w w:val="95"/>
          <w:sz w:val="32"/>
          <w:szCs w:val="32"/>
        </w:rPr>
        <w:t>进创意</w:t>
      </w:r>
      <w:r>
        <w:rPr>
          <w:spacing w:val="26"/>
          <w:w w:val="95"/>
          <w:sz w:val="32"/>
          <w:szCs w:val="32"/>
        </w:rPr>
        <w:t>资源</w:t>
      </w:r>
      <w:r>
        <w:rPr>
          <w:spacing w:val="24"/>
          <w:w w:val="95"/>
          <w:sz w:val="32"/>
          <w:szCs w:val="32"/>
        </w:rPr>
        <w:t>集聚发</w:t>
      </w:r>
      <w:r>
        <w:rPr>
          <w:spacing w:val="26"/>
          <w:w w:val="95"/>
          <w:sz w:val="32"/>
          <w:szCs w:val="32"/>
        </w:rPr>
        <w:t>展</w:t>
      </w:r>
      <w:r>
        <w:rPr>
          <w:spacing w:val="18"/>
          <w:w w:val="95"/>
          <w:sz w:val="32"/>
          <w:szCs w:val="32"/>
        </w:rPr>
        <w:t>，培育壮大文</w:t>
      </w:r>
    </w:p>
    <w:p w14:paraId="1773A1D3">
      <w:pPr>
        <w:spacing w:line="340" w:lineRule="auto"/>
        <w:jc w:val="both"/>
        <w:sectPr>
          <w:pgSz w:w="11910" w:h="16840"/>
          <w:pgMar w:top="1800" w:right="1200" w:bottom="1160" w:left="1360" w:header="0" w:footer="975" w:gutter="0"/>
          <w:cols w:space="720" w:num="1"/>
        </w:sectPr>
      </w:pPr>
    </w:p>
    <w:p w14:paraId="42981E29">
      <w:pPr>
        <w:spacing w:before="28" w:line="338" w:lineRule="auto"/>
        <w:ind w:left="113" w:right="295"/>
        <w:jc w:val="both"/>
        <w:rPr>
          <w:sz w:val="32"/>
          <w:szCs w:val="32"/>
        </w:rPr>
      </w:pPr>
      <w:r>
        <w:rPr>
          <w:spacing w:val="23"/>
          <w:w w:val="99"/>
          <w:sz w:val="32"/>
          <w:szCs w:val="32"/>
        </w:rPr>
        <w:t>化创意企业，大力发展影视制作、动漫网游、数字内容、创意设计、演艺娱乐等业态，加强文化产业营销策划和推广，不断完善文化创意产业链，大力推动文化创意和设计产品的</w:t>
      </w:r>
      <w:r>
        <w:rPr>
          <w:spacing w:val="19"/>
          <w:w w:val="99"/>
          <w:sz w:val="32"/>
          <w:szCs w:val="32"/>
        </w:rPr>
        <w:t>数字化、网络化传播进程。</w:t>
      </w:r>
    </w:p>
    <w:p w14:paraId="60C9D931">
      <w:pPr>
        <w:spacing w:line="491" w:lineRule="exact"/>
        <w:ind w:left="797"/>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spacing w:val="24"/>
          <w:w w:val="95"/>
          <w:sz w:val="32"/>
          <w:szCs w:val="32"/>
        </w:rPr>
        <w:t>（五）推动发展家政服务</w:t>
      </w:r>
      <w:r>
        <w:rPr>
          <w:rFonts w:ascii="Microsoft JhengHei" w:hAnsi="Microsoft JhengHei" w:eastAsia="Microsoft JhengHei" w:cs="Microsoft JhengHei"/>
          <w:b/>
          <w:bCs/>
          <w:spacing w:val="-10"/>
          <w:w w:val="95"/>
          <w:sz w:val="32"/>
          <w:szCs w:val="32"/>
        </w:rPr>
        <w:t>业</w:t>
      </w:r>
    </w:p>
    <w:p w14:paraId="3A9E25E3">
      <w:pPr>
        <w:spacing w:before="95" w:line="340" w:lineRule="auto"/>
        <w:ind w:left="113" w:right="293" w:firstLine="684"/>
        <w:jc w:val="both"/>
        <w:rPr>
          <w:sz w:val="32"/>
          <w:szCs w:val="32"/>
        </w:rPr>
      </w:pPr>
      <w:r>
        <w:rPr>
          <w:spacing w:val="23"/>
          <w:w w:val="99"/>
          <w:sz w:val="32"/>
          <w:szCs w:val="32"/>
        </w:rPr>
        <w:t>紧扣金凤区“老小”中心、生活居住中心区位特点，以满足日益提升的群众需求为目标，加快家政服务业职业化、标准化、专业化、高质量发展，做大做强“金凤家政”服务</w:t>
      </w:r>
      <w:r>
        <w:rPr>
          <w:spacing w:val="15"/>
          <w:w w:val="99"/>
          <w:sz w:val="32"/>
          <w:szCs w:val="32"/>
        </w:rPr>
        <w:t>业品牌，积极发展“家政服务业</w:t>
      </w:r>
      <w:r>
        <w:rPr>
          <w:rFonts w:ascii="Times New Roman" w:hAnsi="Times New Roman" w:eastAsia="Times New Roman"/>
          <w:spacing w:val="12"/>
          <w:w w:val="99"/>
          <w:sz w:val="32"/>
          <w:szCs w:val="32"/>
        </w:rPr>
        <w:t>+</w:t>
      </w:r>
      <w:r>
        <w:rPr>
          <w:spacing w:val="12"/>
          <w:w w:val="99"/>
          <w:sz w:val="32"/>
          <w:szCs w:val="32"/>
        </w:rPr>
        <w:t>”，促进家政服务跨界融合</w:t>
      </w:r>
      <w:r>
        <w:rPr>
          <w:spacing w:val="14"/>
          <w:w w:val="99"/>
          <w:sz w:val="32"/>
          <w:szCs w:val="32"/>
        </w:rPr>
        <w:t>发展。</w:t>
      </w:r>
    </w:p>
    <w:p w14:paraId="60203D52">
      <w:pPr>
        <w:spacing w:line="338" w:lineRule="auto"/>
        <w:ind w:left="113" w:right="126" w:firstLine="684"/>
        <w:rPr>
          <w:sz w:val="32"/>
          <w:szCs w:val="32"/>
        </w:rPr>
      </w:pPr>
      <w:r>
        <w:rPr>
          <w:b/>
          <w:i/>
          <w:spacing w:val="11"/>
          <w:w w:val="99"/>
          <w:sz w:val="32"/>
          <w:szCs w:val="32"/>
        </w:rPr>
        <w:t>规范行业经营行为。</w:t>
      </w:r>
      <w:r>
        <w:rPr>
          <w:spacing w:val="19"/>
          <w:w w:val="99"/>
          <w:sz w:val="32"/>
          <w:szCs w:val="32"/>
        </w:rPr>
        <w:t>建立健全家政服务业政策支持体系、</w:t>
      </w:r>
      <w:r>
        <w:rPr>
          <w:spacing w:val="20"/>
          <w:w w:val="99"/>
          <w:sz w:val="32"/>
          <w:szCs w:val="32"/>
        </w:rPr>
        <w:t>市场监管体系、家政服务业信用体系、地方标准体系，按照新出台的国家标准《家政服务机构等级划分及评定》要求，开展家政服务机构等级划分及评定工作。选择基础较好、积极性高的企业开展家政服务标准化试点示范建设工作，引导企业提高标准应用水平、经营管理水平、从业人员业务水平</w:t>
      </w:r>
      <w:r>
        <w:rPr>
          <w:spacing w:val="18"/>
          <w:w w:val="99"/>
          <w:sz w:val="32"/>
          <w:szCs w:val="32"/>
        </w:rPr>
        <w:t>以及服务品质。</w:t>
      </w:r>
    </w:p>
    <w:p w14:paraId="4FDD540C">
      <w:pPr>
        <w:spacing w:before="2" w:line="340" w:lineRule="auto"/>
        <w:ind w:left="113" w:right="126" w:firstLine="684"/>
        <w:rPr>
          <w:sz w:val="32"/>
          <w:szCs w:val="32"/>
        </w:rPr>
      </w:pPr>
      <w:r>
        <w:rPr>
          <w:b/>
          <w:i/>
          <w:spacing w:val="24"/>
          <w:w w:val="99"/>
          <w:sz w:val="32"/>
          <w:szCs w:val="32"/>
        </w:rPr>
        <w:t>发展壮大家政企业。</w:t>
      </w:r>
      <w:r>
        <w:rPr>
          <w:spacing w:val="19"/>
          <w:w w:val="99"/>
          <w:sz w:val="32"/>
          <w:szCs w:val="32"/>
        </w:rPr>
        <w:t>发展壮大城市管家、东耀月嫂等企</w:t>
      </w:r>
      <w:r>
        <w:rPr>
          <w:spacing w:val="20"/>
          <w:w w:val="99"/>
          <w:sz w:val="32"/>
          <w:szCs w:val="32"/>
        </w:rPr>
        <w:t>业，建设金凤区家政服务孵化产业园，打造家政服务广场，扶持培育一批“员工制”龙头企业，推动家政服务企业从中介制向员工制转型，支持有实力的家政服务企业加快推广连</w:t>
      </w:r>
      <w:r>
        <w:rPr>
          <w:spacing w:val="10"/>
          <w:w w:val="99"/>
          <w:sz w:val="32"/>
          <w:szCs w:val="32"/>
        </w:rPr>
        <w:t>锁经营、加盟经营、特许经营。探索建设金凤家政实训基地，</w:t>
      </w:r>
      <w:r>
        <w:rPr>
          <w:spacing w:val="20"/>
          <w:w w:val="99"/>
          <w:sz w:val="32"/>
          <w:szCs w:val="32"/>
        </w:rPr>
        <w:t>开展“家政培训提升行动”，大力开展家政服务从业人员职</w:t>
      </w:r>
    </w:p>
    <w:p w14:paraId="5C8ABA2C">
      <w:pPr>
        <w:spacing w:line="340" w:lineRule="auto"/>
        <w:sectPr>
          <w:pgSz w:w="11910" w:h="16840"/>
          <w:pgMar w:top="1800" w:right="1200" w:bottom="1160" w:left="1360" w:header="0" w:footer="975" w:gutter="0"/>
          <w:cols w:space="720" w:num="1"/>
        </w:sectPr>
      </w:pPr>
    </w:p>
    <w:p w14:paraId="62828775">
      <w:pPr>
        <w:spacing w:before="28" w:line="340" w:lineRule="auto"/>
        <w:ind w:left="113" w:right="362"/>
        <w:rPr>
          <w:sz w:val="32"/>
          <w:szCs w:val="32"/>
        </w:rPr>
      </w:pPr>
      <w:r>
        <w:rPr>
          <w:spacing w:val="20"/>
          <w:w w:val="99"/>
          <w:sz w:val="32"/>
          <w:szCs w:val="32"/>
        </w:rPr>
        <w:t>业道德教育、家政服务企业诚信经营教育和家庭守信教育，</w:t>
      </w:r>
      <w:r>
        <w:rPr>
          <w:spacing w:val="19"/>
          <w:w w:val="99"/>
          <w:sz w:val="32"/>
          <w:szCs w:val="32"/>
        </w:rPr>
        <w:t>不断提升家政从业人员综合素质。</w:t>
      </w:r>
    </w:p>
    <w:p w14:paraId="449386D2">
      <w:pPr>
        <w:spacing w:line="340" w:lineRule="auto"/>
        <w:ind w:left="113" w:right="295" w:firstLine="684"/>
        <w:jc w:val="both"/>
        <w:rPr>
          <w:sz w:val="32"/>
          <w:szCs w:val="32"/>
        </w:rPr>
      </w:pPr>
      <w:r>
        <w:rPr>
          <w:b/>
          <w:i/>
          <w:spacing w:val="19"/>
          <w:w w:val="99"/>
          <w:sz w:val="32"/>
          <w:szCs w:val="32"/>
        </w:rPr>
        <w:t>拓展“家政服务业</w:t>
      </w:r>
      <w:r>
        <w:rPr>
          <w:rFonts w:ascii="Times New Roman" w:hAnsi="Times New Roman" w:eastAsia="Times New Roman"/>
          <w:b/>
          <w:spacing w:val="10"/>
          <w:w w:val="99"/>
          <w:sz w:val="32"/>
          <w:szCs w:val="32"/>
        </w:rPr>
        <w:t>+</w:t>
      </w:r>
      <w:r>
        <w:rPr>
          <w:b/>
          <w:i/>
          <w:spacing w:val="-11"/>
          <w:w w:val="99"/>
          <w:sz w:val="32"/>
          <w:szCs w:val="32"/>
        </w:rPr>
        <w:t>”。</w:t>
      </w:r>
      <w:r>
        <w:rPr>
          <w:spacing w:val="16"/>
          <w:w w:val="99"/>
          <w:sz w:val="32"/>
          <w:szCs w:val="32"/>
        </w:rPr>
        <w:t>推动家政服务从传统型服务，向</w:t>
      </w:r>
      <w:r>
        <w:rPr>
          <w:spacing w:val="20"/>
          <w:w w:val="99"/>
          <w:sz w:val="32"/>
          <w:szCs w:val="32"/>
        </w:rPr>
        <w:t>家庭顾问、涉外保姆、精神陪伴、家庭管家等现代家政服务转变。探索金凤家政与养老融合发展新模式，支持金凤外出家政从业人员携北京、上海、西安等银发族群到金凤养老养</w:t>
      </w:r>
      <w:r>
        <w:rPr>
          <w:spacing w:val="10"/>
          <w:w w:val="99"/>
          <w:sz w:val="32"/>
          <w:szCs w:val="32"/>
        </w:rPr>
        <w:t>生。</w:t>
      </w:r>
    </w:p>
    <w:p w14:paraId="6AA7EEAB">
      <w:pPr>
        <w:spacing w:line="395" w:lineRule="exact"/>
        <w:ind w:left="797"/>
        <w:rPr>
          <w:sz w:val="32"/>
        </w:rPr>
      </w:pPr>
      <w:r>
        <w:rPr>
          <w:b/>
          <w:i/>
          <w:spacing w:val="24"/>
          <w:w w:val="95"/>
          <w:sz w:val="32"/>
        </w:rPr>
        <w:t>推动服务模式创新。</w:t>
      </w:r>
      <w:r>
        <w:rPr>
          <w:spacing w:val="21"/>
          <w:w w:val="95"/>
          <w:sz w:val="32"/>
        </w:rPr>
        <w:t>探索建</w:t>
      </w:r>
      <w:r>
        <w:rPr>
          <w:spacing w:val="24"/>
          <w:w w:val="95"/>
          <w:sz w:val="32"/>
        </w:rPr>
        <w:t>设</w:t>
      </w:r>
      <w:r>
        <w:rPr>
          <w:spacing w:val="18"/>
          <w:w w:val="95"/>
          <w:sz w:val="32"/>
        </w:rPr>
        <w:t>“家庭服务业超市”，支</w:t>
      </w:r>
    </w:p>
    <w:p w14:paraId="477C01CB">
      <w:pPr>
        <w:spacing w:before="168" w:line="340" w:lineRule="auto"/>
        <w:ind w:left="113" w:right="126"/>
        <w:rPr>
          <w:sz w:val="32"/>
          <w:szCs w:val="32"/>
        </w:rPr>
      </w:pPr>
      <w:r>
        <w:rPr>
          <w:sz w:val="32"/>
          <w:szCs w:val="32"/>
        </w:rPr>
        <mc:AlternateContent>
          <mc:Choice Requires="wps">
            <w:drawing>
              <wp:anchor distT="0" distB="0" distL="114300" distR="114300" simplePos="0" relativeHeight="251702272" behindDoc="1" locked="0" layoutInCell="1" allowOverlap="1">
                <wp:simplePos x="0" y="0"/>
                <wp:positionH relativeFrom="page">
                  <wp:posOffset>928370</wp:posOffset>
                </wp:positionH>
                <wp:positionV relativeFrom="paragraph">
                  <wp:posOffset>1859915</wp:posOffset>
                </wp:positionV>
                <wp:extent cx="5800725" cy="3351530"/>
                <wp:effectExtent l="0" t="0" r="0" b="0"/>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5800725" cy="3351530"/>
                        </a:xfrm>
                        <a:prstGeom prst="rect">
                          <a:avLst/>
                        </a:prstGeom>
                        <a:noFill/>
                        <a:ln w="6096">
                          <a:solidFill>
                            <a:srgbClr val="000000"/>
                          </a:solidFill>
                          <a:prstDash val="solid"/>
                          <a:miter lim="800000"/>
                        </a:ln>
                      </wps:spPr>
                      <wps:txbx>
                        <w:txbxContent>
                          <w:p w14:paraId="7A83585D">
                            <w:pPr>
                              <w:spacing w:before="81"/>
                              <w:ind w:left="2353" w:right="2374"/>
                              <w:jc w:val="center"/>
                              <w:rPr>
                                <w:rFonts w:ascii="黑体" w:eastAsia="黑体"/>
                                <w:sz w:val="24"/>
                              </w:rPr>
                            </w:pPr>
                            <w:r>
                              <w:rPr>
                                <w:rFonts w:ascii="黑体" w:eastAsia="黑体"/>
                                <w:spacing w:val="-4"/>
                                <w:sz w:val="24"/>
                              </w:rPr>
                              <w:t xml:space="preserve">专栏 </w:t>
                            </w:r>
                            <w:r>
                              <w:rPr>
                                <w:rFonts w:ascii="黑体" w:eastAsia="黑体"/>
                                <w:sz w:val="24"/>
                              </w:rPr>
                              <w:t>2</w:t>
                            </w:r>
                            <w:r>
                              <w:rPr>
                                <w:rFonts w:ascii="黑体" w:eastAsia="黑体"/>
                                <w:spacing w:val="115"/>
                                <w:w w:val="150"/>
                                <w:sz w:val="24"/>
                              </w:rPr>
                              <w:t xml:space="preserve"> </w:t>
                            </w:r>
                            <w:r>
                              <w:rPr>
                                <w:rFonts w:ascii="黑体" w:eastAsia="黑体"/>
                                <w:spacing w:val="18"/>
                                <w:sz w:val="24"/>
                              </w:rPr>
                              <w:t>成长型服务产业重点建设项目</w:t>
                            </w:r>
                          </w:p>
                          <w:p w14:paraId="1BE1E6B7">
                            <w:pPr>
                              <w:spacing w:before="188" w:line="357" w:lineRule="auto"/>
                              <w:ind w:left="102" w:right="119" w:firstLine="463"/>
                              <w:jc w:val="both"/>
                              <w:rPr>
                                <w:rFonts w:ascii="宋体" w:eastAsia="宋体"/>
                                <w:sz w:val="21"/>
                              </w:rPr>
                            </w:pPr>
                            <w:r>
                              <w:rPr>
                                <w:rFonts w:hint="eastAsia" w:ascii="宋体" w:eastAsia="宋体"/>
                                <w:b/>
                                <w:spacing w:val="26"/>
                                <w:w w:val="99"/>
                                <w:sz w:val="21"/>
                              </w:rPr>
                              <w:t>科技服务业项目。</w:t>
                            </w:r>
                            <w:r>
                              <w:rPr>
                                <w:rFonts w:ascii="宋体" w:eastAsia="宋体"/>
                                <w:spacing w:val="22"/>
                                <w:w w:val="99"/>
                                <w:sz w:val="21"/>
                              </w:rPr>
                              <w:t>高新产业孵化园、科技服务大数据平台、创新大厦、金凤区科技服务产业集聚区、宁夏水利研发大厦、国网宁夏电力科学研究院科研实验综合楼、国网</w:t>
                            </w:r>
                            <w:r>
                              <w:rPr>
                                <w:rFonts w:ascii="宋体" w:eastAsia="宋体"/>
                                <w:spacing w:val="19"/>
                                <w:w w:val="99"/>
                                <w:sz w:val="21"/>
                              </w:rPr>
                              <w:t>宁夏电力科学研究院检测中心等项目。</w:t>
                            </w:r>
                          </w:p>
                          <w:p w14:paraId="445CC8EE">
                            <w:pPr>
                              <w:spacing w:line="357" w:lineRule="auto"/>
                              <w:ind w:left="102" w:right="116" w:firstLine="463"/>
                              <w:rPr>
                                <w:rFonts w:ascii="宋体" w:hAnsi="宋体" w:eastAsia="宋体"/>
                                <w:sz w:val="21"/>
                              </w:rPr>
                            </w:pPr>
                            <w:r>
                              <w:rPr>
                                <w:rFonts w:hint="eastAsia" w:ascii="宋体" w:hAnsi="宋体" w:eastAsia="宋体"/>
                                <w:b/>
                                <w:spacing w:val="23"/>
                                <w:w w:val="95"/>
                                <w:sz w:val="21"/>
                              </w:rPr>
                              <w:t>人力资源</w:t>
                            </w:r>
                            <w:r>
                              <w:rPr>
                                <w:rFonts w:hint="eastAsia" w:ascii="宋体" w:hAnsi="宋体" w:eastAsia="宋体"/>
                                <w:b/>
                                <w:spacing w:val="26"/>
                                <w:w w:val="95"/>
                                <w:sz w:val="21"/>
                              </w:rPr>
                              <w:t>服</w:t>
                            </w:r>
                            <w:r>
                              <w:rPr>
                                <w:rFonts w:hint="eastAsia" w:ascii="宋体" w:hAnsi="宋体" w:eastAsia="宋体"/>
                                <w:b/>
                                <w:spacing w:val="23"/>
                                <w:w w:val="95"/>
                                <w:sz w:val="21"/>
                              </w:rPr>
                              <w:t>务项目</w:t>
                            </w:r>
                            <w:r>
                              <w:rPr>
                                <w:rFonts w:hint="eastAsia" w:ascii="宋体" w:hAnsi="宋体" w:eastAsia="宋体"/>
                                <w:b/>
                                <w:spacing w:val="-99"/>
                                <w:w w:val="95"/>
                                <w:sz w:val="21"/>
                              </w:rPr>
                              <w:t>。</w:t>
                            </w:r>
                            <w:r>
                              <w:rPr>
                                <w:rFonts w:ascii="宋体" w:hAnsi="宋体" w:eastAsia="宋体"/>
                                <w:w w:val="95"/>
                                <w:sz w:val="21"/>
                              </w:rPr>
                              <w:t>“</w:t>
                            </w:r>
                            <w:r>
                              <w:rPr>
                                <w:rFonts w:ascii="宋体" w:hAnsi="宋体" w:eastAsia="宋体"/>
                                <w:spacing w:val="62"/>
                                <w:sz w:val="21"/>
                              </w:rPr>
                              <w:t xml:space="preserve"> </w:t>
                            </w:r>
                            <w:r>
                              <w:rPr>
                                <w:rFonts w:ascii="宋体" w:hAnsi="宋体" w:eastAsia="宋体"/>
                                <w:spacing w:val="23"/>
                                <w:w w:val="95"/>
                                <w:sz w:val="21"/>
                              </w:rPr>
                              <w:t>一带</w:t>
                            </w:r>
                            <w:r>
                              <w:rPr>
                                <w:rFonts w:ascii="宋体" w:hAnsi="宋体" w:eastAsia="宋体"/>
                                <w:spacing w:val="19"/>
                                <w:w w:val="95"/>
                                <w:sz w:val="21"/>
                              </w:rPr>
                              <w:t>一路”</w:t>
                            </w:r>
                            <w:r>
                              <w:rPr>
                                <w:rFonts w:ascii="宋体" w:hAnsi="宋体" w:eastAsia="宋体"/>
                                <w:spacing w:val="23"/>
                                <w:w w:val="95"/>
                                <w:sz w:val="21"/>
                              </w:rPr>
                              <w:t>人力</w:t>
                            </w:r>
                            <w:r>
                              <w:rPr>
                                <w:rFonts w:ascii="宋体" w:hAnsi="宋体" w:eastAsia="宋体"/>
                                <w:spacing w:val="21"/>
                                <w:w w:val="95"/>
                                <w:sz w:val="21"/>
                              </w:rPr>
                              <w:t>资</w:t>
                            </w:r>
                            <w:r>
                              <w:rPr>
                                <w:rFonts w:ascii="宋体" w:hAnsi="宋体" w:eastAsia="宋体"/>
                                <w:spacing w:val="23"/>
                                <w:w w:val="95"/>
                                <w:sz w:val="21"/>
                              </w:rPr>
                              <w:t>本服务</w:t>
                            </w:r>
                            <w:r>
                              <w:rPr>
                                <w:rFonts w:ascii="宋体" w:hAnsi="宋体" w:eastAsia="宋体"/>
                                <w:spacing w:val="21"/>
                                <w:w w:val="95"/>
                                <w:sz w:val="21"/>
                              </w:rPr>
                              <w:t>产</w:t>
                            </w:r>
                            <w:r>
                              <w:rPr>
                                <w:rFonts w:ascii="宋体" w:hAnsi="宋体" w:eastAsia="宋体"/>
                                <w:spacing w:val="23"/>
                                <w:w w:val="95"/>
                                <w:sz w:val="21"/>
                              </w:rPr>
                              <w:t>业园项目</w:t>
                            </w:r>
                            <w:r>
                              <w:rPr>
                                <w:rFonts w:ascii="宋体" w:hAnsi="宋体" w:eastAsia="宋体"/>
                                <w:spacing w:val="16"/>
                                <w:w w:val="95"/>
                                <w:sz w:val="21"/>
                              </w:rPr>
                              <w:t>，</w:t>
                            </w:r>
                            <w:r>
                              <w:rPr>
                                <w:rFonts w:ascii="宋体" w:hAnsi="宋体" w:eastAsia="宋体"/>
                                <w:spacing w:val="23"/>
                                <w:w w:val="95"/>
                                <w:sz w:val="21"/>
                              </w:rPr>
                              <w:t>人力</w:t>
                            </w:r>
                            <w:r>
                              <w:rPr>
                                <w:rFonts w:ascii="宋体" w:hAnsi="宋体" w:eastAsia="宋体"/>
                                <w:spacing w:val="21"/>
                                <w:w w:val="95"/>
                                <w:sz w:val="21"/>
                              </w:rPr>
                              <w:t>资</w:t>
                            </w:r>
                            <w:r>
                              <w:rPr>
                                <w:rFonts w:ascii="宋体" w:hAnsi="宋体" w:eastAsia="宋体"/>
                                <w:spacing w:val="23"/>
                                <w:w w:val="95"/>
                                <w:sz w:val="21"/>
                              </w:rPr>
                              <w:t>源服务</w:t>
                            </w:r>
                            <w:r>
                              <w:rPr>
                                <w:rFonts w:ascii="宋体" w:hAnsi="宋体" w:eastAsia="宋体"/>
                                <w:spacing w:val="21"/>
                                <w:w w:val="95"/>
                                <w:sz w:val="21"/>
                              </w:rPr>
                              <w:t>业</w:t>
                            </w:r>
                            <w:r>
                              <w:rPr>
                                <w:rFonts w:ascii="宋体" w:hAnsi="宋体" w:eastAsia="宋体"/>
                                <w:spacing w:val="23"/>
                                <w:w w:val="95"/>
                                <w:sz w:val="21"/>
                              </w:rPr>
                              <w:t>领军</w:t>
                            </w:r>
                            <w:r>
                              <w:rPr>
                                <w:rFonts w:ascii="宋体" w:hAnsi="宋体" w:eastAsia="宋体"/>
                                <w:w w:val="95"/>
                                <w:sz w:val="21"/>
                              </w:rPr>
                              <w:t>人</w:t>
                            </w:r>
                            <w:r>
                              <w:rPr>
                                <w:rFonts w:ascii="宋体" w:hAnsi="宋体" w:eastAsia="宋体"/>
                                <w:spacing w:val="21"/>
                                <w:sz w:val="21"/>
                              </w:rPr>
                              <w:t>才培养计划等项</w:t>
                            </w:r>
                            <w:r>
                              <w:rPr>
                                <w:rFonts w:ascii="宋体" w:hAnsi="宋体" w:eastAsia="宋体"/>
                                <w:spacing w:val="10"/>
                                <w:sz w:val="21"/>
                              </w:rPr>
                              <w:t>目。</w:t>
                            </w:r>
                          </w:p>
                          <w:p w14:paraId="3695331F">
                            <w:pPr>
                              <w:spacing w:line="357" w:lineRule="auto"/>
                              <w:ind w:left="102" w:right="1" w:firstLine="463"/>
                              <w:rPr>
                                <w:rFonts w:ascii="宋体" w:hAnsi="宋体" w:eastAsia="宋体"/>
                                <w:sz w:val="21"/>
                              </w:rPr>
                            </w:pPr>
                            <w:r>
                              <w:rPr>
                                <w:rFonts w:hint="eastAsia" w:ascii="宋体" w:hAnsi="宋体" w:eastAsia="宋体"/>
                                <w:b/>
                                <w:spacing w:val="23"/>
                                <w:w w:val="95"/>
                                <w:sz w:val="21"/>
                              </w:rPr>
                              <w:t>健康养老项</w:t>
                            </w:r>
                            <w:r>
                              <w:rPr>
                                <w:rFonts w:hint="eastAsia" w:ascii="宋体" w:hAnsi="宋体" w:eastAsia="宋体"/>
                                <w:b/>
                                <w:spacing w:val="22"/>
                                <w:w w:val="95"/>
                                <w:sz w:val="21"/>
                              </w:rPr>
                              <w:t>目。</w:t>
                            </w:r>
                            <w:r>
                              <w:rPr>
                                <w:rFonts w:ascii="宋体" w:hAnsi="宋体" w:eastAsia="宋体"/>
                                <w:spacing w:val="16"/>
                                <w:w w:val="95"/>
                                <w:sz w:val="21"/>
                              </w:rPr>
                              <w:t>桃园民族“</w:t>
                            </w:r>
                            <w:r>
                              <w:rPr>
                                <w:rFonts w:ascii="宋体" w:hAnsi="宋体" w:eastAsia="宋体"/>
                                <w:spacing w:val="64"/>
                                <w:sz w:val="21"/>
                              </w:rPr>
                              <w:t xml:space="preserve"> </w:t>
                            </w:r>
                            <w:r>
                              <w:rPr>
                                <w:rFonts w:ascii="宋体" w:hAnsi="宋体" w:eastAsia="宋体"/>
                                <w:spacing w:val="22"/>
                                <w:w w:val="95"/>
                                <w:sz w:val="21"/>
                              </w:rPr>
                              <w:t>医养</w:t>
                            </w:r>
                            <w:r>
                              <w:rPr>
                                <w:rFonts w:ascii="宋体" w:hAnsi="宋体" w:eastAsia="宋体"/>
                                <w:spacing w:val="23"/>
                                <w:w w:val="95"/>
                                <w:sz w:val="21"/>
                              </w:rPr>
                              <w:t>结合</w:t>
                            </w:r>
                            <w:r>
                              <w:rPr>
                                <w:rFonts w:ascii="宋体" w:hAnsi="宋体" w:eastAsia="宋体"/>
                                <w:spacing w:val="19"/>
                                <w:w w:val="95"/>
                                <w:sz w:val="21"/>
                              </w:rPr>
                              <w:t>”颐养</w:t>
                            </w:r>
                            <w:r>
                              <w:rPr>
                                <w:rFonts w:ascii="宋体" w:hAnsi="宋体" w:eastAsia="宋体"/>
                                <w:spacing w:val="23"/>
                                <w:w w:val="95"/>
                                <w:sz w:val="21"/>
                              </w:rPr>
                              <w:t>中心</w:t>
                            </w:r>
                            <w:r>
                              <w:rPr>
                                <w:rFonts w:ascii="宋体" w:hAnsi="宋体" w:eastAsia="宋体"/>
                                <w:spacing w:val="21"/>
                                <w:w w:val="95"/>
                                <w:sz w:val="21"/>
                              </w:rPr>
                              <w:t>、宁夏</w:t>
                            </w:r>
                            <w:r>
                              <w:rPr>
                                <w:rFonts w:ascii="宋体" w:hAnsi="宋体" w:eastAsia="宋体"/>
                                <w:spacing w:val="23"/>
                                <w:w w:val="95"/>
                                <w:sz w:val="21"/>
                              </w:rPr>
                              <w:t>老年健</w:t>
                            </w:r>
                            <w:r>
                              <w:rPr>
                                <w:rFonts w:ascii="宋体" w:hAnsi="宋体" w:eastAsia="宋体"/>
                                <w:spacing w:val="21"/>
                                <w:w w:val="95"/>
                                <w:sz w:val="21"/>
                              </w:rPr>
                              <w:t>康</w:t>
                            </w:r>
                            <w:r>
                              <w:rPr>
                                <w:rFonts w:ascii="宋体" w:hAnsi="宋体" w:eastAsia="宋体"/>
                                <w:spacing w:val="23"/>
                                <w:w w:val="95"/>
                                <w:sz w:val="21"/>
                              </w:rPr>
                              <w:t>监控监</w:t>
                            </w:r>
                            <w:r>
                              <w:rPr>
                                <w:rFonts w:ascii="宋体" w:hAnsi="宋体" w:eastAsia="宋体"/>
                                <w:spacing w:val="21"/>
                                <w:w w:val="95"/>
                                <w:sz w:val="21"/>
                              </w:rPr>
                              <w:t>管</w:t>
                            </w:r>
                            <w:r>
                              <w:rPr>
                                <w:rFonts w:ascii="宋体" w:hAnsi="宋体" w:eastAsia="宋体"/>
                                <w:spacing w:val="23"/>
                                <w:w w:val="95"/>
                                <w:sz w:val="21"/>
                              </w:rPr>
                              <w:t>管理平台</w:t>
                            </w:r>
                            <w:r>
                              <w:rPr>
                                <w:rFonts w:ascii="宋体" w:hAnsi="宋体" w:eastAsia="宋体"/>
                                <w:w w:val="95"/>
                                <w:sz w:val="21"/>
                              </w:rPr>
                              <w:t>、</w:t>
                            </w:r>
                            <w:r>
                              <w:rPr>
                                <w:rFonts w:ascii="宋体" w:hAnsi="宋体" w:eastAsia="宋体"/>
                                <w:spacing w:val="24"/>
                                <w:sz w:val="21"/>
                              </w:rPr>
                              <w:t>医养</w:t>
                            </w:r>
                            <w:r>
                              <w:rPr>
                                <w:rFonts w:ascii="宋体" w:hAnsi="宋体" w:eastAsia="宋体"/>
                                <w:spacing w:val="23"/>
                                <w:sz w:val="21"/>
                              </w:rPr>
                              <w:t>综</w:t>
                            </w:r>
                            <w:r>
                              <w:rPr>
                                <w:rFonts w:ascii="宋体" w:hAnsi="宋体" w:eastAsia="宋体"/>
                                <w:spacing w:val="24"/>
                                <w:sz w:val="21"/>
                              </w:rPr>
                              <w:t>合一体化发</w:t>
                            </w:r>
                            <w:r>
                              <w:rPr>
                                <w:rFonts w:ascii="宋体" w:hAnsi="宋体" w:eastAsia="宋体"/>
                                <w:spacing w:val="23"/>
                                <w:sz w:val="21"/>
                              </w:rPr>
                              <w:t>展</w:t>
                            </w:r>
                            <w:r>
                              <w:rPr>
                                <w:rFonts w:ascii="宋体" w:hAnsi="宋体" w:eastAsia="宋体"/>
                                <w:spacing w:val="24"/>
                                <w:sz w:val="21"/>
                              </w:rPr>
                              <w:t>中心、自治</w:t>
                            </w:r>
                            <w:r>
                              <w:rPr>
                                <w:rFonts w:ascii="宋体" w:hAnsi="宋体" w:eastAsia="宋体"/>
                                <w:spacing w:val="23"/>
                                <w:sz w:val="21"/>
                              </w:rPr>
                              <w:t>区</w:t>
                            </w:r>
                            <w:r>
                              <w:rPr>
                                <w:rFonts w:ascii="宋体" w:hAnsi="宋体" w:eastAsia="宋体"/>
                                <w:spacing w:val="24"/>
                                <w:sz w:val="21"/>
                              </w:rPr>
                              <w:t>人民医院临</w:t>
                            </w:r>
                            <w:r>
                              <w:rPr>
                                <w:rFonts w:ascii="宋体" w:hAnsi="宋体" w:eastAsia="宋体"/>
                                <w:spacing w:val="23"/>
                                <w:sz w:val="21"/>
                              </w:rPr>
                              <w:t>床</w:t>
                            </w:r>
                            <w:r>
                              <w:rPr>
                                <w:rFonts w:ascii="宋体" w:hAnsi="宋体" w:eastAsia="宋体"/>
                                <w:spacing w:val="24"/>
                                <w:sz w:val="21"/>
                              </w:rPr>
                              <w:t>教学培训</w:t>
                            </w:r>
                            <w:r>
                              <w:rPr>
                                <w:rFonts w:ascii="宋体" w:hAnsi="宋体" w:eastAsia="宋体"/>
                                <w:spacing w:val="23"/>
                                <w:sz w:val="21"/>
                              </w:rPr>
                              <w:t>基</w:t>
                            </w:r>
                            <w:r>
                              <w:rPr>
                                <w:rFonts w:ascii="宋体" w:hAnsi="宋体" w:eastAsia="宋体"/>
                                <w:spacing w:val="24"/>
                                <w:sz w:val="21"/>
                              </w:rPr>
                              <w:t>地、桃园互</w:t>
                            </w:r>
                            <w:r>
                              <w:rPr>
                                <w:rFonts w:ascii="宋体" w:hAnsi="宋体" w:eastAsia="宋体"/>
                                <w:spacing w:val="23"/>
                                <w:sz w:val="21"/>
                              </w:rPr>
                              <w:t>联</w:t>
                            </w:r>
                            <w:r>
                              <w:rPr>
                                <w:rFonts w:ascii="宋体" w:hAnsi="宋体" w:eastAsia="宋体"/>
                                <w:spacing w:val="24"/>
                                <w:sz w:val="21"/>
                              </w:rPr>
                              <w:t>网医疗服务</w:t>
                            </w:r>
                            <w:r>
                              <w:rPr>
                                <w:rFonts w:ascii="宋体" w:hAnsi="宋体" w:eastAsia="宋体"/>
                                <w:sz w:val="21"/>
                              </w:rPr>
                              <w:t>平</w:t>
                            </w:r>
                            <w:r>
                              <w:rPr>
                                <w:rFonts w:ascii="宋体" w:hAnsi="宋体" w:eastAsia="宋体"/>
                                <w:spacing w:val="21"/>
                                <w:sz w:val="21"/>
                              </w:rPr>
                              <w:t>台、智慧健康养老应用试点示范等</w:t>
                            </w:r>
                            <w:r>
                              <w:rPr>
                                <w:rFonts w:ascii="宋体" w:hAnsi="宋体" w:eastAsia="宋体"/>
                                <w:spacing w:val="14"/>
                                <w:sz w:val="21"/>
                              </w:rPr>
                              <w:t>项目。</w:t>
                            </w:r>
                          </w:p>
                          <w:p w14:paraId="14D6EBE1">
                            <w:pPr>
                              <w:spacing w:line="355" w:lineRule="auto"/>
                              <w:ind w:left="102" w:right="116" w:firstLine="463"/>
                              <w:rPr>
                                <w:rFonts w:ascii="宋体" w:eastAsia="宋体"/>
                                <w:sz w:val="21"/>
                              </w:rPr>
                            </w:pPr>
                            <w:r>
                              <w:rPr>
                                <w:rFonts w:hint="eastAsia" w:ascii="宋体" w:eastAsia="宋体"/>
                                <w:b/>
                                <w:spacing w:val="26"/>
                                <w:w w:val="99"/>
                                <w:sz w:val="21"/>
                              </w:rPr>
                              <w:t>文化旅游业项目。</w:t>
                            </w:r>
                            <w:r>
                              <w:rPr>
                                <w:rFonts w:ascii="宋体" w:eastAsia="宋体"/>
                                <w:spacing w:val="23"/>
                                <w:w w:val="99"/>
                                <w:sz w:val="21"/>
                              </w:rPr>
                              <w:t>博物馆小镇、阅海公园提升、良田镇胭川湖一二三产融合旅游示</w:t>
                            </w:r>
                            <w:r>
                              <w:rPr>
                                <w:rFonts w:ascii="宋体" w:eastAsia="宋体"/>
                                <w:spacing w:val="20"/>
                                <w:w w:val="99"/>
                                <w:sz w:val="21"/>
                              </w:rPr>
                              <w:t>范区、阅海西岸国际旅游城、元宝湖文旅公园等项目。</w:t>
                            </w:r>
                          </w:p>
                          <w:p w14:paraId="1423D262">
                            <w:pPr>
                              <w:ind w:left="565"/>
                              <w:rPr>
                                <w:rFonts w:ascii="宋体" w:eastAsia="宋体"/>
                                <w:sz w:val="21"/>
                              </w:rPr>
                            </w:pPr>
                            <w:r>
                              <w:rPr>
                                <w:rFonts w:hint="eastAsia" w:ascii="宋体" w:eastAsia="宋体"/>
                                <w:b/>
                                <w:spacing w:val="26"/>
                                <w:w w:val="95"/>
                                <w:sz w:val="21"/>
                              </w:rPr>
                              <w:t>家政</w:t>
                            </w:r>
                            <w:r>
                              <w:rPr>
                                <w:rFonts w:hint="eastAsia" w:ascii="宋体" w:eastAsia="宋体"/>
                                <w:b/>
                                <w:spacing w:val="28"/>
                                <w:w w:val="95"/>
                                <w:sz w:val="21"/>
                              </w:rPr>
                              <w:t>服</w:t>
                            </w:r>
                            <w:r>
                              <w:rPr>
                                <w:rFonts w:hint="eastAsia" w:ascii="宋体" w:eastAsia="宋体"/>
                                <w:b/>
                                <w:spacing w:val="26"/>
                                <w:w w:val="95"/>
                                <w:sz w:val="21"/>
                              </w:rPr>
                              <w:t>务业项</w:t>
                            </w:r>
                            <w:r>
                              <w:rPr>
                                <w:rFonts w:hint="eastAsia" w:ascii="宋体" w:eastAsia="宋体"/>
                                <w:b/>
                                <w:spacing w:val="27"/>
                                <w:w w:val="95"/>
                                <w:sz w:val="21"/>
                              </w:rPr>
                              <w:t>目。</w:t>
                            </w:r>
                            <w:r>
                              <w:rPr>
                                <w:rFonts w:ascii="宋体" w:eastAsia="宋体"/>
                                <w:spacing w:val="26"/>
                                <w:w w:val="95"/>
                                <w:sz w:val="21"/>
                              </w:rPr>
                              <w:t>金凤家政</w:t>
                            </w:r>
                            <w:r>
                              <w:rPr>
                                <w:rFonts w:ascii="宋体" w:eastAsia="宋体"/>
                                <w:spacing w:val="23"/>
                                <w:w w:val="95"/>
                                <w:sz w:val="21"/>
                              </w:rPr>
                              <w:t>实</w:t>
                            </w:r>
                            <w:r>
                              <w:rPr>
                                <w:rFonts w:ascii="宋体" w:eastAsia="宋体"/>
                                <w:spacing w:val="26"/>
                                <w:w w:val="95"/>
                                <w:sz w:val="21"/>
                              </w:rPr>
                              <w:t>训基地、龙头企业</w:t>
                            </w:r>
                            <w:r>
                              <w:rPr>
                                <w:rFonts w:ascii="宋体" w:eastAsia="宋体"/>
                                <w:spacing w:val="25"/>
                                <w:w w:val="95"/>
                                <w:sz w:val="21"/>
                              </w:rPr>
                              <w:t>培育</w:t>
                            </w:r>
                            <w:r>
                              <w:rPr>
                                <w:rFonts w:ascii="宋体" w:eastAsia="宋体"/>
                                <w:spacing w:val="26"/>
                                <w:w w:val="95"/>
                                <w:sz w:val="21"/>
                              </w:rPr>
                              <w:t>、家政人才</w:t>
                            </w:r>
                            <w:r>
                              <w:rPr>
                                <w:rFonts w:ascii="宋体" w:eastAsia="宋体"/>
                                <w:spacing w:val="23"/>
                                <w:w w:val="95"/>
                                <w:sz w:val="21"/>
                              </w:rPr>
                              <w:t>培</w:t>
                            </w:r>
                            <w:r>
                              <w:rPr>
                                <w:rFonts w:ascii="宋体" w:eastAsia="宋体"/>
                                <w:spacing w:val="26"/>
                                <w:w w:val="95"/>
                                <w:sz w:val="21"/>
                              </w:rPr>
                              <w:t>育、家政员工</w:t>
                            </w:r>
                            <w:r>
                              <w:rPr>
                                <w:rFonts w:ascii="宋体" w:eastAsia="宋体"/>
                                <w:spacing w:val="-10"/>
                                <w:w w:val="95"/>
                                <w:sz w:val="21"/>
                              </w:rPr>
                              <w:t>制</w:t>
                            </w:r>
                          </w:p>
                          <w:p w14:paraId="3D4AC38E">
                            <w:pPr>
                              <w:spacing w:before="129"/>
                              <w:ind w:left="102"/>
                              <w:rPr>
                                <w:rFonts w:ascii="宋体" w:eastAsia="宋体"/>
                                <w:sz w:val="21"/>
                              </w:rPr>
                            </w:pPr>
                            <w:r>
                              <w:rPr>
                                <w:rFonts w:ascii="宋体" w:eastAsia="宋体"/>
                                <w:spacing w:val="22"/>
                                <w:w w:val="95"/>
                                <w:sz w:val="21"/>
                              </w:rPr>
                              <w:t>试点</w:t>
                            </w:r>
                            <w:r>
                              <w:rPr>
                                <w:rFonts w:ascii="宋体" w:eastAsia="宋体"/>
                                <w:spacing w:val="23"/>
                                <w:w w:val="95"/>
                                <w:sz w:val="21"/>
                              </w:rPr>
                              <w:t>、家</w:t>
                            </w:r>
                            <w:r>
                              <w:rPr>
                                <w:rFonts w:ascii="宋体" w:eastAsia="宋体"/>
                                <w:spacing w:val="21"/>
                                <w:w w:val="95"/>
                                <w:sz w:val="21"/>
                              </w:rPr>
                              <w:t>政</w:t>
                            </w:r>
                            <w:r>
                              <w:rPr>
                                <w:rFonts w:ascii="宋体" w:eastAsia="宋体"/>
                                <w:spacing w:val="23"/>
                                <w:w w:val="95"/>
                                <w:sz w:val="21"/>
                              </w:rPr>
                              <w:t>服务</w:t>
                            </w:r>
                            <w:r>
                              <w:rPr>
                                <w:rFonts w:ascii="宋体" w:eastAsia="宋体"/>
                                <w:spacing w:val="21"/>
                                <w:w w:val="95"/>
                                <w:sz w:val="21"/>
                              </w:rPr>
                              <w:t>进</w:t>
                            </w:r>
                            <w:r>
                              <w:rPr>
                                <w:rFonts w:ascii="宋体" w:eastAsia="宋体"/>
                                <w:spacing w:val="23"/>
                                <w:w w:val="95"/>
                                <w:sz w:val="21"/>
                              </w:rPr>
                              <w:t>社区、</w:t>
                            </w:r>
                            <w:r>
                              <w:rPr>
                                <w:rFonts w:ascii="宋体" w:eastAsia="宋体"/>
                                <w:spacing w:val="21"/>
                                <w:w w:val="95"/>
                                <w:sz w:val="21"/>
                              </w:rPr>
                              <w:t>家</w:t>
                            </w:r>
                            <w:r>
                              <w:rPr>
                                <w:rFonts w:ascii="宋体" w:eastAsia="宋体"/>
                                <w:spacing w:val="23"/>
                                <w:w w:val="95"/>
                                <w:sz w:val="21"/>
                              </w:rPr>
                              <w:t>庭服</w:t>
                            </w:r>
                            <w:r>
                              <w:rPr>
                                <w:rFonts w:ascii="宋体" w:eastAsia="宋体"/>
                                <w:spacing w:val="21"/>
                                <w:w w:val="95"/>
                                <w:sz w:val="21"/>
                              </w:rPr>
                              <w:t>务</w:t>
                            </w:r>
                            <w:r>
                              <w:rPr>
                                <w:rFonts w:ascii="宋体" w:eastAsia="宋体"/>
                                <w:spacing w:val="23"/>
                                <w:w w:val="95"/>
                                <w:sz w:val="21"/>
                              </w:rPr>
                              <w:t>业超</w:t>
                            </w:r>
                            <w:r>
                              <w:rPr>
                                <w:rFonts w:ascii="宋体" w:eastAsia="宋体"/>
                                <w:spacing w:val="21"/>
                                <w:w w:val="95"/>
                                <w:sz w:val="21"/>
                              </w:rPr>
                              <w:t>市</w:t>
                            </w:r>
                            <w:r>
                              <w:rPr>
                                <w:rFonts w:ascii="宋体" w:eastAsia="宋体"/>
                                <w:spacing w:val="23"/>
                                <w:w w:val="95"/>
                                <w:sz w:val="21"/>
                              </w:rPr>
                              <w:t>等项</w:t>
                            </w:r>
                            <w:r>
                              <w:rPr>
                                <w:rFonts w:ascii="宋体" w:eastAsia="宋体"/>
                                <w:spacing w:val="5"/>
                                <w:w w:val="95"/>
                                <w:sz w:val="21"/>
                              </w:rPr>
                              <w:t>目。</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3.1pt;margin-top:146.45pt;height:263.9pt;width:456.75pt;mso-position-horizontal-relative:page;z-index:-251614208;mso-width-relative:page;mso-height-relative:page;" filled="f" stroked="t" coordsize="21600,21600" o:gfxdata="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n5a102AAAAAwBAAAPAAAAAAAAAAEAIAAAACIA&#10;AABkcnMvZG93bnJldi54bWxQSwECFAAUAAAACACHTuJA5xD13UICAABqBAAADgAAAAAAAAABACAA&#10;AAAnAQAAZHJzL2Uyb0RvYy54bWxQSwUGAAAAAAYABgBZAQAA2wUAAAAA&#10;">
                <v:fill on="f" focussize="0,0"/>
                <v:stroke weight="0.48pt" color="#000000" miterlimit="8" joinstyle="miter"/>
                <v:imagedata o:title=""/>
                <o:lock v:ext="edit" aspectratio="f"/>
                <v:textbox inset="0mm,0mm,0mm,0mm">
                  <w:txbxContent>
                    <w:p w14:paraId="7A83585D">
                      <w:pPr>
                        <w:spacing w:before="81"/>
                        <w:ind w:left="2353" w:right="2374"/>
                        <w:jc w:val="center"/>
                        <w:rPr>
                          <w:rFonts w:ascii="黑体" w:eastAsia="黑体"/>
                          <w:sz w:val="24"/>
                        </w:rPr>
                      </w:pPr>
                      <w:r>
                        <w:rPr>
                          <w:rFonts w:ascii="黑体" w:eastAsia="黑体"/>
                          <w:spacing w:val="-4"/>
                          <w:sz w:val="24"/>
                        </w:rPr>
                        <w:t xml:space="preserve">专栏 </w:t>
                      </w:r>
                      <w:r>
                        <w:rPr>
                          <w:rFonts w:ascii="黑体" w:eastAsia="黑体"/>
                          <w:sz w:val="24"/>
                        </w:rPr>
                        <w:t>2</w:t>
                      </w:r>
                      <w:r>
                        <w:rPr>
                          <w:rFonts w:ascii="黑体" w:eastAsia="黑体"/>
                          <w:spacing w:val="115"/>
                          <w:w w:val="150"/>
                          <w:sz w:val="24"/>
                        </w:rPr>
                        <w:t xml:space="preserve"> </w:t>
                      </w:r>
                      <w:r>
                        <w:rPr>
                          <w:rFonts w:ascii="黑体" w:eastAsia="黑体"/>
                          <w:spacing w:val="18"/>
                          <w:sz w:val="24"/>
                        </w:rPr>
                        <w:t>成长型服务产业重点建设项目</w:t>
                      </w:r>
                    </w:p>
                    <w:p w14:paraId="1BE1E6B7">
                      <w:pPr>
                        <w:spacing w:before="188" w:line="357" w:lineRule="auto"/>
                        <w:ind w:left="102" w:right="119" w:firstLine="463"/>
                        <w:jc w:val="both"/>
                        <w:rPr>
                          <w:rFonts w:ascii="宋体" w:eastAsia="宋体"/>
                          <w:sz w:val="21"/>
                        </w:rPr>
                      </w:pPr>
                      <w:r>
                        <w:rPr>
                          <w:rFonts w:hint="eastAsia" w:ascii="宋体" w:eastAsia="宋体"/>
                          <w:b/>
                          <w:spacing w:val="26"/>
                          <w:w w:val="99"/>
                          <w:sz w:val="21"/>
                        </w:rPr>
                        <w:t>科技服务业项目。</w:t>
                      </w:r>
                      <w:r>
                        <w:rPr>
                          <w:rFonts w:ascii="宋体" w:eastAsia="宋体"/>
                          <w:spacing w:val="22"/>
                          <w:w w:val="99"/>
                          <w:sz w:val="21"/>
                        </w:rPr>
                        <w:t>高新产业孵化园、科技服务大数据平台、创新大厦、金凤区科技服务产业集聚区、宁夏水利研发大厦、国网宁夏电力科学研究院科研实验综合楼、国网</w:t>
                      </w:r>
                      <w:r>
                        <w:rPr>
                          <w:rFonts w:ascii="宋体" w:eastAsia="宋体"/>
                          <w:spacing w:val="19"/>
                          <w:w w:val="99"/>
                          <w:sz w:val="21"/>
                        </w:rPr>
                        <w:t>宁夏电力科学研究院检测中心等项目。</w:t>
                      </w:r>
                    </w:p>
                    <w:p w14:paraId="445CC8EE">
                      <w:pPr>
                        <w:spacing w:line="357" w:lineRule="auto"/>
                        <w:ind w:left="102" w:right="116" w:firstLine="463"/>
                        <w:rPr>
                          <w:rFonts w:ascii="宋体" w:hAnsi="宋体" w:eastAsia="宋体"/>
                          <w:sz w:val="21"/>
                        </w:rPr>
                      </w:pPr>
                      <w:r>
                        <w:rPr>
                          <w:rFonts w:hint="eastAsia" w:ascii="宋体" w:hAnsi="宋体" w:eastAsia="宋体"/>
                          <w:b/>
                          <w:spacing w:val="23"/>
                          <w:w w:val="95"/>
                          <w:sz w:val="21"/>
                        </w:rPr>
                        <w:t>人力资源</w:t>
                      </w:r>
                      <w:r>
                        <w:rPr>
                          <w:rFonts w:hint="eastAsia" w:ascii="宋体" w:hAnsi="宋体" w:eastAsia="宋体"/>
                          <w:b/>
                          <w:spacing w:val="26"/>
                          <w:w w:val="95"/>
                          <w:sz w:val="21"/>
                        </w:rPr>
                        <w:t>服</w:t>
                      </w:r>
                      <w:r>
                        <w:rPr>
                          <w:rFonts w:hint="eastAsia" w:ascii="宋体" w:hAnsi="宋体" w:eastAsia="宋体"/>
                          <w:b/>
                          <w:spacing w:val="23"/>
                          <w:w w:val="95"/>
                          <w:sz w:val="21"/>
                        </w:rPr>
                        <w:t>务项目</w:t>
                      </w:r>
                      <w:r>
                        <w:rPr>
                          <w:rFonts w:hint="eastAsia" w:ascii="宋体" w:hAnsi="宋体" w:eastAsia="宋体"/>
                          <w:b/>
                          <w:spacing w:val="-99"/>
                          <w:w w:val="95"/>
                          <w:sz w:val="21"/>
                        </w:rPr>
                        <w:t>。</w:t>
                      </w:r>
                      <w:r>
                        <w:rPr>
                          <w:rFonts w:ascii="宋体" w:hAnsi="宋体" w:eastAsia="宋体"/>
                          <w:w w:val="95"/>
                          <w:sz w:val="21"/>
                        </w:rPr>
                        <w:t>“</w:t>
                      </w:r>
                      <w:r>
                        <w:rPr>
                          <w:rFonts w:ascii="宋体" w:hAnsi="宋体" w:eastAsia="宋体"/>
                          <w:spacing w:val="62"/>
                          <w:sz w:val="21"/>
                        </w:rPr>
                        <w:t xml:space="preserve"> </w:t>
                      </w:r>
                      <w:r>
                        <w:rPr>
                          <w:rFonts w:ascii="宋体" w:hAnsi="宋体" w:eastAsia="宋体"/>
                          <w:spacing w:val="23"/>
                          <w:w w:val="95"/>
                          <w:sz w:val="21"/>
                        </w:rPr>
                        <w:t>一带</w:t>
                      </w:r>
                      <w:r>
                        <w:rPr>
                          <w:rFonts w:ascii="宋体" w:hAnsi="宋体" w:eastAsia="宋体"/>
                          <w:spacing w:val="19"/>
                          <w:w w:val="95"/>
                          <w:sz w:val="21"/>
                        </w:rPr>
                        <w:t>一路”</w:t>
                      </w:r>
                      <w:r>
                        <w:rPr>
                          <w:rFonts w:ascii="宋体" w:hAnsi="宋体" w:eastAsia="宋体"/>
                          <w:spacing w:val="23"/>
                          <w:w w:val="95"/>
                          <w:sz w:val="21"/>
                        </w:rPr>
                        <w:t>人力</w:t>
                      </w:r>
                      <w:r>
                        <w:rPr>
                          <w:rFonts w:ascii="宋体" w:hAnsi="宋体" w:eastAsia="宋体"/>
                          <w:spacing w:val="21"/>
                          <w:w w:val="95"/>
                          <w:sz w:val="21"/>
                        </w:rPr>
                        <w:t>资</w:t>
                      </w:r>
                      <w:r>
                        <w:rPr>
                          <w:rFonts w:ascii="宋体" w:hAnsi="宋体" w:eastAsia="宋体"/>
                          <w:spacing w:val="23"/>
                          <w:w w:val="95"/>
                          <w:sz w:val="21"/>
                        </w:rPr>
                        <w:t>本服务</w:t>
                      </w:r>
                      <w:r>
                        <w:rPr>
                          <w:rFonts w:ascii="宋体" w:hAnsi="宋体" w:eastAsia="宋体"/>
                          <w:spacing w:val="21"/>
                          <w:w w:val="95"/>
                          <w:sz w:val="21"/>
                        </w:rPr>
                        <w:t>产</w:t>
                      </w:r>
                      <w:r>
                        <w:rPr>
                          <w:rFonts w:ascii="宋体" w:hAnsi="宋体" w:eastAsia="宋体"/>
                          <w:spacing w:val="23"/>
                          <w:w w:val="95"/>
                          <w:sz w:val="21"/>
                        </w:rPr>
                        <w:t>业园项目</w:t>
                      </w:r>
                      <w:r>
                        <w:rPr>
                          <w:rFonts w:ascii="宋体" w:hAnsi="宋体" w:eastAsia="宋体"/>
                          <w:spacing w:val="16"/>
                          <w:w w:val="95"/>
                          <w:sz w:val="21"/>
                        </w:rPr>
                        <w:t>，</w:t>
                      </w:r>
                      <w:r>
                        <w:rPr>
                          <w:rFonts w:ascii="宋体" w:hAnsi="宋体" w:eastAsia="宋体"/>
                          <w:spacing w:val="23"/>
                          <w:w w:val="95"/>
                          <w:sz w:val="21"/>
                        </w:rPr>
                        <w:t>人力</w:t>
                      </w:r>
                      <w:r>
                        <w:rPr>
                          <w:rFonts w:ascii="宋体" w:hAnsi="宋体" w:eastAsia="宋体"/>
                          <w:spacing w:val="21"/>
                          <w:w w:val="95"/>
                          <w:sz w:val="21"/>
                        </w:rPr>
                        <w:t>资</w:t>
                      </w:r>
                      <w:r>
                        <w:rPr>
                          <w:rFonts w:ascii="宋体" w:hAnsi="宋体" w:eastAsia="宋体"/>
                          <w:spacing w:val="23"/>
                          <w:w w:val="95"/>
                          <w:sz w:val="21"/>
                        </w:rPr>
                        <w:t>源服务</w:t>
                      </w:r>
                      <w:r>
                        <w:rPr>
                          <w:rFonts w:ascii="宋体" w:hAnsi="宋体" w:eastAsia="宋体"/>
                          <w:spacing w:val="21"/>
                          <w:w w:val="95"/>
                          <w:sz w:val="21"/>
                        </w:rPr>
                        <w:t>业</w:t>
                      </w:r>
                      <w:r>
                        <w:rPr>
                          <w:rFonts w:ascii="宋体" w:hAnsi="宋体" w:eastAsia="宋体"/>
                          <w:spacing w:val="23"/>
                          <w:w w:val="95"/>
                          <w:sz w:val="21"/>
                        </w:rPr>
                        <w:t>领军</w:t>
                      </w:r>
                      <w:r>
                        <w:rPr>
                          <w:rFonts w:ascii="宋体" w:hAnsi="宋体" w:eastAsia="宋体"/>
                          <w:w w:val="95"/>
                          <w:sz w:val="21"/>
                        </w:rPr>
                        <w:t>人</w:t>
                      </w:r>
                      <w:r>
                        <w:rPr>
                          <w:rFonts w:ascii="宋体" w:hAnsi="宋体" w:eastAsia="宋体"/>
                          <w:spacing w:val="21"/>
                          <w:sz w:val="21"/>
                        </w:rPr>
                        <w:t>才培养计划等项</w:t>
                      </w:r>
                      <w:r>
                        <w:rPr>
                          <w:rFonts w:ascii="宋体" w:hAnsi="宋体" w:eastAsia="宋体"/>
                          <w:spacing w:val="10"/>
                          <w:sz w:val="21"/>
                        </w:rPr>
                        <w:t>目。</w:t>
                      </w:r>
                    </w:p>
                    <w:p w14:paraId="3695331F">
                      <w:pPr>
                        <w:spacing w:line="357" w:lineRule="auto"/>
                        <w:ind w:left="102" w:right="1" w:firstLine="463"/>
                        <w:rPr>
                          <w:rFonts w:ascii="宋体" w:hAnsi="宋体" w:eastAsia="宋体"/>
                          <w:sz w:val="21"/>
                        </w:rPr>
                      </w:pPr>
                      <w:r>
                        <w:rPr>
                          <w:rFonts w:hint="eastAsia" w:ascii="宋体" w:hAnsi="宋体" w:eastAsia="宋体"/>
                          <w:b/>
                          <w:spacing w:val="23"/>
                          <w:w w:val="95"/>
                          <w:sz w:val="21"/>
                        </w:rPr>
                        <w:t>健康养老项</w:t>
                      </w:r>
                      <w:r>
                        <w:rPr>
                          <w:rFonts w:hint="eastAsia" w:ascii="宋体" w:hAnsi="宋体" w:eastAsia="宋体"/>
                          <w:b/>
                          <w:spacing w:val="22"/>
                          <w:w w:val="95"/>
                          <w:sz w:val="21"/>
                        </w:rPr>
                        <w:t>目。</w:t>
                      </w:r>
                      <w:r>
                        <w:rPr>
                          <w:rFonts w:ascii="宋体" w:hAnsi="宋体" w:eastAsia="宋体"/>
                          <w:spacing w:val="16"/>
                          <w:w w:val="95"/>
                          <w:sz w:val="21"/>
                        </w:rPr>
                        <w:t>桃园民族“</w:t>
                      </w:r>
                      <w:r>
                        <w:rPr>
                          <w:rFonts w:ascii="宋体" w:hAnsi="宋体" w:eastAsia="宋体"/>
                          <w:spacing w:val="64"/>
                          <w:sz w:val="21"/>
                        </w:rPr>
                        <w:t xml:space="preserve"> </w:t>
                      </w:r>
                      <w:r>
                        <w:rPr>
                          <w:rFonts w:ascii="宋体" w:hAnsi="宋体" w:eastAsia="宋体"/>
                          <w:spacing w:val="22"/>
                          <w:w w:val="95"/>
                          <w:sz w:val="21"/>
                        </w:rPr>
                        <w:t>医养</w:t>
                      </w:r>
                      <w:r>
                        <w:rPr>
                          <w:rFonts w:ascii="宋体" w:hAnsi="宋体" w:eastAsia="宋体"/>
                          <w:spacing w:val="23"/>
                          <w:w w:val="95"/>
                          <w:sz w:val="21"/>
                        </w:rPr>
                        <w:t>结合</w:t>
                      </w:r>
                      <w:r>
                        <w:rPr>
                          <w:rFonts w:ascii="宋体" w:hAnsi="宋体" w:eastAsia="宋体"/>
                          <w:spacing w:val="19"/>
                          <w:w w:val="95"/>
                          <w:sz w:val="21"/>
                        </w:rPr>
                        <w:t>”颐养</w:t>
                      </w:r>
                      <w:r>
                        <w:rPr>
                          <w:rFonts w:ascii="宋体" w:hAnsi="宋体" w:eastAsia="宋体"/>
                          <w:spacing w:val="23"/>
                          <w:w w:val="95"/>
                          <w:sz w:val="21"/>
                        </w:rPr>
                        <w:t>中心</w:t>
                      </w:r>
                      <w:r>
                        <w:rPr>
                          <w:rFonts w:ascii="宋体" w:hAnsi="宋体" w:eastAsia="宋体"/>
                          <w:spacing w:val="21"/>
                          <w:w w:val="95"/>
                          <w:sz w:val="21"/>
                        </w:rPr>
                        <w:t>、宁夏</w:t>
                      </w:r>
                      <w:r>
                        <w:rPr>
                          <w:rFonts w:ascii="宋体" w:hAnsi="宋体" w:eastAsia="宋体"/>
                          <w:spacing w:val="23"/>
                          <w:w w:val="95"/>
                          <w:sz w:val="21"/>
                        </w:rPr>
                        <w:t>老年健</w:t>
                      </w:r>
                      <w:r>
                        <w:rPr>
                          <w:rFonts w:ascii="宋体" w:hAnsi="宋体" w:eastAsia="宋体"/>
                          <w:spacing w:val="21"/>
                          <w:w w:val="95"/>
                          <w:sz w:val="21"/>
                        </w:rPr>
                        <w:t>康</w:t>
                      </w:r>
                      <w:r>
                        <w:rPr>
                          <w:rFonts w:ascii="宋体" w:hAnsi="宋体" w:eastAsia="宋体"/>
                          <w:spacing w:val="23"/>
                          <w:w w:val="95"/>
                          <w:sz w:val="21"/>
                        </w:rPr>
                        <w:t>监控监</w:t>
                      </w:r>
                      <w:r>
                        <w:rPr>
                          <w:rFonts w:ascii="宋体" w:hAnsi="宋体" w:eastAsia="宋体"/>
                          <w:spacing w:val="21"/>
                          <w:w w:val="95"/>
                          <w:sz w:val="21"/>
                        </w:rPr>
                        <w:t>管</w:t>
                      </w:r>
                      <w:r>
                        <w:rPr>
                          <w:rFonts w:ascii="宋体" w:hAnsi="宋体" w:eastAsia="宋体"/>
                          <w:spacing w:val="23"/>
                          <w:w w:val="95"/>
                          <w:sz w:val="21"/>
                        </w:rPr>
                        <w:t>管理平台</w:t>
                      </w:r>
                      <w:r>
                        <w:rPr>
                          <w:rFonts w:ascii="宋体" w:hAnsi="宋体" w:eastAsia="宋体"/>
                          <w:w w:val="95"/>
                          <w:sz w:val="21"/>
                        </w:rPr>
                        <w:t>、</w:t>
                      </w:r>
                      <w:r>
                        <w:rPr>
                          <w:rFonts w:ascii="宋体" w:hAnsi="宋体" w:eastAsia="宋体"/>
                          <w:spacing w:val="24"/>
                          <w:sz w:val="21"/>
                        </w:rPr>
                        <w:t>医养</w:t>
                      </w:r>
                      <w:r>
                        <w:rPr>
                          <w:rFonts w:ascii="宋体" w:hAnsi="宋体" w:eastAsia="宋体"/>
                          <w:spacing w:val="23"/>
                          <w:sz w:val="21"/>
                        </w:rPr>
                        <w:t>综</w:t>
                      </w:r>
                      <w:r>
                        <w:rPr>
                          <w:rFonts w:ascii="宋体" w:hAnsi="宋体" w:eastAsia="宋体"/>
                          <w:spacing w:val="24"/>
                          <w:sz w:val="21"/>
                        </w:rPr>
                        <w:t>合一体化发</w:t>
                      </w:r>
                      <w:r>
                        <w:rPr>
                          <w:rFonts w:ascii="宋体" w:hAnsi="宋体" w:eastAsia="宋体"/>
                          <w:spacing w:val="23"/>
                          <w:sz w:val="21"/>
                        </w:rPr>
                        <w:t>展</w:t>
                      </w:r>
                      <w:r>
                        <w:rPr>
                          <w:rFonts w:ascii="宋体" w:hAnsi="宋体" w:eastAsia="宋体"/>
                          <w:spacing w:val="24"/>
                          <w:sz w:val="21"/>
                        </w:rPr>
                        <w:t>中心、自治</w:t>
                      </w:r>
                      <w:r>
                        <w:rPr>
                          <w:rFonts w:ascii="宋体" w:hAnsi="宋体" w:eastAsia="宋体"/>
                          <w:spacing w:val="23"/>
                          <w:sz w:val="21"/>
                        </w:rPr>
                        <w:t>区</w:t>
                      </w:r>
                      <w:r>
                        <w:rPr>
                          <w:rFonts w:ascii="宋体" w:hAnsi="宋体" w:eastAsia="宋体"/>
                          <w:spacing w:val="24"/>
                          <w:sz w:val="21"/>
                        </w:rPr>
                        <w:t>人民医院临</w:t>
                      </w:r>
                      <w:r>
                        <w:rPr>
                          <w:rFonts w:ascii="宋体" w:hAnsi="宋体" w:eastAsia="宋体"/>
                          <w:spacing w:val="23"/>
                          <w:sz w:val="21"/>
                        </w:rPr>
                        <w:t>床</w:t>
                      </w:r>
                      <w:r>
                        <w:rPr>
                          <w:rFonts w:ascii="宋体" w:hAnsi="宋体" w:eastAsia="宋体"/>
                          <w:spacing w:val="24"/>
                          <w:sz w:val="21"/>
                        </w:rPr>
                        <w:t>教学培训</w:t>
                      </w:r>
                      <w:r>
                        <w:rPr>
                          <w:rFonts w:ascii="宋体" w:hAnsi="宋体" w:eastAsia="宋体"/>
                          <w:spacing w:val="23"/>
                          <w:sz w:val="21"/>
                        </w:rPr>
                        <w:t>基</w:t>
                      </w:r>
                      <w:r>
                        <w:rPr>
                          <w:rFonts w:ascii="宋体" w:hAnsi="宋体" w:eastAsia="宋体"/>
                          <w:spacing w:val="24"/>
                          <w:sz w:val="21"/>
                        </w:rPr>
                        <w:t>地、桃园互</w:t>
                      </w:r>
                      <w:r>
                        <w:rPr>
                          <w:rFonts w:ascii="宋体" w:hAnsi="宋体" w:eastAsia="宋体"/>
                          <w:spacing w:val="23"/>
                          <w:sz w:val="21"/>
                        </w:rPr>
                        <w:t>联</w:t>
                      </w:r>
                      <w:r>
                        <w:rPr>
                          <w:rFonts w:ascii="宋体" w:hAnsi="宋体" w:eastAsia="宋体"/>
                          <w:spacing w:val="24"/>
                          <w:sz w:val="21"/>
                        </w:rPr>
                        <w:t>网医疗服务</w:t>
                      </w:r>
                      <w:r>
                        <w:rPr>
                          <w:rFonts w:ascii="宋体" w:hAnsi="宋体" w:eastAsia="宋体"/>
                          <w:sz w:val="21"/>
                        </w:rPr>
                        <w:t>平</w:t>
                      </w:r>
                      <w:r>
                        <w:rPr>
                          <w:rFonts w:ascii="宋体" w:hAnsi="宋体" w:eastAsia="宋体"/>
                          <w:spacing w:val="21"/>
                          <w:sz w:val="21"/>
                        </w:rPr>
                        <w:t>台、智慧健康养老应用试点示范等</w:t>
                      </w:r>
                      <w:r>
                        <w:rPr>
                          <w:rFonts w:ascii="宋体" w:hAnsi="宋体" w:eastAsia="宋体"/>
                          <w:spacing w:val="14"/>
                          <w:sz w:val="21"/>
                        </w:rPr>
                        <w:t>项目。</w:t>
                      </w:r>
                    </w:p>
                    <w:p w14:paraId="14D6EBE1">
                      <w:pPr>
                        <w:spacing w:line="355" w:lineRule="auto"/>
                        <w:ind w:left="102" w:right="116" w:firstLine="463"/>
                        <w:rPr>
                          <w:rFonts w:ascii="宋体" w:eastAsia="宋体"/>
                          <w:sz w:val="21"/>
                        </w:rPr>
                      </w:pPr>
                      <w:r>
                        <w:rPr>
                          <w:rFonts w:hint="eastAsia" w:ascii="宋体" w:eastAsia="宋体"/>
                          <w:b/>
                          <w:spacing w:val="26"/>
                          <w:w w:val="99"/>
                          <w:sz w:val="21"/>
                        </w:rPr>
                        <w:t>文化旅游业项目。</w:t>
                      </w:r>
                      <w:r>
                        <w:rPr>
                          <w:rFonts w:ascii="宋体" w:eastAsia="宋体"/>
                          <w:spacing w:val="23"/>
                          <w:w w:val="99"/>
                          <w:sz w:val="21"/>
                        </w:rPr>
                        <w:t>博物馆小镇、阅海公园提升、良田镇胭川湖一二三产融合旅游示</w:t>
                      </w:r>
                      <w:r>
                        <w:rPr>
                          <w:rFonts w:ascii="宋体" w:eastAsia="宋体"/>
                          <w:spacing w:val="20"/>
                          <w:w w:val="99"/>
                          <w:sz w:val="21"/>
                        </w:rPr>
                        <w:t>范区、阅海西岸国际旅游城、元宝湖文旅公园等项目。</w:t>
                      </w:r>
                    </w:p>
                    <w:p w14:paraId="1423D262">
                      <w:pPr>
                        <w:ind w:left="565"/>
                        <w:rPr>
                          <w:rFonts w:ascii="宋体" w:eastAsia="宋体"/>
                          <w:sz w:val="21"/>
                        </w:rPr>
                      </w:pPr>
                      <w:r>
                        <w:rPr>
                          <w:rFonts w:hint="eastAsia" w:ascii="宋体" w:eastAsia="宋体"/>
                          <w:b/>
                          <w:spacing w:val="26"/>
                          <w:w w:val="95"/>
                          <w:sz w:val="21"/>
                        </w:rPr>
                        <w:t>家政</w:t>
                      </w:r>
                      <w:r>
                        <w:rPr>
                          <w:rFonts w:hint="eastAsia" w:ascii="宋体" w:eastAsia="宋体"/>
                          <w:b/>
                          <w:spacing w:val="28"/>
                          <w:w w:val="95"/>
                          <w:sz w:val="21"/>
                        </w:rPr>
                        <w:t>服</w:t>
                      </w:r>
                      <w:r>
                        <w:rPr>
                          <w:rFonts w:hint="eastAsia" w:ascii="宋体" w:eastAsia="宋体"/>
                          <w:b/>
                          <w:spacing w:val="26"/>
                          <w:w w:val="95"/>
                          <w:sz w:val="21"/>
                        </w:rPr>
                        <w:t>务业项</w:t>
                      </w:r>
                      <w:r>
                        <w:rPr>
                          <w:rFonts w:hint="eastAsia" w:ascii="宋体" w:eastAsia="宋体"/>
                          <w:b/>
                          <w:spacing w:val="27"/>
                          <w:w w:val="95"/>
                          <w:sz w:val="21"/>
                        </w:rPr>
                        <w:t>目。</w:t>
                      </w:r>
                      <w:r>
                        <w:rPr>
                          <w:rFonts w:ascii="宋体" w:eastAsia="宋体"/>
                          <w:spacing w:val="26"/>
                          <w:w w:val="95"/>
                          <w:sz w:val="21"/>
                        </w:rPr>
                        <w:t>金凤家政</w:t>
                      </w:r>
                      <w:r>
                        <w:rPr>
                          <w:rFonts w:ascii="宋体" w:eastAsia="宋体"/>
                          <w:spacing w:val="23"/>
                          <w:w w:val="95"/>
                          <w:sz w:val="21"/>
                        </w:rPr>
                        <w:t>实</w:t>
                      </w:r>
                      <w:r>
                        <w:rPr>
                          <w:rFonts w:ascii="宋体" w:eastAsia="宋体"/>
                          <w:spacing w:val="26"/>
                          <w:w w:val="95"/>
                          <w:sz w:val="21"/>
                        </w:rPr>
                        <w:t>训基地、龙头企业</w:t>
                      </w:r>
                      <w:r>
                        <w:rPr>
                          <w:rFonts w:ascii="宋体" w:eastAsia="宋体"/>
                          <w:spacing w:val="25"/>
                          <w:w w:val="95"/>
                          <w:sz w:val="21"/>
                        </w:rPr>
                        <w:t>培育</w:t>
                      </w:r>
                      <w:r>
                        <w:rPr>
                          <w:rFonts w:ascii="宋体" w:eastAsia="宋体"/>
                          <w:spacing w:val="26"/>
                          <w:w w:val="95"/>
                          <w:sz w:val="21"/>
                        </w:rPr>
                        <w:t>、家政人才</w:t>
                      </w:r>
                      <w:r>
                        <w:rPr>
                          <w:rFonts w:ascii="宋体" w:eastAsia="宋体"/>
                          <w:spacing w:val="23"/>
                          <w:w w:val="95"/>
                          <w:sz w:val="21"/>
                        </w:rPr>
                        <w:t>培</w:t>
                      </w:r>
                      <w:r>
                        <w:rPr>
                          <w:rFonts w:ascii="宋体" w:eastAsia="宋体"/>
                          <w:spacing w:val="26"/>
                          <w:w w:val="95"/>
                          <w:sz w:val="21"/>
                        </w:rPr>
                        <w:t>育、家政员工</w:t>
                      </w:r>
                      <w:r>
                        <w:rPr>
                          <w:rFonts w:ascii="宋体" w:eastAsia="宋体"/>
                          <w:spacing w:val="-10"/>
                          <w:w w:val="95"/>
                          <w:sz w:val="21"/>
                        </w:rPr>
                        <w:t>制</w:t>
                      </w:r>
                    </w:p>
                    <w:p w14:paraId="3D4AC38E">
                      <w:pPr>
                        <w:spacing w:before="129"/>
                        <w:ind w:left="102"/>
                        <w:rPr>
                          <w:rFonts w:ascii="宋体" w:eastAsia="宋体"/>
                          <w:sz w:val="21"/>
                        </w:rPr>
                      </w:pPr>
                      <w:r>
                        <w:rPr>
                          <w:rFonts w:ascii="宋体" w:eastAsia="宋体"/>
                          <w:spacing w:val="22"/>
                          <w:w w:val="95"/>
                          <w:sz w:val="21"/>
                        </w:rPr>
                        <w:t>试点</w:t>
                      </w:r>
                      <w:r>
                        <w:rPr>
                          <w:rFonts w:ascii="宋体" w:eastAsia="宋体"/>
                          <w:spacing w:val="23"/>
                          <w:w w:val="95"/>
                          <w:sz w:val="21"/>
                        </w:rPr>
                        <w:t>、家</w:t>
                      </w:r>
                      <w:r>
                        <w:rPr>
                          <w:rFonts w:ascii="宋体" w:eastAsia="宋体"/>
                          <w:spacing w:val="21"/>
                          <w:w w:val="95"/>
                          <w:sz w:val="21"/>
                        </w:rPr>
                        <w:t>政</w:t>
                      </w:r>
                      <w:r>
                        <w:rPr>
                          <w:rFonts w:ascii="宋体" w:eastAsia="宋体"/>
                          <w:spacing w:val="23"/>
                          <w:w w:val="95"/>
                          <w:sz w:val="21"/>
                        </w:rPr>
                        <w:t>服务</w:t>
                      </w:r>
                      <w:r>
                        <w:rPr>
                          <w:rFonts w:ascii="宋体" w:eastAsia="宋体"/>
                          <w:spacing w:val="21"/>
                          <w:w w:val="95"/>
                          <w:sz w:val="21"/>
                        </w:rPr>
                        <w:t>进</w:t>
                      </w:r>
                      <w:r>
                        <w:rPr>
                          <w:rFonts w:ascii="宋体" w:eastAsia="宋体"/>
                          <w:spacing w:val="23"/>
                          <w:w w:val="95"/>
                          <w:sz w:val="21"/>
                        </w:rPr>
                        <w:t>社区、</w:t>
                      </w:r>
                      <w:r>
                        <w:rPr>
                          <w:rFonts w:ascii="宋体" w:eastAsia="宋体"/>
                          <w:spacing w:val="21"/>
                          <w:w w:val="95"/>
                          <w:sz w:val="21"/>
                        </w:rPr>
                        <w:t>家</w:t>
                      </w:r>
                      <w:r>
                        <w:rPr>
                          <w:rFonts w:ascii="宋体" w:eastAsia="宋体"/>
                          <w:spacing w:val="23"/>
                          <w:w w:val="95"/>
                          <w:sz w:val="21"/>
                        </w:rPr>
                        <w:t>庭服</w:t>
                      </w:r>
                      <w:r>
                        <w:rPr>
                          <w:rFonts w:ascii="宋体" w:eastAsia="宋体"/>
                          <w:spacing w:val="21"/>
                          <w:w w:val="95"/>
                          <w:sz w:val="21"/>
                        </w:rPr>
                        <w:t>务</w:t>
                      </w:r>
                      <w:r>
                        <w:rPr>
                          <w:rFonts w:ascii="宋体" w:eastAsia="宋体"/>
                          <w:spacing w:val="23"/>
                          <w:w w:val="95"/>
                          <w:sz w:val="21"/>
                        </w:rPr>
                        <w:t>业超</w:t>
                      </w:r>
                      <w:r>
                        <w:rPr>
                          <w:rFonts w:ascii="宋体" w:eastAsia="宋体"/>
                          <w:spacing w:val="21"/>
                          <w:w w:val="95"/>
                          <w:sz w:val="21"/>
                        </w:rPr>
                        <w:t>市</w:t>
                      </w:r>
                      <w:r>
                        <w:rPr>
                          <w:rFonts w:ascii="宋体" w:eastAsia="宋体"/>
                          <w:spacing w:val="23"/>
                          <w:w w:val="95"/>
                          <w:sz w:val="21"/>
                        </w:rPr>
                        <w:t>等项</w:t>
                      </w:r>
                      <w:r>
                        <w:rPr>
                          <w:rFonts w:ascii="宋体" w:eastAsia="宋体"/>
                          <w:spacing w:val="5"/>
                          <w:w w:val="95"/>
                          <w:sz w:val="21"/>
                        </w:rPr>
                        <w:t>目。</w:t>
                      </w:r>
                    </w:p>
                  </w:txbxContent>
                </v:textbox>
              </v:shape>
            </w:pict>
          </mc:Fallback>
        </mc:AlternateContent>
      </w:r>
      <w:r>
        <w:rPr>
          <w:spacing w:val="13"/>
          <w:w w:val="99"/>
          <w:sz w:val="32"/>
          <w:szCs w:val="32"/>
        </w:rPr>
        <w:t>持家政服务业与互联网深度融合，建立政府主管、企业主体、</w:t>
      </w:r>
      <w:r>
        <w:rPr>
          <w:spacing w:val="9"/>
          <w:w w:val="99"/>
          <w:sz w:val="32"/>
          <w:szCs w:val="32"/>
        </w:rPr>
        <w:t>第三方参与运营管理的综合性“互联网</w:t>
      </w:r>
      <w:r>
        <w:rPr>
          <w:rFonts w:ascii="Times New Roman" w:hAnsi="Times New Roman" w:eastAsia="Times New Roman"/>
          <w:spacing w:val="12"/>
          <w:w w:val="99"/>
          <w:sz w:val="32"/>
          <w:szCs w:val="32"/>
        </w:rPr>
        <w:t>+</w:t>
      </w:r>
      <w:r>
        <w:rPr>
          <w:spacing w:val="3"/>
          <w:w w:val="99"/>
          <w:sz w:val="32"/>
          <w:szCs w:val="32"/>
        </w:rPr>
        <w:t>家政服务”网络平台，</w:t>
      </w:r>
      <w:r>
        <w:rPr>
          <w:spacing w:val="20"/>
          <w:w w:val="99"/>
          <w:sz w:val="32"/>
          <w:szCs w:val="32"/>
        </w:rPr>
        <w:t>实现家政服务线上体验、线上预约、线下上门服务。将家政</w:t>
      </w:r>
      <w:r>
        <w:rPr>
          <w:spacing w:val="11"/>
          <w:w w:val="99"/>
          <w:sz w:val="32"/>
          <w:szCs w:val="32"/>
        </w:rPr>
        <w:t>服务纳入社区服务体系，支持家政企业与社区签订合作协议，</w:t>
      </w:r>
      <w:r>
        <w:rPr>
          <w:spacing w:val="18"/>
          <w:w w:val="99"/>
          <w:sz w:val="32"/>
          <w:szCs w:val="32"/>
        </w:rPr>
        <w:t>提高家政服务便捷度。</w:t>
      </w:r>
    </w:p>
    <w:p w14:paraId="7B5DA342">
      <w:pPr>
        <w:rPr>
          <w:sz w:val="20"/>
          <w:szCs w:val="32"/>
        </w:rPr>
      </w:pPr>
    </w:p>
    <w:p w14:paraId="524D0500">
      <w:pPr>
        <w:rPr>
          <w:sz w:val="20"/>
          <w:szCs w:val="32"/>
        </w:rPr>
      </w:pPr>
    </w:p>
    <w:p w14:paraId="6FC5ABBC">
      <w:pPr>
        <w:rPr>
          <w:sz w:val="20"/>
          <w:szCs w:val="32"/>
        </w:rPr>
      </w:pPr>
    </w:p>
    <w:p w14:paraId="0D5A4A3B">
      <w:pPr>
        <w:rPr>
          <w:sz w:val="20"/>
          <w:szCs w:val="32"/>
        </w:rPr>
      </w:pPr>
    </w:p>
    <w:p w14:paraId="5BDE6185">
      <w:pPr>
        <w:rPr>
          <w:sz w:val="20"/>
          <w:szCs w:val="32"/>
        </w:rPr>
      </w:pPr>
    </w:p>
    <w:p w14:paraId="7D500BF8">
      <w:pPr>
        <w:rPr>
          <w:sz w:val="20"/>
          <w:szCs w:val="32"/>
        </w:rPr>
      </w:pPr>
    </w:p>
    <w:p w14:paraId="02E83570">
      <w:pPr>
        <w:rPr>
          <w:sz w:val="20"/>
          <w:szCs w:val="32"/>
        </w:rPr>
      </w:pPr>
    </w:p>
    <w:p w14:paraId="2156C568">
      <w:pPr>
        <w:rPr>
          <w:sz w:val="20"/>
          <w:szCs w:val="32"/>
        </w:rPr>
      </w:pPr>
    </w:p>
    <w:p w14:paraId="18DFF7B5">
      <w:pPr>
        <w:rPr>
          <w:sz w:val="20"/>
          <w:szCs w:val="32"/>
        </w:rPr>
      </w:pPr>
    </w:p>
    <w:p w14:paraId="632EABD3">
      <w:pPr>
        <w:rPr>
          <w:sz w:val="20"/>
          <w:szCs w:val="32"/>
        </w:rPr>
      </w:pPr>
    </w:p>
    <w:p w14:paraId="1082AC06">
      <w:pPr>
        <w:rPr>
          <w:sz w:val="20"/>
          <w:szCs w:val="32"/>
        </w:rPr>
      </w:pPr>
    </w:p>
    <w:p w14:paraId="000E2B04">
      <w:pPr>
        <w:rPr>
          <w:sz w:val="20"/>
          <w:szCs w:val="32"/>
        </w:rPr>
      </w:pPr>
    </w:p>
    <w:p w14:paraId="3A94DAD9">
      <w:pPr>
        <w:rPr>
          <w:sz w:val="20"/>
          <w:szCs w:val="32"/>
        </w:rPr>
      </w:pPr>
    </w:p>
    <w:p w14:paraId="7B9C789E">
      <w:pPr>
        <w:rPr>
          <w:sz w:val="20"/>
          <w:szCs w:val="32"/>
        </w:rPr>
      </w:pPr>
    </w:p>
    <w:p w14:paraId="3CCC3F4F">
      <w:pPr>
        <w:rPr>
          <w:sz w:val="20"/>
          <w:szCs w:val="32"/>
        </w:rPr>
      </w:pPr>
    </w:p>
    <w:p w14:paraId="02A5818F">
      <w:pPr>
        <w:rPr>
          <w:sz w:val="20"/>
          <w:szCs w:val="32"/>
        </w:rPr>
      </w:pPr>
    </w:p>
    <w:p w14:paraId="226805D8">
      <w:pPr>
        <w:rPr>
          <w:sz w:val="20"/>
          <w:szCs w:val="32"/>
        </w:rPr>
      </w:pPr>
    </w:p>
    <w:p w14:paraId="0BB50079">
      <w:pPr>
        <w:rPr>
          <w:sz w:val="20"/>
          <w:szCs w:val="32"/>
        </w:rPr>
      </w:pPr>
    </w:p>
    <w:p w14:paraId="39DFD3A3">
      <w:pPr>
        <w:rPr>
          <w:sz w:val="20"/>
          <w:szCs w:val="32"/>
        </w:rPr>
      </w:pPr>
    </w:p>
    <w:p w14:paraId="5AC6D819">
      <w:pPr>
        <w:spacing w:before="5"/>
        <w:rPr>
          <w:sz w:val="26"/>
          <w:szCs w:val="32"/>
        </w:rPr>
      </w:pPr>
    </w:p>
    <w:p w14:paraId="195D26A7">
      <w:pPr>
        <w:spacing w:before="54"/>
        <w:ind w:left="797"/>
        <w:rPr>
          <w:rFonts w:ascii="黑体" w:eastAsia="黑体"/>
          <w:sz w:val="32"/>
          <w:szCs w:val="32"/>
        </w:rPr>
      </w:pPr>
      <w:r>
        <w:rPr>
          <w:rFonts w:ascii="黑体" w:eastAsia="黑体"/>
          <w:spacing w:val="18"/>
          <w:w w:val="95"/>
          <w:sz w:val="32"/>
          <w:szCs w:val="32"/>
        </w:rPr>
        <w:t>三、培育发展新型经济形态</w:t>
      </w:r>
    </w:p>
    <w:p w14:paraId="4700A18D">
      <w:pPr>
        <w:rPr>
          <w:rFonts w:ascii="黑体" w:eastAsia="黑体"/>
        </w:rPr>
        <w:sectPr>
          <w:pgSz w:w="11910" w:h="16840"/>
          <w:pgMar w:top="1800" w:right="1200" w:bottom="1160" w:left="1360" w:header="0" w:footer="975" w:gutter="0"/>
          <w:cols w:space="720" w:num="1"/>
        </w:sectPr>
      </w:pPr>
    </w:p>
    <w:p w14:paraId="1D3D0677">
      <w:pPr>
        <w:spacing w:before="28" w:line="338" w:lineRule="auto"/>
        <w:ind w:left="113" w:right="120" w:firstLine="684"/>
        <w:rPr>
          <w:sz w:val="32"/>
          <w:szCs w:val="32"/>
        </w:rPr>
      </w:pPr>
      <w:r>
        <w:rPr>
          <w:b/>
          <w:i/>
          <w:spacing w:val="20"/>
          <w:w w:val="99"/>
          <w:sz w:val="32"/>
          <w:szCs w:val="32"/>
        </w:rPr>
        <w:t>鼓励夜间经济。</w:t>
      </w:r>
      <w:r>
        <w:rPr>
          <w:spacing w:val="17"/>
          <w:w w:val="99"/>
          <w:sz w:val="32"/>
          <w:szCs w:val="32"/>
        </w:rPr>
        <w:t>持续开展“夜金凤</w:t>
      </w:r>
      <w:r>
        <w:rPr>
          <w:spacing w:val="-5"/>
          <w:w w:val="99"/>
          <w:sz w:val="32"/>
          <w:szCs w:val="32"/>
        </w:rPr>
        <w:t>·</w:t>
      </w:r>
      <w:r>
        <w:rPr>
          <w:spacing w:val="15"/>
          <w:w w:val="99"/>
          <w:sz w:val="32"/>
          <w:szCs w:val="32"/>
        </w:rPr>
        <w:t>悦生活”系列活动，</w:t>
      </w:r>
      <w:r>
        <w:rPr>
          <w:spacing w:val="24"/>
          <w:w w:val="99"/>
          <w:sz w:val="32"/>
          <w:szCs w:val="32"/>
        </w:rPr>
        <w:t>深入挖掘夜间经济潜力。</w:t>
      </w:r>
      <w:r>
        <w:rPr>
          <w:b/>
          <w:i/>
          <w:spacing w:val="25"/>
          <w:w w:val="99"/>
          <w:sz w:val="32"/>
          <w:szCs w:val="32"/>
        </w:rPr>
        <w:t>培育“夜食”品牌。</w:t>
      </w:r>
      <w:r>
        <w:rPr>
          <w:spacing w:val="20"/>
          <w:w w:val="99"/>
          <w:sz w:val="32"/>
          <w:szCs w:val="32"/>
        </w:rPr>
        <w:t>重点开发特色</w:t>
      </w:r>
      <w:r>
        <w:rPr>
          <w:spacing w:val="23"/>
          <w:w w:val="99"/>
          <w:sz w:val="32"/>
          <w:szCs w:val="32"/>
        </w:rPr>
        <w:t>小吃、旅游特色商品、农特产品，打造奶茶店、咖啡馆、酒</w:t>
      </w:r>
      <w:r>
        <w:rPr>
          <w:spacing w:val="24"/>
          <w:w w:val="99"/>
          <w:sz w:val="32"/>
          <w:szCs w:val="32"/>
        </w:rPr>
        <w:t>吧休闲餐饮街区，形成一批特色鲜明的夜市街区。</w:t>
      </w:r>
      <w:r>
        <w:rPr>
          <w:b/>
          <w:i/>
          <w:spacing w:val="19"/>
          <w:w w:val="99"/>
          <w:sz w:val="32"/>
          <w:szCs w:val="32"/>
        </w:rPr>
        <w:t>繁荣“夜</w:t>
      </w:r>
      <w:r>
        <w:rPr>
          <w:b/>
          <w:i/>
          <w:spacing w:val="26"/>
          <w:w w:val="99"/>
          <w:sz w:val="32"/>
          <w:szCs w:val="32"/>
        </w:rPr>
        <w:t>购”商圈。</w:t>
      </w:r>
      <w:r>
        <w:rPr>
          <w:spacing w:val="22"/>
          <w:w w:val="99"/>
          <w:sz w:val="32"/>
          <w:szCs w:val="32"/>
        </w:rPr>
        <w:t>鼓励大型商圈、特色街区适时延长营业时间，引</w:t>
      </w:r>
      <w:r>
        <w:rPr>
          <w:spacing w:val="19"/>
          <w:w w:val="99"/>
          <w:sz w:val="32"/>
          <w:szCs w:val="32"/>
        </w:rPr>
        <w:t>导大型品牌商业超市建设</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w w:val="99"/>
          <w:sz w:val="32"/>
          <w:szCs w:val="32"/>
        </w:rPr>
        <w:t>4</w:t>
      </w:r>
      <w:r>
        <w:rPr>
          <w:rFonts w:ascii="Times New Roman" w:hAnsi="Times New Roman" w:eastAsia="Times New Roman"/>
          <w:spacing w:val="19"/>
          <w:sz w:val="32"/>
          <w:szCs w:val="32"/>
        </w:rPr>
        <w:t xml:space="preserve"> </w:t>
      </w:r>
      <w:r>
        <w:rPr>
          <w:spacing w:val="10"/>
          <w:w w:val="99"/>
          <w:sz w:val="32"/>
          <w:szCs w:val="32"/>
        </w:rPr>
        <w:t>小时便利店、智慧无人超市，开</w:t>
      </w:r>
    </w:p>
    <w:p w14:paraId="492DCB03">
      <w:pPr>
        <w:spacing w:before="11" w:line="338" w:lineRule="auto"/>
        <w:ind w:left="113" w:right="122"/>
        <w:rPr>
          <w:sz w:val="32"/>
          <w:szCs w:val="32"/>
        </w:rPr>
      </w:pPr>
      <w:r>
        <w:rPr>
          <w:w w:val="99"/>
          <w:sz w:val="32"/>
          <w:szCs w:val="32"/>
        </w:rPr>
        <w:t>展</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w w:val="99"/>
          <w:sz w:val="32"/>
          <w:szCs w:val="32"/>
        </w:rPr>
        <w:t>4</w:t>
      </w:r>
      <w:r>
        <w:rPr>
          <w:rFonts w:ascii="Times New Roman" w:hAnsi="Times New Roman" w:eastAsia="Times New Roman"/>
          <w:spacing w:val="19"/>
          <w:sz w:val="32"/>
          <w:szCs w:val="32"/>
        </w:rPr>
        <w:t xml:space="preserve"> </w:t>
      </w:r>
      <w:r>
        <w:rPr>
          <w:spacing w:val="3"/>
          <w:w w:val="99"/>
          <w:sz w:val="32"/>
          <w:szCs w:val="32"/>
        </w:rPr>
        <w:t>小时不打烊、夜间专属折扣、夜间加倍积分等促销活动，</w:t>
      </w:r>
      <w:r>
        <w:rPr>
          <w:spacing w:val="23"/>
          <w:w w:val="99"/>
          <w:sz w:val="32"/>
          <w:szCs w:val="32"/>
        </w:rPr>
        <w:t>推行深夜购物、体验式购物、嘉年华等各种形式的夜间时尚</w:t>
      </w:r>
      <w:r>
        <w:rPr>
          <w:spacing w:val="24"/>
          <w:w w:val="99"/>
          <w:sz w:val="32"/>
          <w:szCs w:val="32"/>
        </w:rPr>
        <w:t>消费体验活动，刺激拉动购物消费。</w:t>
      </w:r>
      <w:r>
        <w:rPr>
          <w:b/>
          <w:i/>
          <w:spacing w:val="25"/>
          <w:w w:val="99"/>
          <w:sz w:val="32"/>
          <w:szCs w:val="32"/>
        </w:rPr>
        <w:t>增强“夜游”体验</w:t>
      </w:r>
      <w:r>
        <w:rPr>
          <w:spacing w:val="13"/>
          <w:w w:val="99"/>
          <w:sz w:val="32"/>
          <w:szCs w:val="32"/>
        </w:rPr>
        <w:t>。依</w:t>
      </w:r>
      <w:r>
        <w:rPr>
          <w:spacing w:val="23"/>
          <w:w w:val="99"/>
          <w:sz w:val="32"/>
          <w:szCs w:val="32"/>
        </w:rPr>
        <w:t>托“塞上湖城”风景特色，拓展“夜游银川”水幕秀展演内</w:t>
      </w:r>
      <w:r>
        <w:rPr>
          <w:spacing w:val="-7"/>
          <w:w w:val="99"/>
          <w:sz w:val="32"/>
          <w:szCs w:val="32"/>
        </w:rPr>
        <w:t>容;以打造“夜凤城”为主题，根据季节特点推出“河岸夜游”、</w:t>
      </w:r>
      <w:r>
        <w:rPr>
          <w:spacing w:val="23"/>
          <w:w w:val="99"/>
          <w:sz w:val="32"/>
          <w:szCs w:val="32"/>
        </w:rPr>
        <w:t>夜宿博物馆、深夜书店等多元化夜游项目；加大对夜游灯光等设备及配套基础设施投入，支持景区通过夜景打造、旅游</w:t>
      </w:r>
      <w:r>
        <w:rPr>
          <w:spacing w:val="24"/>
          <w:w w:val="99"/>
          <w:sz w:val="32"/>
          <w:szCs w:val="32"/>
        </w:rPr>
        <w:t>演艺等特色活动，提升夜游体验。</w:t>
      </w:r>
      <w:r>
        <w:rPr>
          <w:b/>
          <w:i/>
          <w:spacing w:val="20"/>
          <w:w w:val="99"/>
          <w:sz w:val="32"/>
          <w:szCs w:val="32"/>
        </w:rPr>
        <w:t>打造“夜娱”</w:t>
      </w:r>
      <w:r>
        <w:rPr>
          <w:b/>
          <w:i/>
          <w:spacing w:val="-133"/>
          <w:sz w:val="32"/>
          <w:szCs w:val="32"/>
        </w:rPr>
        <w:t xml:space="preserve"> </w:t>
      </w:r>
      <w:r>
        <w:rPr>
          <w:b/>
          <w:i/>
          <w:spacing w:val="25"/>
          <w:w w:val="99"/>
          <w:sz w:val="32"/>
          <w:szCs w:val="32"/>
        </w:rPr>
        <w:t>特色。</w:t>
      </w:r>
      <w:r>
        <w:rPr>
          <w:spacing w:val="12"/>
          <w:w w:val="99"/>
          <w:sz w:val="32"/>
          <w:szCs w:val="32"/>
        </w:rPr>
        <w:t>鼓励</w:t>
      </w:r>
      <w:r>
        <w:rPr>
          <w:spacing w:val="10"/>
          <w:w w:val="99"/>
          <w:sz w:val="32"/>
          <w:szCs w:val="32"/>
        </w:rPr>
        <w:t>引进培育沉浸式话剧、音乐剧、歌舞剧等夜间文化艺术项目，</w:t>
      </w:r>
      <w:r>
        <w:rPr>
          <w:spacing w:val="23"/>
          <w:w w:val="99"/>
          <w:sz w:val="32"/>
          <w:szCs w:val="32"/>
        </w:rPr>
        <w:t>大力推动文化演艺进景区；鼓励各类文化休闲娱乐场所组织各种音乐晚会、演唱会，利用网红和粉丝效应吸引年轻人夜</w:t>
      </w:r>
      <w:r>
        <w:rPr>
          <w:spacing w:val="24"/>
          <w:w w:val="99"/>
          <w:sz w:val="32"/>
          <w:szCs w:val="32"/>
        </w:rPr>
        <w:t>间消费。</w:t>
      </w:r>
      <w:r>
        <w:rPr>
          <w:b/>
          <w:i/>
          <w:spacing w:val="20"/>
          <w:w w:val="99"/>
          <w:sz w:val="32"/>
          <w:szCs w:val="32"/>
        </w:rPr>
        <w:t>提升“夜宿”</w:t>
      </w:r>
      <w:r>
        <w:rPr>
          <w:b/>
          <w:i/>
          <w:spacing w:val="-133"/>
          <w:sz w:val="32"/>
          <w:szCs w:val="32"/>
        </w:rPr>
        <w:t xml:space="preserve"> </w:t>
      </w:r>
      <w:r>
        <w:rPr>
          <w:b/>
          <w:i/>
          <w:spacing w:val="25"/>
          <w:w w:val="99"/>
          <w:sz w:val="32"/>
          <w:szCs w:val="32"/>
        </w:rPr>
        <w:t>品质。</w:t>
      </w:r>
      <w:r>
        <w:rPr>
          <w:spacing w:val="22"/>
          <w:w w:val="99"/>
          <w:sz w:val="32"/>
          <w:szCs w:val="32"/>
        </w:rPr>
        <w:t>支持主题酒店、特色民宿、精</w:t>
      </w:r>
      <w:r>
        <w:rPr>
          <w:spacing w:val="23"/>
          <w:w w:val="99"/>
          <w:sz w:val="32"/>
          <w:szCs w:val="32"/>
        </w:rPr>
        <w:t>品度假酒店、房车露营地等特色主题酒店建设，形成结构完</w:t>
      </w:r>
      <w:r>
        <w:rPr>
          <w:spacing w:val="19"/>
          <w:w w:val="99"/>
          <w:sz w:val="32"/>
          <w:szCs w:val="32"/>
        </w:rPr>
        <w:t>善、主题多元、特色鲜明的旅游住宿体系。</w:t>
      </w:r>
    </w:p>
    <w:p w14:paraId="7CD20C60">
      <w:pPr>
        <w:spacing w:before="26" w:line="340" w:lineRule="auto"/>
        <w:ind w:left="113" w:right="126" w:firstLine="684"/>
        <w:rPr>
          <w:sz w:val="32"/>
          <w:szCs w:val="32"/>
        </w:rPr>
      </w:pPr>
      <w:r>
        <w:rPr>
          <w:b/>
          <w:i/>
          <w:spacing w:val="12"/>
          <w:w w:val="99"/>
          <w:sz w:val="32"/>
          <w:szCs w:val="32"/>
        </w:rPr>
        <w:t>发展平台经济。建设平台经济载体。</w:t>
      </w:r>
      <w:r>
        <w:rPr>
          <w:spacing w:val="12"/>
          <w:w w:val="99"/>
          <w:sz w:val="32"/>
          <w:szCs w:val="32"/>
        </w:rPr>
        <w:t>鼓励</w:t>
      </w:r>
      <w:r>
        <w:rPr>
          <w:spacing w:val="-52"/>
          <w:sz w:val="32"/>
          <w:szCs w:val="32"/>
        </w:rPr>
        <w:t xml:space="preserve"> </w:t>
      </w:r>
      <w:r>
        <w:rPr>
          <w:rFonts w:ascii="Times New Roman" w:hAnsi="Times New Roman" w:eastAsia="Times New Roman"/>
          <w:spacing w:val="8"/>
          <w:w w:val="99"/>
          <w:sz w:val="32"/>
          <w:szCs w:val="32"/>
        </w:rPr>
        <w:t>5</w:t>
      </w:r>
      <w:r>
        <w:rPr>
          <w:rFonts w:ascii="Times New Roman" w:hAnsi="Times New Roman" w:eastAsia="Times New Roman"/>
          <w:w w:val="99"/>
          <w:sz w:val="32"/>
          <w:szCs w:val="32"/>
        </w:rPr>
        <w:t>8</w:t>
      </w:r>
      <w:r>
        <w:rPr>
          <w:rFonts w:ascii="Times New Roman" w:hAnsi="Times New Roman" w:eastAsia="Times New Roman"/>
          <w:spacing w:val="19"/>
          <w:sz w:val="32"/>
          <w:szCs w:val="32"/>
        </w:rPr>
        <w:t xml:space="preserve"> </w:t>
      </w:r>
      <w:r>
        <w:rPr>
          <w:spacing w:val="16"/>
          <w:w w:val="99"/>
          <w:sz w:val="32"/>
          <w:szCs w:val="32"/>
        </w:rPr>
        <w:t>科创等平台</w:t>
      </w:r>
      <w:r>
        <w:rPr>
          <w:spacing w:val="9"/>
          <w:w w:val="99"/>
          <w:sz w:val="32"/>
          <w:szCs w:val="32"/>
        </w:rPr>
        <w:t>企业发展，拓展“互联网+金融”“互联网+制造业”等业务，</w:t>
      </w:r>
      <w:r>
        <w:rPr>
          <w:spacing w:val="23"/>
          <w:w w:val="99"/>
          <w:sz w:val="32"/>
          <w:szCs w:val="32"/>
        </w:rPr>
        <w:t>在细分领域和行业解决方案方面形成特色，服务实体经济。</w:t>
      </w:r>
    </w:p>
    <w:p w14:paraId="4B46907A">
      <w:pPr>
        <w:spacing w:line="340" w:lineRule="auto"/>
        <w:sectPr>
          <w:pgSz w:w="11910" w:h="16840"/>
          <w:pgMar w:top="1800" w:right="1200" w:bottom="1160" w:left="1360" w:header="0" w:footer="975" w:gutter="0"/>
          <w:cols w:space="720" w:num="1"/>
        </w:sectPr>
      </w:pPr>
    </w:p>
    <w:p w14:paraId="0BC71C17">
      <w:pPr>
        <w:spacing w:before="28" w:line="338" w:lineRule="auto"/>
        <w:ind w:left="113" w:right="122"/>
        <w:rPr>
          <w:sz w:val="32"/>
          <w:szCs w:val="32"/>
        </w:rPr>
      </w:pPr>
      <w:r>
        <w:rPr>
          <w:spacing w:val="24"/>
          <w:sz w:val="32"/>
          <w:szCs w:val="32"/>
        </w:rPr>
        <w:t>支持和君纵达、墨叽科技等企业跨地区、跨行业</w:t>
      </w:r>
      <w:r>
        <w:rPr>
          <w:spacing w:val="19"/>
          <w:sz w:val="32"/>
          <w:szCs w:val="32"/>
        </w:rPr>
        <w:t>整合资源，</w:t>
      </w:r>
      <w:r>
        <w:rPr>
          <w:spacing w:val="24"/>
          <w:sz w:val="32"/>
          <w:szCs w:val="32"/>
        </w:rPr>
        <w:t>加快引进培育一批具有行业带动力和区域影响力的龙</w:t>
      </w:r>
      <w:r>
        <w:rPr>
          <w:spacing w:val="15"/>
          <w:sz w:val="32"/>
          <w:szCs w:val="32"/>
        </w:rPr>
        <w:t>头型平</w:t>
      </w:r>
      <w:r>
        <w:rPr>
          <w:spacing w:val="24"/>
          <w:sz w:val="32"/>
          <w:szCs w:val="32"/>
        </w:rPr>
        <w:t>台企业。</w:t>
      </w:r>
      <w:r>
        <w:rPr>
          <w:b/>
          <w:i/>
          <w:spacing w:val="24"/>
          <w:sz w:val="32"/>
          <w:szCs w:val="32"/>
        </w:rPr>
        <w:t>聚合平台经济要素。</w:t>
      </w:r>
      <w:r>
        <w:rPr>
          <w:spacing w:val="24"/>
          <w:sz w:val="32"/>
          <w:szCs w:val="32"/>
        </w:rPr>
        <w:t>结合阅海湾中央商务区（</w:t>
      </w:r>
      <w:r>
        <w:rPr>
          <w:spacing w:val="12"/>
          <w:sz w:val="32"/>
          <w:szCs w:val="32"/>
        </w:rPr>
        <w:t>丝路</w:t>
      </w:r>
      <w:r>
        <w:rPr>
          <w:spacing w:val="22"/>
          <w:sz w:val="32"/>
          <w:szCs w:val="32"/>
        </w:rPr>
        <w:t>经济园</w:t>
      </w:r>
      <w:r>
        <w:rPr>
          <w:spacing w:val="-115"/>
          <w:sz w:val="32"/>
          <w:szCs w:val="32"/>
        </w:rPr>
        <w:t>）</w:t>
      </w:r>
      <w:r>
        <w:rPr>
          <w:spacing w:val="-113"/>
          <w:sz w:val="32"/>
          <w:szCs w:val="32"/>
        </w:rPr>
        <w:t>、</w:t>
      </w:r>
      <w:r>
        <w:rPr>
          <w:rFonts w:ascii="Times New Roman" w:eastAsia="Times New Roman"/>
          <w:sz w:val="32"/>
          <w:szCs w:val="32"/>
        </w:rPr>
        <w:t>iBi</w:t>
      </w:r>
      <w:r>
        <w:rPr>
          <w:rFonts w:ascii="Times New Roman" w:eastAsia="Times New Roman"/>
          <w:spacing w:val="-11"/>
          <w:sz w:val="32"/>
          <w:szCs w:val="32"/>
        </w:rPr>
        <w:t xml:space="preserve"> </w:t>
      </w:r>
      <w:r>
        <w:rPr>
          <w:spacing w:val="21"/>
          <w:sz w:val="32"/>
          <w:szCs w:val="32"/>
        </w:rPr>
        <w:t>育成中心等重点区域和</w:t>
      </w:r>
      <w:r>
        <w:rPr>
          <w:spacing w:val="24"/>
          <w:sz w:val="32"/>
          <w:szCs w:val="32"/>
        </w:rPr>
        <w:t>重点</w:t>
      </w:r>
      <w:r>
        <w:rPr>
          <w:spacing w:val="18"/>
          <w:sz w:val="32"/>
          <w:szCs w:val="32"/>
        </w:rPr>
        <w:t>领域专业平台建设，</w:t>
      </w:r>
      <w:r>
        <w:rPr>
          <w:spacing w:val="24"/>
          <w:sz w:val="32"/>
          <w:szCs w:val="32"/>
        </w:rPr>
        <w:t>发挥政策引导激励作用，打造一批具有较强研发</w:t>
      </w:r>
      <w:r>
        <w:rPr>
          <w:spacing w:val="19"/>
          <w:sz w:val="32"/>
          <w:szCs w:val="32"/>
        </w:rPr>
        <w:t>设计、融资</w:t>
      </w:r>
      <w:r>
        <w:rPr>
          <w:spacing w:val="24"/>
          <w:sz w:val="32"/>
          <w:szCs w:val="32"/>
        </w:rPr>
        <w:t>担保、人才培训、孵化培育等公共服务功能的平</w:t>
      </w:r>
      <w:r>
        <w:rPr>
          <w:spacing w:val="19"/>
          <w:sz w:val="32"/>
          <w:szCs w:val="32"/>
        </w:rPr>
        <w:t>台经济集聚</w:t>
      </w:r>
      <w:r>
        <w:rPr>
          <w:spacing w:val="5"/>
          <w:sz w:val="32"/>
          <w:szCs w:val="32"/>
        </w:rPr>
        <w:t>区。</w:t>
      </w:r>
    </w:p>
    <w:p w14:paraId="708D4876">
      <w:pPr>
        <w:spacing w:before="14" w:line="338" w:lineRule="auto"/>
        <w:ind w:left="113" w:right="126" w:firstLine="684"/>
        <w:rPr>
          <w:sz w:val="32"/>
          <w:szCs w:val="32"/>
        </w:rPr>
      </w:pPr>
      <w:r>
        <w:rPr>
          <w:b/>
          <w:i/>
          <w:spacing w:val="22"/>
          <w:w w:val="95"/>
          <w:sz w:val="32"/>
          <w:szCs w:val="32"/>
        </w:rPr>
        <w:t>倡导共享经济</w:t>
      </w:r>
      <w:r>
        <w:rPr>
          <w:b/>
          <w:i/>
          <w:w w:val="95"/>
          <w:sz w:val="32"/>
          <w:szCs w:val="32"/>
        </w:rPr>
        <w:t>。</w:t>
      </w:r>
      <w:r>
        <w:rPr>
          <w:b/>
          <w:i/>
          <w:spacing w:val="22"/>
          <w:w w:val="95"/>
          <w:sz w:val="32"/>
          <w:szCs w:val="32"/>
        </w:rPr>
        <w:t>搭建共享产业平台</w:t>
      </w:r>
      <w:r>
        <w:rPr>
          <w:b/>
          <w:i/>
          <w:w w:val="95"/>
          <w:sz w:val="32"/>
          <w:szCs w:val="32"/>
        </w:rPr>
        <w:t>。</w:t>
      </w:r>
      <w:r>
        <w:rPr>
          <w:spacing w:val="18"/>
          <w:w w:val="95"/>
          <w:sz w:val="32"/>
          <w:szCs w:val="32"/>
        </w:rPr>
        <w:t>依托服务业集聚区、</w:t>
      </w:r>
      <w:r>
        <w:rPr>
          <w:spacing w:val="20"/>
          <w:sz w:val="32"/>
          <w:szCs w:val="32"/>
        </w:rPr>
        <w:t>旅游景区、农业园区等服务业平台，探索建设一批服务业共享经济发展产业平台。盘活辖区工业企业闲置厂房资源，鼓励第三方共享平台企业，以轻资产方式整合调动闲置产能，建设提升一批制造业与服务业融合发展的共享经济发展产业</w:t>
      </w:r>
      <w:r>
        <w:rPr>
          <w:spacing w:val="21"/>
          <w:sz w:val="32"/>
          <w:szCs w:val="32"/>
        </w:rPr>
        <w:t>平</w:t>
      </w:r>
      <w:r>
        <w:rPr>
          <w:spacing w:val="22"/>
          <w:sz w:val="32"/>
          <w:szCs w:val="32"/>
        </w:rPr>
        <w:t>台。</w:t>
      </w:r>
      <w:r>
        <w:rPr>
          <w:b/>
          <w:i/>
          <w:spacing w:val="22"/>
          <w:sz w:val="32"/>
          <w:szCs w:val="32"/>
        </w:rPr>
        <w:t>鼓励公共资源共享。</w:t>
      </w:r>
      <w:r>
        <w:rPr>
          <w:spacing w:val="19"/>
          <w:sz w:val="32"/>
          <w:szCs w:val="32"/>
        </w:rPr>
        <w:t>发挥猪八戒网等共享平台企业优</w:t>
      </w:r>
      <w:r>
        <w:rPr>
          <w:spacing w:val="20"/>
          <w:sz w:val="32"/>
          <w:szCs w:val="32"/>
        </w:rPr>
        <w:t>势，推广共享办公、共享社区等业态，鼓励写字楼、园区、大企业、机关单位利用闲置和低效办公资源自建或与专业共</w:t>
      </w:r>
      <w:r>
        <w:rPr>
          <w:spacing w:val="21"/>
          <w:sz w:val="32"/>
          <w:szCs w:val="32"/>
        </w:rPr>
        <w:t>享办公平台共建共享办公空间。</w:t>
      </w:r>
      <w:r>
        <w:rPr>
          <w:b/>
          <w:i/>
          <w:spacing w:val="22"/>
          <w:sz w:val="32"/>
          <w:szCs w:val="32"/>
        </w:rPr>
        <w:t>加快生活服务共享。</w:t>
      </w:r>
      <w:r>
        <w:rPr>
          <w:spacing w:val="14"/>
          <w:sz w:val="32"/>
          <w:szCs w:val="32"/>
        </w:rPr>
        <w:t>推动交</w:t>
      </w:r>
      <w:r>
        <w:rPr>
          <w:spacing w:val="20"/>
          <w:sz w:val="32"/>
          <w:szCs w:val="32"/>
        </w:rPr>
        <w:t>通流共享，促进网络预约出租汽车、互联网租赁自行车规范</w:t>
      </w:r>
      <w:r>
        <w:rPr>
          <w:spacing w:val="21"/>
          <w:sz w:val="32"/>
          <w:szCs w:val="32"/>
        </w:rPr>
        <w:t>发展，加快服务网点布局和充电设施建</w:t>
      </w:r>
      <w:r>
        <w:rPr>
          <w:spacing w:val="22"/>
          <w:sz w:val="32"/>
          <w:szCs w:val="32"/>
        </w:rPr>
        <w:t>设</w:t>
      </w:r>
      <w:r>
        <w:rPr>
          <w:spacing w:val="18"/>
          <w:sz w:val="32"/>
          <w:szCs w:val="32"/>
        </w:rPr>
        <w:t>，支持新能源车企</w:t>
      </w:r>
      <w:r>
        <w:rPr>
          <w:spacing w:val="20"/>
          <w:sz w:val="32"/>
          <w:szCs w:val="32"/>
        </w:rPr>
        <w:t>开展分时租赁业务。鼓励建设家政服务信息共享平台，推进</w:t>
      </w:r>
      <w:r>
        <w:rPr>
          <w:spacing w:val="21"/>
          <w:sz w:val="32"/>
          <w:szCs w:val="32"/>
        </w:rPr>
        <w:t>家政服务共</w:t>
      </w:r>
      <w:r>
        <w:rPr>
          <w:spacing w:val="22"/>
          <w:sz w:val="32"/>
          <w:szCs w:val="32"/>
        </w:rPr>
        <w:t>享。</w:t>
      </w:r>
      <w:r>
        <w:rPr>
          <w:spacing w:val="19"/>
          <w:sz w:val="32"/>
          <w:szCs w:val="32"/>
        </w:rPr>
        <w:t>鼓励重点医疗、教育机构与互联网企业合作</w:t>
      </w:r>
      <w:r>
        <w:rPr>
          <w:spacing w:val="20"/>
          <w:sz w:val="32"/>
          <w:szCs w:val="32"/>
        </w:rPr>
        <w:t>建设医疗、教育服务共享平台，有序开放共享医疗、教育资</w:t>
      </w:r>
      <w:r>
        <w:rPr>
          <w:spacing w:val="21"/>
          <w:sz w:val="32"/>
          <w:szCs w:val="32"/>
        </w:rPr>
        <w:t>源。</w:t>
      </w:r>
      <w:r>
        <w:rPr>
          <w:b/>
          <w:i/>
          <w:spacing w:val="22"/>
          <w:sz w:val="32"/>
          <w:szCs w:val="32"/>
        </w:rPr>
        <w:t>推动全域旅游共享。</w:t>
      </w:r>
      <w:r>
        <w:rPr>
          <w:spacing w:val="19"/>
          <w:sz w:val="32"/>
          <w:szCs w:val="32"/>
        </w:rPr>
        <w:t>鼓励互联网企业建设旅游资源共享</w:t>
      </w:r>
      <w:r>
        <w:rPr>
          <w:spacing w:val="14"/>
          <w:w w:val="95"/>
          <w:sz w:val="32"/>
          <w:szCs w:val="32"/>
        </w:rPr>
        <w:t>平台，实现区域旅游资源有机整合共享。大力发展乡村旅游，</w:t>
      </w:r>
    </w:p>
    <w:p w14:paraId="25A804A6">
      <w:pPr>
        <w:spacing w:before="28" w:line="340" w:lineRule="auto"/>
        <w:ind w:left="133" w:right="342"/>
        <w:rPr>
          <w:sz w:val="32"/>
          <w:szCs w:val="32"/>
        </w:rPr>
      </w:pPr>
      <w:r>
        <w:rPr>
          <w:spacing w:val="20"/>
          <w:w w:val="99"/>
          <w:sz w:val="32"/>
          <w:szCs w:val="32"/>
        </w:rPr>
        <w:t>盘活农村闲置资源，鼓励采用闲置农房激活、农屋共享等模</w:t>
      </w:r>
      <w:r>
        <w:rPr>
          <w:spacing w:val="19"/>
          <w:w w:val="99"/>
          <w:sz w:val="32"/>
          <w:szCs w:val="32"/>
        </w:rPr>
        <w:t>式，实现民宿、客栈、房车等资源共享。</w:t>
      </w:r>
    </w:p>
    <w:p w14:paraId="39C70A7B">
      <w:pPr>
        <w:spacing w:line="338" w:lineRule="auto"/>
        <w:ind w:left="133" w:right="106" w:firstLine="684"/>
        <w:rPr>
          <w:sz w:val="32"/>
          <w:szCs w:val="32"/>
        </w:rPr>
      </w:pPr>
      <w:r>
        <w:rPr>
          <w:b/>
          <w:spacing w:val="24"/>
          <w:w w:val="99"/>
          <w:sz w:val="32"/>
          <w:szCs w:val="32"/>
        </w:rPr>
        <w:t>探索体验经济。培育体验经济新模式。</w:t>
      </w:r>
      <w:r>
        <w:rPr>
          <w:spacing w:val="18"/>
          <w:w w:val="99"/>
          <w:sz w:val="32"/>
          <w:szCs w:val="32"/>
        </w:rPr>
        <w:t>支持体验元素融</w:t>
      </w:r>
      <w:r>
        <w:rPr>
          <w:spacing w:val="20"/>
          <w:w w:val="99"/>
          <w:sz w:val="32"/>
          <w:szCs w:val="32"/>
        </w:rPr>
        <w:t>入现代农业发展，培育壮大农业科技研发、教育培训、观光旅游、休闲度假、餐饮娱乐、农事体验等服务业。鼓励有条</w:t>
      </w:r>
      <w:r>
        <w:rPr>
          <w:spacing w:val="10"/>
          <w:w w:val="99"/>
          <w:sz w:val="32"/>
          <w:szCs w:val="32"/>
        </w:rPr>
        <w:t>件的企业，挖掘生产、制造、流通、研发等各环节体验价值，</w:t>
      </w:r>
      <w:r>
        <w:rPr>
          <w:spacing w:val="20"/>
          <w:w w:val="99"/>
          <w:sz w:val="32"/>
          <w:szCs w:val="32"/>
        </w:rPr>
        <w:t>搭建创新设计平台、网络营销平台，建设线下品牌集成体验店，发展体验式营销。支持大型商贸企业利用虚拟现实等新</w:t>
      </w:r>
      <w:r>
        <w:rPr>
          <w:spacing w:val="21"/>
          <w:w w:val="99"/>
          <w:sz w:val="32"/>
          <w:szCs w:val="32"/>
        </w:rPr>
        <w:t>技术，发展线上线下新型体验服务。</w:t>
      </w:r>
      <w:r>
        <w:rPr>
          <w:b/>
          <w:spacing w:val="21"/>
          <w:w w:val="99"/>
          <w:sz w:val="32"/>
          <w:szCs w:val="32"/>
        </w:rPr>
        <w:t>大力发展体验式消费。</w:t>
      </w:r>
      <w:r>
        <w:rPr>
          <w:spacing w:val="20"/>
          <w:w w:val="99"/>
          <w:sz w:val="32"/>
          <w:szCs w:val="32"/>
        </w:rPr>
        <w:t>引导有条件的企业利用现有商业设施改造发展消费体验示范中心，合理布局购物、餐饮、休闲、娱乐、文化、培训、健身、保健等体验式消费业态，增强实体店体验式、全程式服</w:t>
      </w:r>
      <w:r>
        <w:rPr>
          <w:spacing w:val="15"/>
          <w:w w:val="99"/>
          <w:sz w:val="32"/>
          <w:szCs w:val="32"/>
        </w:rPr>
        <w:t>务能力。</w:t>
      </w:r>
    </w:p>
    <w:p w14:paraId="23E9D0AD">
      <w:pPr>
        <w:spacing w:before="156"/>
        <w:ind w:left="2538" w:right="2679"/>
        <w:jc w:val="center"/>
        <w:outlineLvl w:val="0"/>
        <w:rPr>
          <w:rFonts w:ascii="宋体" w:hAnsi="宋体" w:eastAsia="宋体" w:cs="宋体"/>
          <w:b/>
          <w:bCs/>
          <w:sz w:val="32"/>
          <w:szCs w:val="32"/>
        </w:rPr>
      </w:pPr>
      <w:r>
        <w:rPr>
          <w:rFonts w:ascii="宋体" w:hAnsi="宋体" w:eastAsia="宋体" w:cs="宋体"/>
          <w:b/>
          <w:bCs/>
          <w:spacing w:val="24"/>
          <w:sz w:val="32"/>
          <w:szCs w:val="32"/>
        </w:rPr>
        <w:t>第二</w:t>
      </w:r>
      <w:r>
        <w:rPr>
          <w:rFonts w:ascii="宋体" w:hAnsi="宋体" w:eastAsia="宋体" w:cs="宋体"/>
          <w:b/>
          <w:bCs/>
          <w:spacing w:val="72"/>
          <w:sz w:val="32"/>
          <w:szCs w:val="32"/>
        </w:rPr>
        <w:t>节 推</w:t>
      </w:r>
      <w:r>
        <w:rPr>
          <w:rFonts w:ascii="宋体" w:hAnsi="宋体" w:eastAsia="宋体" w:cs="宋体"/>
          <w:b/>
          <w:bCs/>
          <w:spacing w:val="24"/>
          <w:sz w:val="32"/>
          <w:szCs w:val="32"/>
        </w:rPr>
        <w:t>动工业转型升</w:t>
      </w:r>
      <w:r>
        <w:rPr>
          <w:rFonts w:ascii="宋体" w:hAnsi="宋体" w:eastAsia="宋体" w:cs="宋体"/>
          <w:b/>
          <w:bCs/>
          <w:spacing w:val="-10"/>
          <w:sz w:val="32"/>
          <w:szCs w:val="32"/>
        </w:rPr>
        <w:t>级</w:t>
      </w:r>
    </w:p>
    <w:p w14:paraId="5BF734F8">
      <w:pPr>
        <w:spacing w:before="1"/>
        <w:rPr>
          <w:rFonts w:ascii="宋体"/>
          <w:b/>
          <w:sz w:val="25"/>
          <w:szCs w:val="32"/>
        </w:rPr>
      </w:pPr>
    </w:p>
    <w:p w14:paraId="35B7E9CF">
      <w:pPr>
        <w:spacing w:before="1" w:line="338" w:lineRule="auto"/>
        <w:ind w:left="133" w:right="106" w:firstLine="684"/>
        <w:rPr>
          <w:sz w:val="32"/>
          <w:szCs w:val="32"/>
        </w:rPr>
      </w:pPr>
      <w:r>
        <w:rPr>
          <w:spacing w:val="23"/>
          <w:w w:val="99"/>
          <w:sz w:val="32"/>
          <w:szCs w:val="32"/>
        </w:rPr>
        <w:t>依托银川经开区，以工业转型升级和提质增效为首要目</w:t>
      </w:r>
      <w:r>
        <w:rPr>
          <w:spacing w:val="-3"/>
          <w:w w:val="99"/>
          <w:sz w:val="32"/>
          <w:szCs w:val="32"/>
        </w:rPr>
        <w:t>标，聚焦主导产业和龙头骨干企业产业链、供应链、技术链、人才链和销售链建链延链补链强链，实施制造业降本减负行动，重</w:t>
      </w:r>
      <w:r>
        <w:rPr>
          <w:spacing w:val="15"/>
          <w:w w:val="99"/>
          <w:sz w:val="32"/>
          <w:szCs w:val="32"/>
        </w:rPr>
        <w:t>点发展科技含量高、附加价值高的高端</w:t>
      </w:r>
      <w:r>
        <w:rPr>
          <w:spacing w:val="24"/>
          <w:w w:val="99"/>
          <w:sz w:val="32"/>
          <w:szCs w:val="32"/>
        </w:rPr>
        <w:t>（</w:t>
      </w:r>
      <w:r>
        <w:rPr>
          <w:spacing w:val="22"/>
          <w:w w:val="99"/>
          <w:sz w:val="32"/>
          <w:szCs w:val="32"/>
        </w:rPr>
        <w:t>智能</w:t>
      </w:r>
      <w:r>
        <w:rPr>
          <w:spacing w:val="-12"/>
          <w:w w:val="99"/>
          <w:sz w:val="32"/>
          <w:szCs w:val="32"/>
        </w:rPr>
        <w:t>）</w:t>
      </w:r>
      <w:r>
        <w:rPr>
          <w:spacing w:val="17"/>
          <w:w w:val="99"/>
          <w:sz w:val="32"/>
          <w:szCs w:val="32"/>
        </w:rPr>
        <w:t>装备制造业，</w:t>
      </w:r>
      <w:r>
        <w:rPr>
          <w:spacing w:val="23"/>
          <w:w w:val="99"/>
          <w:sz w:val="32"/>
          <w:szCs w:val="32"/>
        </w:rPr>
        <w:t>大力发展健康消费品产业，鼓励发展节能环保产业，推进工业产业向中高端迈进，融合发展都市工业与楼宇经济，加快发展服务型制造，加速工业数字化转型和节能化改造，促进</w:t>
      </w:r>
      <w:r>
        <w:rPr>
          <w:spacing w:val="15"/>
          <w:w w:val="99"/>
          <w:sz w:val="32"/>
          <w:szCs w:val="32"/>
        </w:rPr>
        <w:t>制造业和现代服务业深度融合，到</w:t>
      </w:r>
      <w:r>
        <w:rPr>
          <w:spacing w:val="-50"/>
          <w:sz w:val="32"/>
          <w:szCs w:val="32"/>
        </w:rPr>
        <w:t xml:space="preserve"> </w:t>
      </w:r>
      <w:r>
        <w:rPr>
          <w:rFonts w:ascii="Times New Roman" w:eastAsia="Times New Roman"/>
          <w:spacing w:val="8"/>
          <w:w w:val="99"/>
          <w:sz w:val="32"/>
          <w:szCs w:val="32"/>
        </w:rPr>
        <w:t>2</w:t>
      </w:r>
      <w:r>
        <w:rPr>
          <w:rFonts w:ascii="Times New Roman" w:eastAsia="Times New Roman"/>
          <w:spacing w:val="10"/>
          <w:w w:val="99"/>
          <w:sz w:val="32"/>
          <w:szCs w:val="32"/>
        </w:rPr>
        <w:t>02</w:t>
      </w:r>
      <w:r>
        <w:rPr>
          <w:rFonts w:ascii="Times New Roman" w:eastAsia="Times New Roman"/>
          <w:w w:val="99"/>
          <w:sz w:val="32"/>
          <w:szCs w:val="32"/>
        </w:rPr>
        <w:t>5</w:t>
      </w:r>
      <w:r>
        <w:rPr>
          <w:rFonts w:ascii="Times New Roman" w:eastAsia="Times New Roman"/>
          <w:spacing w:val="19"/>
          <w:sz w:val="32"/>
          <w:szCs w:val="32"/>
        </w:rPr>
        <w:t xml:space="preserve"> </w:t>
      </w:r>
      <w:r>
        <w:rPr>
          <w:spacing w:val="12"/>
          <w:w w:val="99"/>
          <w:sz w:val="32"/>
          <w:szCs w:val="32"/>
        </w:rPr>
        <w:t>年，制造业增加值比</w:t>
      </w:r>
      <w:r>
        <w:rPr>
          <w:spacing w:val="18"/>
          <w:w w:val="99"/>
          <w:sz w:val="32"/>
          <w:szCs w:val="32"/>
        </w:rPr>
        <w:t>重占地区生产总值达到</w:t>
      </w:r>
      <w:r>
        <w:rPr>
          <w:spacing w:val="-50"/>
          <w:sz w:val="32"/>
          <w:szCs w:val="32"/>
        </w:rPr>
        <w:t xml:space="preserve"> </w:t>
      </w:r>
      <w:r>
        <w:rPr>
          <w:rFonts w:ascii="Times New Roman" w:eastAsia="Times New Roman"/>
          <w:spacing w:val="6"/>
          <w:w w:val="99"/>
          <w:sz w:val="32"/>
          <w:szCs w:val="32"/>
        </w:rPr>
        <w:t>6</w:t>
      </w:r>
      <w:r>
        <w:rPr>
          <w:rFonts w:ascii="Times New Roman" w:eastAsia="Times New Roman"/>
          <w:spacing w:val="17"/>
          <w:w w:val="99"/>
          <w:sz w:val="32"/>
          <w:szCs w:val="32"/>
        </w:rPr>
        <w:t>%</w:t>
      </w:r>
      <w:r>
        <w:rPr>
          <w:spacing w:val="14"/>
          <w:w w:val="99"/>
          <w:sz w:val="32"/>
          <w:szCs w:val="32"/>
        </w:rPr>
        <w:t>左右。</w:t>
      </w:r>
    </w:p>
    <w:p w14:paraId="171017B4">
      <w:pPr>
        <w:spacing w:line="338" w:lineRule="auto"/>
        <w:sectPr>
          <w:footerReference r:id="rId20" w:type="default"/>
          <w:footerReference r:id="rId21" w:type="even"/>
          <w:pgSz w:w="11910" w:h="16840"/>
          <w:pgMar w:top="1800" w:right="1220" w:bottom="1160" w:left="1340" w:header="0" w:footer="975" w:gutter="0"/>
          <w:pgNumType w:start="53"/>
          <w:cols w:space="720" w:num="1"/>
        </w:sectPr>
      </w:pPr>
    </w:p>
    <w:p w14:paraId="44A671CB">
      <w:pPr>
        <w:spacing w:before="31"/>
        <w:ind w:left="817"/>
        <w:rPr>
          <w:rFonts w:ascii="黑体" w:eastAsia="黑体"/>
          <w:sz w:val="32"/>
          <w:szCs w:val="32"/>
        </w:rPr>
      </w:pPr>
      <w:r>
        <w:rPr>
          <w:rFonts w:ascii="黑体" w:eastAsia="黑体"/>
          <w:spacing w:val="18"/>
          <w:w w:val="95"/>
          <w:sz w:val="32"/>
          <w:szCs w:val="32"/>
        </w:rPr>
        <w:t>一、重点发展三大优势产业</w:t>
      </w:r>
    </w:p>
    <w:p w14:paraId="4068507D">
      <w:pPr>
        <w:spacing w:before="166" w:line="338" w:lineRule="auto"/>
        <w:ind w:left="133" w:right="100" w:firstLine="684"/>
        <w:rPr>
          <w:sz w:val="32"/>
          <w:szCs w:val="32"/>
        </w:rPr>
      </w:pPr>
      <w:r>
        <w:rPr>
          <w:b/>
          <w:spacing w:val="18"/>
          <w:w w:val="99"/>
          <w:sz w:val="32"/>
          <w:szCs w:val="32"/>
        </w:rPr>
        <w:t>智能装备制造业。</w:t>
      </w:r>
      <w:r>
        <w:rPr>
          <w:spacing w:val="12"/>
          <w:w w:val="99"/>
          <w:sz w:val="32"/>
          <w:szCs w:val="32"/>
        </w:rPr>
        <w:t>依托银川经开区，按照“产业链条化、</w:t>
      </w:r>
      <w:r>
        <w:rPr>
          <w:spacing w:val="23"/>
          <w:w w:val="99"/>
          <w:sz w:val="32"/>
          <w:szCs w:val="32"/>
        </w:rPr>
        <w:t>系统化、高端化、集群化”思路，以轴承小镇、小巨人、小牛自动化设备等企业为重点，全力推动传统装备制造向智能制造、精密制造、柔性制造等高端装备制造转型升级，加快发展轴承智能制造、智能数控机床和机器人等为主的高端智</w:t>
      </w:r>
      <w:r>
        <w:rPr>
          <w:spacing w:val="24"/>
          <w:w w:val="99"/>
          <w:sz w:val="32"/>
          <w:szCs w:val="32"/>
        </w:rPr>
        <w:t>能制造产业。</w:t>
      </w:r>
      <w:r>
        <w:rPr>
          <w:b/>
          <w:spacing w:val="26"/>
          <w:w w:val="99"/>
          <w:sz w:val="32"/>
          <w:szCs w:val="32"/>
        </w:rPr>
        <w:t>健康消费品产业。</w:t>
      </w:r>
      <w:r>
        <w:rPr>
          <w:spacing w:val="22"/>
          <w:w w:val="99"/>
          <w:sz w:val="32"/>
          <w:szCs w:val="32"/>
        </w:rPr>
        <w:t>依托宁夏沃福百瑞等龙头企</w:t>
      </w:r>
      <w:r>
        <w:rPr>
          <w:spacing w:val="23"/>
          <w:w w:val="99"/>
          <w:sz w:val="32"/>
          <w:szCs w:val="32"/>
        </w:rPr>
        <w:t>业，深度挖掘枸杞功效，积极开发枸杞干果、枸杞原汁、枸</w:t>
      </w:r>
      <w:r>
        <w:rPr>
          <w:spacing w:val="10"/>
          <w:w w:val="99"/>
          <w:sz w:val="32"/>
          <w:szCs w:val="32"/>
        </w:rPr>
        <w:t>杞浓缩汁、枸杞果汁饮料、枸杞籽油、枸杞粉等深加工产品；</w:t>
      </w:r>
      <w:r>
        <w:rPr>
          <w:spacing w:val="13"/>
          <w:w w:val="99"/>
          <w:sz w:val="32"/>
          <w:szCs w:val="32"/>
        </w:rPr>
        <w:t>围绕枸杞药食同源食品，发展药膳、茶酒、保健酒、食用油、</w:t>
      </w:r>
      <w:r>
        <w:rPr>
          <w:spacing w:val="23"/>
          <w:w w:val="99"/>
          <w:sz w:val="32"/>
          <w:szCs w:val="32"/>
        </w:rPr>
        <w:t>酵素等特色绿色健康食品；加大枸杞精华液提取，开发枸杞面膜、洁面乳、防晒霜、隔离霜等功能性化妆品，不断提高</w:t>
      </w:r>
      <w:r>
        <w:rPr>
          <w:spacing w:val="24"/>
          <w:w w:val="99"/>
          <w:sz w:val="32"/>
          <w:szCs w:val="32"/>
        </w:rPr>
        <w:t>附加值。</w:t>
      </w:r>
      <w:r>
        <w:rPr>
          <w:b/>
          <w:spacing w:val="26"/>
          <w:w w:val="99"/>
          <w:sz w:val="32"/>
          <w:szCs w:val="32"/>
        </w:rPr>
        <w:t>节能环保产业。</w:t>
      </w:r>
      <w:r>
        <w:rPr>
          <w:spacing w:val="22"/>
          <w:w w:val="99"/>
          <w:sz w:val="32"/>
          <w:szCs w:val="32"/>
        </w:rPr>
        <w:t>依托金凤综合建材园商混行业集聚</w:t>
      </w:r>
      <w:r>
        <w:rPr>
          <w:spacing w:val="23"/>
          <w:w w:val="99"/>
          <w:sz w:val="32"/>
          <w:szCs w:val="32"/>
        </w:rPr>
        <w:t>优势，鼓励支持华晟节能环保科技等企业，促进沥青混凝土等新型建筑材料再生综合利用，推动绿色、低碳、可持续发展。运用节能降耗技术，保障华电智能化集中供热项目平稳运行，支持达力第四污水处理厂扩建、保绿特餐厨废弃物处</w:t>
      </w:r>
      <w:r>
        <w:rPr>
          <w:spacing w:val="20"/>
          <w:w w:val="99"/>
          <w:sz w:val="32"/>
          <w:szCs w:val="32"/>
        </w:rPr>
        <w:t>理能力提升改造等项目建设，大力发展清洁循环产业。</w:t>
      </w:r>
    </w:p>
    <w:p w14:paraId="7CE499C8">
      <w:pPr>
        <w:spacing w:before="17"/>
        <w:ind w:left="817"/>
        <w:rPr>
          <w:rFonts w:ascii="黑体" w:eastAsia="黑体"/>
          <w:sz w:val="32"/>
          <w:szCs w:val="32"/>
        </w:rPr>
      </w:pPr>
      <w:r>
        <w:rPr>
          <w:rFonts w:ascii="黑体" w:eastAsia="黑体"/>
          <w:spacing w:val="18"/>
          <w:w w:val="95"/>
          <w:sz w:val="32"/>
          <w:szCs w:val="32"/>
        </w:rPr>
        <w:t>二、融合发展都市工业与楼宇经济</w:t>
      </w:r>
    </w:p>
    <w:p w14:paraId="68EC8DB5">
      <w:pPr>
        <w:spacing w:before="166" w:line="338" w:lineRule="auto"/>
        <w:ind w:left="133" w:right="273" w:firstLine="684"/>
        <w:jc w:val="both"/>
        <w:rPr>
          <w:sz w:val="32"/>
          <w:szCs w:val="32"/>
        </w:rPr>
      </w:pPr>
      <w:r>
        <w:rPr>
          <w:b/>
          <w:spacing w:val="26"/>
          <w:w w:val="99"/>
          <w:sz w:val="32"/>
          <w:szCs w:val="32"/>
        </w:rPr>
        <w:t>培育工业总部经济</w:t>
      </w:r>
      <w:r>
        <w:rPr>
          <w:spacing w:val="24"/>
          <w:w w:val="99"/>
          <w:sz w:val="32"/>
          <w:szCs w:val="32"/>
        </w:rPr>
        <w:t>。积极盘活阅海湾中央商务区</w:t>
      </w:r>
      <w:r>
        <w:rPr>
          <w:spacing w:val="26"/>
          <w:w w:val="99"/>
          <w:sz w:val="32"/>
          <w:szCs w:val="32"/>
        </w:rPr>
        <w:t>（</w:t>
      </w:r>
      <w:r>
        <w:rPr>
          <w:spacing w:val="12"/>
          <w:w w:val="99"/>
          <w:sz w:val="32"/>
          <w:szCs w:val="32"/>
        </w:rPr>
        <w:t>丝路</w:t>
      </w:r>
      <w:r>
        <w:rPr>
          <w:spacing w:val="25"/>
          <w:w w:val="99"/>
          <w:sz w:val="32"/>
          <w:szCs w:val="32"/>
        </w:rPr>
        <w:t>经济园</w:t>
      </w:r>
      <w:r>
        <w:rPr>
          <w:spacing w:val="24"/>
          <w:w w:val="99"/>
          <w:sz w:val="32"/>
          <w:szCs w:val="32"/>
        </w:rPr>
        <w:t>）</w:t>
      </w:r>
      <w:r>
        <w:rPr>
          <w:spacing w:val="22"/>
          <w:w w:val="99"/>
          <w:sz w:val="32"/>
          <w:szCs w:val="32"/>
        </w:rPr>
        <w:t>闲置楼宇资源、工业企业闲置厂房资源以及各安置</w:t>
      </w:r>
      <w:r>
        <w:rPr>
          <w:spacing w:val="23"/>
          <w:w w:val="99"/>
          <w:sz w:val="32"/>
          <w:szCs w:val="32"/>
        </w:rPr>
        <w:t>区闲置营业房资源，通过二次招商等方式提高资源利用率，引进全国性、区域性工业企业总部，逐步形成具有综合职能</w:t>
      </w:r>
    </w:p>
    <w:p w14:paraId="59A962EE">
      <w:pPr>
        <w:spacing w:line="338" w:lineRule="auto"/>
        <w:jc w:val="both"/>
        <w:sectPr>
          <w:pgSz w:w="11910" w:h="16840"/>
          <w:pgMar w:top="1780" w:right="1220" w:bottom="1160" w:left="1340" w:header="0" w:footer="975" w:gutter="0"/>
          <w:cols w:space="720" w:num="1"/>
        </w:sectPr>
      </w:pPr>
    </w:p>
    <w:p w14:paraId="22E566B3">
      <w:pPr>
        <w:spacing w:before="28" w:line="338" w:lineRule="auto"/>
        <w:ind w:left="133" w:right="273"/>
        <w:jc w:val="both"/>
        <w:rPr>
          <w:sz w:val="32"/>
          <w:szCs w:val="32"/>
        </w:rPr>
      </w:pPr>
      <w:r>
        <w:rPr>
          <w:spacing w:val="23"/>
          <w:w w:val="99"/>
          <w:sz w:val="32"/>
          <w:szCs w:val="32"/>
        </w:rPr>
        <w:t>总部及行政管理、研发中心、投资中心、设计中心等高端职</w:t>
      </w:r>
      <w:r>
        <w:rPr>
          <w:spacing w:val="24"/>
          <w:w w:val="99"/>
          <w:sz w:val="32"/>
          <w:szCs w:val="32"/>
        </w:rPr>
        <w:t>能的工业总部企业聚集。</w:t>
      </w:r>
      <w:r>
        <w:rPr>
          <w:b/>
          <w:spacing w:val="25"/>
          <w:w w:val="99"/>
          <w:sz w:val="32"/>
          <w:szCs w:val="32"/>
        </w:rPr>
        <w:t>发展都市楼宇加工。</w:t>
      </w:r>
      <w:r>
        <w:rPr>
          <w:spacing w:val="20"/>
          <w:w w:val="99"/>
          <w:sz w:val="32"/>
          <w:szCs w:val="32"/>
        </w:rPr>
        <w:t>充分挖掘阅海</w:t>
      </w:r>
      <w:r>
        <w:rPr>
          <w:spacing w:val="24"/>
          <w:w w:val="99"/>
          <w:sz w:val="32"/>
          <w:szCs w:val="32"/>
        </w:rPr>
        <w:t>湾中央商务区（丝路经济园</w:t>
      </w:r>
      <w:r>
        <w:rPr>
          <w:spacing w:val="26"/>
          <w:w w:val="99"/>
          <w:sz w:val="32"/>
          <w:szCs w:val="32"/>
        </w:rPr>
        <w:t>）</w:t>
      </w:r>
      <w:r>
        <w:rPr>
          <w:spacing w:val="22"/>
          <w:w w:val="99"/>
          <w:sz w:val="32"/>
          <w:szCs w:val="32"/>
        </w:rPr>
        <w:t>和“六大商圈”的价值，大力</w:t>
      </w:r>
      <w:r>
        <w:rPr>
          <w:spacing w:val="23"/>
          <w:w w:val="99"/>
          <w:sz w:val="32"/>
          <w:szCs w:val="32"/>
        </w:rPr>
        <w:t>发展创意设计、艺术品加工、定制定做，软件开发、影音制</w:t>
      </w:r>
      <w:r>
        <w:rPr>
          <w:spacing w:val="24"/>
          <w:w w:val="99"/>
          <w:sz w:val="32"/>
          <w:szCs w:val="32"/>
        </w:rPr>
        <w:t>作等楼宇加工业。</w:t>
      </w:r>
      <w:r>
        <w:rPr>
          <w:b/>
          <w:spacing w:val="25"/>
          <w:w w:val="99"/>
          <w:sz w:val="32"/>
          <w:szCs w:val="32"/>
        </w:rPr>
        <w:t>鼓励工业研发设计。</w:t>
      </w:r>
      <w:r>
        <w:rPr>
          <w:spacing w:val="21"/>
          <w:w w:val="99"/>
          <w:sz w:val="32"/>
          <w:szCs w:val="32"/>
        </w:rPr>
        <w:t>把握银川经济技术开</w:t>
      </w:r>
      <w:r>
        <w:rPr>
          <w:spacing w:val="23"/>
          <w:w w:val="99"/>
          <w:sz w:val="32"/>
          <w:szCs w:val="32"/>
        </w:rPr>
        <w:t>发区综合配套区建设、轴承小镇投产等契机，依托现有从业人员和产业优势，培育发展装备制造、生物制药研发、机械</w:t>
      </w:r>
      <w:r>
        <w:rPr>
          <w:spacing w:val="19"/>
          <w:w w:val="99"/>
          <w:sz w:val="32"/>
          <w:szCs w:val="32"/>
        </w:rPr>
        <w:t>设计等，打造金凤“工业大脑”功能。</w:t>
      </w:r>
    </w:p>
    <w:p w14:paraId="55A1AA62">
      <w:pPr>
        <w:ind w:left="817"/>
        <w:rPr>
          <w:rFonts w:ascii="黑体" w:eastAsia="黑体"/>
          <w:sz w:val="32"/>
          <w:szCs w:val="32"/>
        </w:rPr>
      </w:pPr>
      <w:r>
        <w:rPr>
          <w:rFonts w:ascii="黑体" w:eastAsia="黑体"/>
          <w:spacing w:val="18"/>
          <w:w w:val="95"/>
          <w:sz w:val="32"/>
          <w:szCs w:val="32"/>
        </w:rPr>
        <w:t>三、加快发展服务型制造</w:t>
      </w:r>
    </w:p>
    <w:p w14:paraId="361244C6">
      <w:pPr>
        <w:spacing w:before="165" w:line="338" w:lineRule="auto"/>
        <w:ind w:left="133" w:right="106" w:firstLine="684"/>
        <w:rPr>
          <w:sz w:val="32"/>
          <w:szCs w:val="32"/>
        </w:rPr>
      </w:pPr>
      <w:r>
        <w:rPr>
          <w:spacing w:val="20"/>
          <w:w w:val="99"/>
          <w:sz w:val="32"/>
          <w:szCs w:val="32"/>
        </w:rPr>
        <w:t>抢抓产业跨界融合发展新机遇，实施生产性服务融合发展行动，促进生产性服务业与制造业的有机融合，大力发展</w:t>
      </w:r>
      <w:r>
        <w:rPr>
          <w:spacing w:val="11"/>
          <w:w w:val="99"/>
          <w:sz w:val="32"/>
          <w:szCs w:val="32"/>
        </w:rPr>
        <w:t>大工业设计服务、个性化定制服务、服务外包等服务型制造，</w:t>
      </w:r>
      <w:r>
        <w:rPr>
          <w:spacing w:val="20"/>
          <w:w w:val="99"/>
          <w:sz w:val="32"/>
          <w:szCs w:val="32"/>
        </w:rPr>
        <w:t>加快推进制造业服务化，提高行业整体配套能力和核心竞争</w:t>
      </w:r>
      <w:r>
        <w:rPr>
          <w:spacing w:val="22"/>
          <w:w w:val="99"/>
          <w:sz w:val="32"/>
          <w:szCs w:val="32"/>
        </w:rPr>
        <w:t>力。</w:t>
      </w:r>
      <w:r>
        <w:rPr>
          <w:b/>
          <w:spacing w:val="24"/>
          <w:w w:val="99"/>
          <w:sz w:val="32"/>
          <w:szCs w:val="32"/>
        </w:rPr>
        <w:t>培育工业设计服务。</w:t>
      </w:r>
      <w:r>
        <w:rPr>
          <w:spacing w:val="19"/>
          <w:w w:val="99"/>
          <w:sz w:val="32"/>
          <w:szCs w:val="32"/>
        </w:rPr>
        <w:t>引导企业加大技改研发和自主创新</w:t>
      </w:r>
      <w:r>
        <w:rPr>
          <w:spacing w:val="20"/>
          <w:w w:val="99"/>
          <w:sz w:val="32"/>
          <w:szCs w:val="32"/>
        </w:rPr>
        <w:t>投入，鼓励企业建立工业设计中心，加强与设计企业、高校及科研院所之间的项目对接和合作力度，促进宁夏大学、北方民族大学等院校在园区建立工作室和校企联合基地，积极</w:t>
      </w:r>
      <w:r>
        <w:rPr>
          <w:spacing w:val="21"/>
          <w:w w:val="99"/>
          <w:sz w:val="32"/>
          <w:szCs w:val="32"/>
        </w:rPr>
        <w:t>推动工业设计和制造业融合发展。</w:t>
      </w:r>
      <w:r>
        <w:rPr>
          <w:b/>
          <w:spacing w:val="24"/>
          <w:w w:val="99"/>
          <w:sz w:val="32"/>
          <w:szCs w:val="32"/>
        </w:rPr>
        <w:t>推广个性定制服务。</w:t>
      </w:r>
      <w:r>
        <w:rPr>
          <w:spacing w:val="10"/>
          <w:w w:val="99"/>
          <w:sz w:val="32"/>
          <w:szCs w:val="32"/>
        </w:rPr>
        <w:t>综合利用</w:t>
      </w:r>
      <w:r>
        <w:rPr>
          <w:spacing w:val="-50"/>
          <w:sz w:val="32"/>
          <w:szCs w:val="32"/>
        </w:rPr>
        <w:t xml:space="preserve"> </w:t>
      </w:r>
      <w:r>
        <w:rPr>
          <w:rFonts w:ascii="Times New Roman" w:eastAsia="Times New Roman"/>
          <w:spacing w:val="6"/>
          <w:w w:val="99"/>
          <w:sz w:val="32"/>
          <w:szCs w:val="32"/>
        </w:rPr>
        <w:t>5</w:t>
      </w:r>
      <w:r>
        <w:rPr>
          <w:rFonts w:ascii="Times New Roman" w:eastAsia="Times New Roman"/>
          <w:spacing w:val="16"/>
          <w:w w:val="99"/>
          <w:sz w:val="32"/>
          <w:szCs w:val="32"/>
        </w:rPr>
        <w:t>G</w:t>
      </w:r>
      <w:r>
        <w:rPr>
          <w:spacing w:val="20"/>
          <w:w w:val="99"/>
          <w:sz w:val="32"/>
          <w:szCs w:val="32"/>
        </w:rPr>
        <w:t>、物联网、大数据、云计算、人工智能、虚拟现实、工业互联网等新一代信息技术，建立数字化设计与虚拟仿真系统，发展个性化设计、用户参与设计、交互设计，推动零件标准化、配件精细化、部件模块化和产品个性化重组，推进生产制造系统的智能化、柔性化改造，发展大批量个性化</w:t>
      </w:r>
    </w:p>
    <w:p w14:paraId="243382F0">
      <w:pPr>
        <w:spacing w:line="338" w:lineRule="auto"/>
        <w:sectPr>
          <w:pgSz w:w="11910" w:h="16840"/>
          <w:pgMar w:top="1800" w:right="1220" w:bottom="1160" w:left="1340" w:header="0" w:footer="975" w:gutter="0"/>
          <w:cols w:space="720" w:num="1"/>
        </w:sectPr>
      </w:pPr>
    </w:p>
    <w:p w14:paraId="73B86553">
      <w:pPr>
        <w:spacing w:before="28" w:line="338" w:lineRule="auto"/>
        <w:ind w:left="133" w:right="106"/>
        <w:rPr>
          <w:sz w:val="32"/>
          <w:szCs w:val="32"/>
        </w:rPr>
      </w:pPr>
      <w:r>
        <w:rPr>
          <w:spacing w:val="21"/>
          <w:w w:val="99"/>
          <w:sz w:val="32"/>
          <w:szCs w:val="32"/>
        </w:rPr>
        <w:t>定制服务。</w:t>
      </w:r>
      <w:r>
        <w:rPr>
          <w:b/>
          <w:spacing w:val="24"/>
          <w:w w:val="99"/>
          <w:sz w:val="32"/>
          <w:szCs w:val="32"/>
        </w:rPr>
        <w:t>支持服务外包发展。</w:t>
      </w:r>
      <w:r>
        <w:rPr>
          <w:spacing w:val="19"/>
          <w:w w:val="99"/>
          <w:sz w:val="32"/>
          <w:szCs w:val="32"/>
        </w:rPr>
        <w:t>鼓励制造业企业发展服务外</w:t>
      </w:r>
      <w:r>
        <w:rPr>
          <w:spacing w:val="20"/>
          <w:w w:val="99"/>
          <w:sz w:val="32"/>
          <w:szCs w:val="32"/>
        </w:rPr>
        <w:t>包，面向制造业的研发设计、采购、运输、仓储、货代、流通加工、物流信息等环节开展专业化外包服务，培育一批创新能力强、集成服务水平高、具有行业竞争力的服务外包企</w:t>
      </w:r>
      <w:r>
        <w:rPr>
          <w:spacing w:val="10"/>
          <w:w w:val="99"/>
          <w:sz w:val="32"/>
          <w:szCs w:val="32"/>
        </w:rPr>
        <w:t>业，重点发展软件开发、软件测试、系统租赁以及工业设计、</w:t>
      </w:r>
      <w:r>
        <w:rPr>
          <w:spacing w:val="19"/>
          <w:w w:val="99"/>
          <w:sz w:val="32"/>
          <w:szCs w:val="32"/>
        </w:rPr>
        <w:t>研发服务、知识产权服务等外包服务。</w:t>
      </w:r>
    </w:p>
    <w:p w14:paraId="04141AC4">
      <w:pPr>
        <w:spacing w:line="405" w:lineRule="exact"/>
        <w:ind w:left="817"/>
        <w:rPr>
          <w:rFonts w:ascii="黑体" w:eastAsia="黑体"/>
          <w:sz w:val="32"/>
          <w:szCs w:val="32"/>
        </w:rPr>
      </w:pPr>
      <w:r>
        <w:rPr>
          <w:rFonts w:ascii="黑体" w:eastAsia="黑体"/>
          <w:spacing w:val="18"/>
          <w:w w:val="95"/>
          <w:sz w:val="32"/>
          <w:szCs w:val="32"/>
        </w:rPr>
        <w:t>四、促进工业智能化升级</w:t>
      </w:r>
    </w:p>
    <w:p w14:paraId="12537D30">
      <w:pPr>
        <w:spacing w:before="166" w:line="338" w:lineRule="auto"/>
        <w:ind w:left="133" w:right="106" w:firstLine="684"/>
        <w:rPr>
          <w:sz w:val="32"/>
          <w:szCs w:val="32"/>
        </w:rPr>
      </w:pPr>
      <w:r>
        <w:rPr>
          <w:spacing w:val="23"/>
          <w:w w:val="99"/>
          <w:sz w:val="32"/>
          <w:szCs w:val="32"/>
        </w:rPr>
        <w:t>支持工业化、信息化“两化”融合发展，把握经开区轴承小镇、综合配套区建设契机，帮助企业做好产需对接、市场对接、平台对接，滚动实施“个转企”“小升规”“规升巨”培育计划。推进小巨人机床数字化车间、轴承小镇供应链平台建设，提升“互联网＋先进制造业”发展水平，建设用地集约高效的“智能工厂”。支持企业建设智能工厂、数</w:t>
      </w:r>
      <w:r>
        <w:rPr>
          <w:spacing w:val="10"/>
          <w:w w:val="99"/>
          <w:sz w:val="32"/>
          <w:szCs w:val="32"/>
        </w:rPr>
        <w:t>字化车间、智能化生产线，推广人机智能交互、工业机器人、智能物流管理、增材制造等技术和装备在生产过程中的应用。</w:t>
      </w:r>
      <w:r>
        <w:rPr>
          <w:spacing w:val="23"/>
          <w:w w:val="99"/>
          <w:sz w:val="32"/>
          <w:szCs w:val="32"/>
        </w:rPr>
        <w:t>鼓励企业加大技术改造和科技研发投入力度，不断提升规模</w:t>
      </w:r>
      <w:r>
        <w:rPr>
          <w:spacing w:val="19"/>
          <w:w w:val="99"/>
          <w:sz w:val="32"/>
          <w:szCs w:val="32"/>
        </w:rPr>
        <w:t>以上工业企业数字化、网络化、智能化水平。</w:t>
      </w:r>
    </w:p>
    <w:p w14:paraId="27F665D1">
      <w:pPr>
        <w:spacing w:before="3"/>
        <w:ind w:left="817"/>
        <w:rPr>
          <w:rFonts w:ascii="黑体" w:eastAsia="黑体"/>
          <w:sz w:val="32"/>
          <w:szCs w:val="32"/>
        </w:rPr>
      </w:pPr>
      <w:r>
        <w:rPr>
          <w:rFonts w:ascii="黑体" w:eastAsia="黑体"/>
          <w:spacing w:val="18"/>
          <w:w w:val="95"/>
          <w:sz w:val="32"/>
          <w:szCs w:val="32"/>
        </w:rPr>
        <w:t>五、推进工业节能化改造</w:t>
      </w:r>
    </w:p>
    <w:p w14:paraId="32ACD26D">
      <w:pPr>
        <w:spacing w:before="166" w:line="340" w:lineRule="auto"/>
        <w:ind w:left="133" w:right="106" w:firstLine="684"/>
        <w:jc w:val="both"/>
        <w:rPr>
          <w:sz w:val="32"/>
          <w:szCs w:val="32"/>
        </w:rPr>
      </w:pPr>
      <w:r>
        <w:rPr>
          <w:spacing w:val="24"/>
          <w:sz w:val="32"/>
          <w:szCs w:val="32"/>
        </w:rPr>
        <w:t>坚持一手抓改造升级传统产业、一手抓培育壮大</w:t>
      </w:r>
      <w:r>
        <w:rPr>
          <w:spacing w:val="15"/>
          <w:sz w:val="32"/>
          <w:szCs w:val="32"/>
        </w:rPr>
        <w:t>新兴产</w:t>
      </w:r>
      <w:r>
        <w:rPr>
          <w:spacing w:val="24"/>
          <w:sz w:val="32"/>
          <w:szCs w:val="32"/>
        </w:rPr>
        <w:t>业，提高节能、环保、资源循环利用等绿色产业</w:t>
      </w:r>
      <w:r>
        <w:rPr>
          <w:spacing w:val="19"/>
          <w:sz w:val="32"/>
          <w:szCs w:val="32"/>
        </w:rPr>
        <w:t>技术、装备</w:t>
      </w:r>
      <w:r>
        <w:rPr>
          <w:spacing w:val="24"/>
          <w:sz w:val="32"/>
          <w:szCs w:val="32"/>
        </w:rPr>
        <w:t>和服务水平，不断加快推进新旧动能转换，优化</w:t>
      </w:r>
      <w:r>
        <w:rPr>
          <w:spacing w:val="19"/>
          <w:sz w:val="32"/>
          <w:szCs w:val="32"/>
        </w:rPr>
        <w:t>产业结构。</w:t>
      </w:r>
      <w:r>
        <w:rPr>
          <w:spacing w:val="24"/>
          <w:sz w:val="32"/>
          <w:szCs w:val="32"/>
        </w:rPr>
        <w:t>加强企业深度治理，鼓励工业企业实施技扩改项</w:t>
      </w:r>
      <w:r>
        <w:rPr>
          <w:spacing w:val="19"/>
          <w:sz w:val="32"/>
          <w:szCs w:val="32"/>
        </w:rPr>
        <w:t>目，布局实</w:t>
      </w:r>
      <w:r>
        <w:rPr>
          <w:spacing w:val="15"/>
          <w:w w:val="95"/>
          <w:sz w:val="32"/>
          <w:szCs w:val="32"/>
        </w:rPr>
        <w:t>施一批节能环保、清洁生产等产业，加快形成绿色生产方式，</w:t>
      </w:r>
    </w:p>
    <w:p w14:paraId="280A906D">
      <w:pPr>
        <w:spacing w:line="340" w:lineRule="auto"/>
        <w:jc w:val="both"/>
        <w:sectPr>
          <w:pgSz w:w="11910" w:h="16840"/>
          <w:pgMar w:top="1800" w:right="1220" w:bottom="1160" w:left="1340" w:header="0" w:footer="975" w:gutter="0"/>
          <w:cols w:space="720" w:num="1"/>
        </w:sectPr>
      </w:pPr>
    </w:p>
    <w:p w14:paraId="56D181DA">
      <w:pPr>
        <w:spacing w:before="48" w:line="340" w:lineRule="auto"/>
        <w:ind w:left="133" w:right="273"/>
        <w:rPr>
          <w:sz w:val="32"/>
          <w:szCs w:val="32"/>
        </w:rPr>
      </w:pPr>
      <w:r>
        <w:rPr>
          <w:sz w:val="32"/>
          <w:szCs w:val="32"/>
        </w:rPr>
        <mc:AlternateContent>
          <mc:Choice Requires="wps">
            <w:drawing>
              <wp:anchor distT="0" distB="0" distL="114300" distR="114300" simplePos="0" relativeHeight="251703296" behindDoc="1" locked="0" layoutInCell="1" allowOverlap="1">
                <wp:simplePos x="0" y="0"/>
                <wp:positionH relativeFrom="page">
                  <wp:posOffset>919480</wp:posOffset>
                </wp:positionH>
                <wp:positionV relativeFrom="paragraph">
                  <wp:posOffset>678180</wp:posOffset>
                </wp:positionV>
                <wp:extent cx="5721350" cy="1827530"/>
                <wp:effectExtent l="0" t="0" r="0" b="0"/>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5721350" cy="1827530"/>
                        </a:xfrm>
                        <a:prstGeom prst="rect">
                          <a:avLst/>
                        </a:prstGeom>
                        <a:noFill/>
                        <a:ln w="6096">
                          <a:solidFill>
                            <a:srgbClr val="000000"/>
                          </a:solidFill>
                          <a:prstDash val="solid"/>
                          <a:miter lim="800000"/>
                        </a:ln>
                      </wps:spPr>
                      <wps:txbx>
                        <w:txbxContent>
                          <w:p w14:paraId="78C3CA83">
                            <w:pPr>
                              <w:spacing w:before="82"/>
                              <w:ind w:left="2942" w:right="2961"/>
                              <w:jc w:val="center"/>
                              <w:rPr>
                                <w:rFonts w:ascii="黑体" w:eastAsia="黑体"/>
                                <w:sz w:val="24"/>
                              </w:rPr>
                            </w:pPr>
                            <w:r>
                              <w:rPr>
                                <w:rFonts w:ascii="黑体" w:eastAsia="黑体"/>
                                <w:spacing w:val="-5"/>
                                <w:sz w:val="24"/>
                              </w:rPr>
                              <w:t xml:space="preserve">专栏 </w:t>
                            </w:r>
                            <w:r>
                              <w:rPr>
                                <w:rFonts w:ascii="黑体" w:eastAsia="黑体"/>
                                <w:sz w:val="24"/>
                              </w:rPr>
                              <w:t>3</w:t>
                            </w:r>
                            <w:r>
                              <w:rPr>
                                <w:rFonts w:ascii="黑体" w:eastAsia="黑体"/>
                                <w:spacing w:val="115"/>
                                <w:w w:val="150"/>
                                <w:sz w:val="24"/>
                              </w:rPr>
                              <w:t xml:space="preserve"> </w:t>
                            </w:r>
                            <w:r>
                              <w:rPr>
                                <w:rFonts w:ascii="黑体" w:eastAsia="黑体"/>
                                <w:spacing w:val="17"/>
                                <w:sz w:val="24"/>
                              </w:rPr>
                              <w:t>工业重点建设项目</w:t>
                            </w:r>
                          </w:p>
                          <w:p w14:paraId="0A3CF615">
                            <w:pPr>
                              <w:spacing w:before="188" w:line="357" w:lineRule="auto"/>
                              <w:ind w:left="102" w:right="121" w:firstLine="465"/>
                              <w:jc w:val="both"/>
                              <w:rPr>
                                <w:rFonts w:ascii="宋体" w:eastAsia="宋体"/>
                                <w:i/>
                                <w:sz w:val="21"/>
                              </w:rPr>
                            </w:pPr>
                            <w:r>
                              <w:rPr>
                                <w:rFonts w:hint="eastAsia" w:ascii="宋体" w:eastAsia="宋体"/>
                                <w:i/>
                                <w:spacing w:val="18"/>
                                <w:w w:val="99"/>
                                <w:sz w:val="21"/>
                              </w:rPr>
                              <w:t>光热发电回转驱动减速器产业化、银川经济技术开发区中轴智造小镇三期、银川市</w:t>
                            </w:r>
                            <w:r>
                              <w:rPr>
                                <w:rFonts w:hint="eastAsia" w:ascii="宋体" w:eastAsia="宋体"/>
                                <w:i/>
                                <w:spacing w:val="19"/>
                                <w:w w:val="99"/>
                                <w:sz w:val="21"/>
                              </w:rPr>
                              <w:t>经济技术开发区国开金泰中轴小镇一期工程第二期、银川经济技术开发区中轴小镇一期</w:t>
                            </w:r>
                            <w:r>
                              <w:rPr>
                                <w:rFonts w:hint="eastAsia" w:ascii="宋体" w:eastAsia="宋体"/>
                                <w:i/>
                                <w:spacing w:val="16"/>
                                <w:w w:val="99"/>
                                <w:sz w:val="21"/>
                              </w:rPr>
                              <w:t>工程、宁夏云立方数据中心、小巨人卧加产能提升、小牛自动化二期、轴承制造及装备</w:t>
                            </w:r>
                            <w:r>
                              <w:rPr>
                                <w:rFonts w:hint="eastAsia" w:ascii="宋体" w:eastAsia="宋体"/>
                                <w:i/>
                                <w:spacing w:val="18"/>
                                <w:w w:val="99"/>
                                <w:sz w:val="21"/>
                              </w:rPr>
                              <w:t>制造、非标轴承智造、富硒枸杞精酿红啤、枸杞酵素深加工、工业楼宇、工业设计、服</w:t>
                            </w:r>
                            <w:r>
                              <w:rPr>
                                <w:rFonts w:hint="eastAsia" w:ascii="宋体" w:eastAsia="宋体"/>
                                <w:i/>
                                <w:spacing w:val="17"/>
                                <w:w w:val="99"/>
                                <w:sz w:val="21"/>
                              </w:rPr>
                              <w:t>务型制造企业示范、工业机器人应用示范、智能传感器合作实验平台、工业物联网建设</w:t>
                            </w:r>
                          </w:p>
                          <w:p w14:paraId="5FB94C15">
                            <w:pPr>
                              <w:spacing w:line="264" w:lineRule="exact"/>
                              <w:ind w:left="102"/>
                              <w:rPr>
                                <w:rFonts w:ascii="宋体" w:eastAsia="宋体"/>
                                <w:i/>
                                <w:sz w:val="21"/>
                              </w:rPr>
                            </w:pPr>
                            <w:r>
                              <w:rPr>
                                <w:rFonts w:hint="eastAsia" w:ascii="宋体" w:eastAsia="宋体"/>
                                <w:i/>
                                <w:spacing w:val="22"/>
                                <w:w w:val="95"/>
                                <w:sz w:val="21"/>
                              </w:rPr>
                              <w:t>与推</w:t>
                            </w:r>
                            <w:r>
                              <w:rPr>
                                <w:rFonts w:hint="eastAsia" w:ascii="宋体" w:eastAsia="宋体"/>
                                <w:i/>
                                <w:spacing w:val="23"/>
                                <w:w w:val="95"/>
                                <w:sz w:val="21"/>
                              </w:rPr>
                              <w:t>广、</w:t>
                            </w:r>
                            <w:r>
                              <w:rPr>
                                <w:rFonts w:hint="eastAsia" w:ascii="宋体" w:eastAsia="宋体"/>
                                <w:i/>
                                <w:spacing w:val="21"/>
                                <w:w w:val="95"/>
                                <w:sz w:val="21"/>
                              </w:rPr>
                              <w:t>智</w:t>
                            </w:r>
                            <w:r>
                              <w:rPr>
                                <w:rFonts w:hint="eastAsia" w:ascii="宋体" w:eastAsia="宋体"/>
                                <w:i/>
                                <w:spacing w:val="23"/>
                                <w:w w:val="95"/>
                                <w:sz w:val="21"/>
                              </w:rPr>
                              <w:t>能工</w:t>
                            </w:r>
                            <w:r>
                              <w:rPr>
                                <w:rFonts w:hint="eastAsia" w:ascii="宋体" w:eastAsia="宋体"/>
                                <w:i/>
                                <w:spacing w:val="21"/>
                                <w:w w:val="95"/>
                                <w:sz w:val="21"/>
                              </w:rPr>
                              <w:t>厂</w:t>
                            </w:r>
                            <w:r>
                              <w:rPr>
                                <w:rFonts w:hint="eastAsia" w:ascii="宋体" w:eastAsia="宋体"/>
                                <w:i/>
                                <w:spacing w:val="23"/>
                                <w:w w:val="95"/>
                                <w:sz w:val="21"/>
                              </w:rPr>
                              <w:t>、数</w:t>
                            </w:r>
                            <w:r>
                              <w:rPr>
                                <w:rFonts w:hint="eastAsia" w:ascii="宋体" w:eastAsia="宋体"/>
                                <w:i/>
                                <w:spacing w:val="21"/>
                                <w:w w:val="95"/>
                                <w:sz w:val="21"/>
                              </w:rPr>
                              <w:t>字</w:t>
                            </w:r>
                            <w:r>
                              <w:rPr>
                                <w:rFonts w:hint="eastAsia" w:ascii="宋体" w:eastAsia="宋体"/>
                                <w:i/>
                                <w:spacing w:val="23"/>
                                <w:w w:val="95"/>
                                <w:sz w:val="21"/>
                              </w:rPr>
                              <w:t>化车</w:t>
                            </w:r>
                            <w:r>
                              <w:rPr>
                                <w:rFonts w:hint="eastAsia" w:ascii="宋体" w:eastAsia="宋体"/>
                                <w:i/>
                                <w:spacing w:val="21"/>
                                <w:w w:val="95"/>
                                <w:sz w:val="21"/>
                              </w:rPr>
                              <w:t>间</w:t>
                            </w:r>
                            <w:r>
                              <w:rPr>
                                <w:rFonts w:hint="eastAsia" w:ascii="宋体" w:eastAsia="宋体"/>
                                <w:i/>
                                <w:spacing w:val="23"/>
                                <w:w w:val="95"/>
                                <w:sz w:val="21"/>
                              </w:rPr>
                              <w:t>、工</w:t>
                            </w:r>
                            <w:r>
                              <w:rPr>
                                <w:rFonts w:hint="eastAsia" w:ascii="宋体" w:eastAsia="宋体"/>
                                <w:i/>
                                <w:spacing w:val="21"/>
                                <w:w w:val="95"/>
                                <w:sz w:val="21"/>
                              </w:rPr>
                              <w:t>业</w:t>
                            </w:r>
                            <w:r>
                              <w:rPr>
                                <w:rFonts w:hint="eastAsia" w:ascii="宋体" w:eastAsia="宋体"/>
                                <w:i/>
                                <w:spacing w:val="23"/>
                                <w:w w:val="95"/>
                                <w:sz w:val="21"/>
                              </w:rPr>
                              <w:t>大数</w:t>
                            </w:r>
                            <w:r>
                              <w:rPr>
                                <w:rFonts w:hint="eastAsia" w:ascii="宋体" w:eastAsia="宋体"/>
                                <w:i/>
                                <w:spacing w:val="21"/>
                                <w:w w:val="95"/>
                                <w:sz w:val="21"/>
                              </w:rPr>
                              <w:t>据</w:t>
                            </w:r>
                            <w:r>
                              <w:rPr>
                                <w:rFonts w:hint="eastAsia" w:ascii="宋体" w:eastAsia="宋体"/>
                                <w:i/>
                                <w:spacing w:val="23"/>
                                <w:w w:val="95"/>
                                <w:sz w:val="21"/>
                              </w:rPr>
                              <w:t>融合</w:t>
                            </w:r>
                            <w:r>
                              <w:rPr>
                                <w:rFonts w:hint="eastAsia" w:ascii="宋体" w:eastAsia="宋体"/>
                                <w:i/>
                                <w:spacing w:val="21"/>
                                <w:w w:val="95"/>
                                <w:sz w:val="21"/>
                              </w:rPr>
                              <w:t>平</w:t>
                            </w:r>
                            <w:r>
                              <w:rPr>
                                <w:rFonts w:hint="eastAsia" w:ascii="宋体" w:eastAsia="宋体"/>
                                <w:i/>
                                <w:spacing w:val="23"/>
                                <w:w w:val="95"/>
                                <w:sz w:val="21"/>
                              </w:rPr>
                              <w:t>台等</w:t>
                            </w:r>
                            <w:r>
                              <w:rPr>
                                <w:rFonts w:hint="eastAsia" w:ascii="宋体" w:eastAsia="宋体"/>
                                <w:i/>
                                <w:spacing w:val="11"/>
                                <w:w w:val="95"/>
                                <w:sz w:val="21"/>
                              </w:rPr>
                              <w:t>项目。</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4pt;margin-top:53.4pt;height:143.9pt;width:450.5pt;mso-position-horizontal-relative:page;z-index:-251613184;mso-width-relative:page;mso-height-relative:page;" filled="f" stroked="t" coordsize="21600,21600" o:gfxdata="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Y4GfHWAAAADAEAAA8AAAAAAAAAAQAgAAAAIgAAAGRy&#10;cy9kb3ducmV2LnhtbFBLAQIUABQAAAAIAIdO4kBLznfPQAIAAGoEAAAOAAAAAAAAAAEAIAAAACUB&#10;AABkcnMvZTJvRG9jLnhtbFBLBQYAAAAABgAGAFkBAADXBQAAAAA=&#10;">
                <v:fill on="f" focussize="0,0"/>
                <v:stroke weight="0.48pt" color="#000000" miterlimit="8" joinstyle="miter"/>
                <v:imagedata o:title=""/>
                <o:lock v:ext="edit" aspectratio="f"/>
                <v:textbox inset="0mm,0mm,0mm,0mm">
                  <w:txbxContent>
                    <w:p w14:paraId="78C3CA83">
                      <w:pPr>
                        <w:spacing w:before="82"/>
                        <w:ind w:left="2942" w:right="2961"/>
                        <w:jc w:val="center"/>
                        <w:rPr>
                          <w:rFonts w:ascii="黑体" w:eastAsia="黑体"/>
                          <w:sz w:val="24"/>
                        </w:rPr>
                      </w:pPr>
                      <w:r>
                        <w:rPr>
                          <w:rFonts w:ascii="黑体" w:eastAsia="黑体"/>
                          <w:spacing w:val="-5"/>
                          <w:sz w:val="24"/>
                        </w:rPr>
                        <w:t xml:space="preserve">专栏 </w:t>
                      </w:r>
                      <w:r>
                        <w:rPr>
                          <w:rFonts w:ascii="黑体" w:eastAsia="黑体"/>
                          <w:sz w:val="24"/>
                        </w:rPr>
                        <w:t>3</w:t>
                      </w:r>
                      <w:r>
                        <w:rPr>
                          <w:rFonts w:ascii="黑体" w:eastAsia="黑体"/>
                          <w:spacing w:val="115"/>
                          <w:w w:val="150"/>
                          <w:sz w:val="24"/>
                        </w:rPr>
                        <w:t xml:space="preserve"> </w:t>
                      </w:r>
                      <w:r>
                        <w:rPr>
                          <w:rFonts w:ascii="黑体" w:eastAsia="黑体"/>
                          <w:spacing w:val="17"/>
                          <w:sz w:val="24"/>
                        </w:rPr>
                        <w:t>工业重点建设项目</w:t>
                      </w:r>
                    </w:p>
                    <w:p w14:paraId="0A3CF615">
                      <w:pPr>
                        <w:spacing w:before="188" w:line="357" w:lineRule="auto"/>
                        <w:ind w:left="102" w:right="121" w:firstLine="465"/>
                        <w:jc w:val="both"/>
                        <w:rPr>
                          <w:rFonts w:ascii="宋体" w:eastAsia="宋体"/>
                          <w:i/>
                          <w:sz w:val="21"/>
                        </w:rPr>
                      </w:pPr>
                      <w:r>
                        <w:rPr>
                          <w:rFonts w:hint="eastAsia" w:ascii="宋体" w:eastAsia="宋体"/>
                          <w:i/>
                          <w:spacing w:val="18"/>
                          <w:w w:val="99"/>
                          <w:sz w:val="21"/>
                        </w:rPr>
                        <w:t>光热发电回转驱动减速器产业化、银川经济技术开发区中轴智造小镇三期、银川市</w:t>
                      </w:r>
                      <w:r>
                        <w:rPr>
                          <w:rFonts w:hint="eastAsia" w:ascii="宋体" w:eastAsia="宋体"/>
                          <w:i/>
                          <w:spacing w:val="19"/>
                          <w:w w:val="99"/>
                          <w:sz w:val="21"/>
                        </w:rPr>
                        <w:t>经济技术开发区国开金泰中轴小镇一期工程第二期、银川经济技术开发区中轴小镇一期</w:t>
                      </w:r>
                      <w:r>
                        <w:rPr>
                          <w:rFonts w:hint="eastAsia" w:ascii="宋体" w:eastAsia="宋体"/>
                          <w:i/>
                          <w:spacing w:val="16"/>
                          <w:w w:val="99"/>
                          <w:sz w:val="21"/>
                        </w:rPr>
                        <w:t>工程、宁夏云立方数据中心、小巨人卧加产能提升、小牛自动化二期、轴承制造及装备</w:t>
                      </w:r>
                      <w:r>
                        <w:rPr>
                          <w:rFonts w:hint="eastAsia" w:ascii="宋体" w:eastAsia="宋体"/>
                          <w:i/>
                          <w:spacing w:val="18"/>
                          <w:w w:val="99"/>
                          <w:sz w:val="21"/>
                        </w:rPr>
                        <w:t>制造、非标轴承智造、富硒枸杞精酿红啤、枸杞酵素深加工、工业楼宇、工业设计、服</w:t>
                      </w:r>
                      <w:r>
                        <w:rPr>
                          <w:rFonts w:hint="eastAsia" w:ascii="宋体" w:eastAsia="宋体"/>
                          <w:i/>
                          <w:spacing w:val="17"/>
                          <w:w w:val="99"/>
                          <w:sz w:val="21"/>
                        </w:rPr>
                        <w:t>务型制造企业示范、工业机器人应用示范、智能传感器合作实验平台、工业物联网建设</w:t>
                      </w:r>
                    </w:p>
                    <w:p w14:paraId="5FB94C15">
                      <w:pPr>
                        <w:spacing w:line="264" w:lineRule="exact"/>
                        <w:ind w:left="102"/>
                        <w:rPr>
                          <w:rFonts w:ascii="宋体" w:eastAsia="宋体"/>
                          <w:i/>
                          <w:sz w:val="21"/>
                        </w:rPr>
                      </w:pPr>
                      <w:r>
                        <w:rPr>
                          <w:rFonts w:hint="eastAsia" w:ascii="宋体" w:eastAsia="宋体"/>
                          <w:i/>
                          <w:spacing w:val="22"/>
                          <w:w w:val="95"/>
                          <w:sz w:val="21"/>
                        </w:rPr>
                        <w:t>与推</w:t>
                      </w:r>
                      <w:r>
                        <w:rPr>
                          <w:rFonts w:hint="eastAsia" w:ascii="宋体" w:eastAsia="宋体"/>
                          <w:i/>
                          <w:spacing w:val="23"/>
                          <w:w w:val="95"/>
                          <w:sz w:val="21"/>
                        </w:rPr>
                        <w:t>广、</w:t>
                      </w:r>
                      <w:r>
                        <w:rPr>
                          <w:rFonts w:hint="eastAsia" w:ascii="宋体" w:eastAsia="宋体"/>
                          <w:i/>
                          <w:spacing w:val="21"/>
                          <w:w w:val="95"/>
                          <w:sz w:val="21"/>
                        </w:rPr>
                        <w:t>智</w:t>
                      </w:r>
                      <w:r>
                        <w:rPr>
                          <w:rFonts w:hint="eastAsia" w:ascii="宋体" w:eastAsia="宋体"/>
                          <w:i/>
                          <w:spacing w:val="23"/>
                          <w:w w:val="95"/>
                          <w:sz w:val="21"/>
                        </w:rPr>
                        <w:t>能工</w:t>
                      </w:r>
                      <w:r>
                        <w:rPr>
                          <w:rFonts w:hint="eastAsia" w:ascii="宋体" w:eastAsia="宋体"/>
                          <w:i/>
                          <w:spacing w:val="21"/>
                          <w:w w:val="95"/>
                          <w:sz w:val="21"/>
                        </w:rPr>
                        <w:t>厂</w:t>
                      </w:r>
                      <w:r>
                        <w:rPr>
                          <w:rFonts w:hint="eastAsia" w:ascii="宋体" w:eastAsia="宋体"/>
                          <w:i/>
                          <w:spacing w:val="23"/>
                          <w:w w:val="95"/>
                          <w:sz w:val="21"/>
                        </w:rPr>
                        <w:t>、数</w:t>
                      </w:r>
                      <w:r>
                        <w:rPr>
                          <w:rFonts w:hint="eastAsia" w:ascii="宋体" w:eastAsia="宋体"/>
                          <w:i/>
                          <w:spacing w:val="21"/>
                          <w:w w:val="95"/>
                          <w:sz w:val="21"/>
                        </w:rPr>
                        <w:t>字</w:t>
                      </w:r>
                      <w:r>
                        <w:rPr>
                          <w:rFonts w:hint="eastAsia" w:ascii="宋体" w:eastAsia="宋体"/>
                          <w:i/>
                          <w:spacing w:val="23"/>
                          <w:w w:val="95"/>
                          <w:sz w:val="21"/>
                        </w:rPr>
                        <w:t>化车</w:t>
                      </w:r>
                      <w:r>
                        <w:rPr>
                          <w:rFonts w:hint="eastAsia" w:ascii="宋体" w:eastAsia="宋体"/>
                          <w:i/>
                          <w:spacing w:val="21"/>
                          <w:w w:val="95"/>
                          <w:sz w:val="21"/>
                        </w:rPr>
                        <w:t>间</w:t>
                      </w:r>
                      <w:r>
                        <w:rPr>
                          <w:rFonts w:hint="eastAsia" w:ascii="宋体" w:eastAsia="宋体"/>
                          <w:i/>
                          <w:spacing w:val="23"/>
                          <w:w w:val="95"/>
                          <w:sz w:val="21"/>
                        </w:rPr>
                        <w:t>、工</w:t>
                      </w:r>
                      <w:r>
                        <w:rPr>
                          <w:rFonts w:hint="eastAsia" w:ascii="宋体" w:eastAsia="宋体"/>
                          <w:i/>
                          <w:spacing w:val="21"/>
                          <w:w w:val="95"/>
                          <w:sz w:val="21"/>
                        </w:rPr>
                        <w:t>业</w:t>
                      </w:r>
                      <w:r>
                        <w:rPr>
                          <w:rFonts w:hint="eastAsia" w:ascii="宋体" w:eastAsia="宋体"/>
                          <w:i/>
                          <w:spacing w:val="23"/>
                          <w:w w:val="95"/>
                          <w:sz w:val="21"/>
                        </w:rPr>
                        <w:t>大数</w:t>
                      </w:r>
                      <w:r>
                        <w:rPr>
                          <w:rFonts w:hint="eastAsia" w:ascii="宋体" w:eastAsia="宋体"/>
                          <w:i/>
                          <w:spacing w:val="21"/>
                          <w:w w:val="95"/>
                          <w:sz w:val="21"/>
                        </w:rPr>
                        <w:t>据</w:t>
                      </w:r>
                      <w:r>
                        <w:rPr>
                          <w:rFonts w:hint="eastAsia" w:ascii="宋体" w:eastAsia="宋体"/>
                          <w:i/>
                          <w:spacing w:val="23"/>
                          <w:w w:val="95"/>
                          <w:sz w:val="21"/>
                        </w:rPr>
                        <w:t>融合</w:t>
                      </w:r>
                      <w:r>
                        <w:rPr>
                          <w:rFonts w:hint="eastAsia" w:ascii="宋体" w:eastAsia="宋体"/>
                          <w:i/>
                          <w:spacing w:val="21"/>
                          <w:w w:val="95"/>
                          <w:sz w:val="21"/>
                        </w:rPr>
                        <w:t>平</w:t>
                      </w:r>
                      <w:r>
                        <w:rPr>
                          <w:rFonts w:hint="eastAsia" w:ascii="宋体" w:eastAsia="宋体"/>
                          <w:i/>
                          <w:spacing w:val="23"/>
                          <w:w w:val="95"/>
                          <w:sz w:val="21"/>
                        </w:rPr>
                        <w:t>台等</w:t>
                      </w:r>
                      <w:r>
                        <w:rPr>
                          <w:rFonts w:hint="eastAsia" w:ascii="宋体" w:eastAsia="宋体"/>
                          <w:i/>
                          <w:spacing w:val="11"/>
                          <w:w w:val="95"/>
                          <w:sz w:val="21"/>
                        </w:rPr>
                        <w:t>项目。</w:t>
                      </w:r>
                    </w:p>
                  </w:txbxContent>
                </v:textbox>
              </v:shape>
            </w:pict>
          </mc:Fallback>
        </mc:AlternateContent>
      </w:r>
      <w:r>
        <w:rPr>
          <w:spacing w:val="12"/>
          <w:sz w:val="32"/>
          <w:szCs w:val="32"/>
        </w:rPr>
        <w:t xml:space="preserve">提升环境质量，为经济发展提供更大空间，到 </w:t>
      </w:r>
      <w:r>
        <w:rPr>
          <w:rFonts w:ascii="Times New Roman" w:eastAsia="Times New Roman"/>
          <w:sz w:val="32"/>
          <w:szCs w:val="32"/>
        </w:rPr>
        <w:t>2025</w:t>
      </w:r>
      <w:r>
        <w:rPr>
          <w:rFonts w:ascii="Times New Roman" w:eastAsia="Times New Roman"/>
          <w:spacing w:val="-16"/>
          <w:sz w:val="32"/>
          <w:szCs w:val="32"/>
        </w:rPr>
        <w:t xml:space="preserve"> </w:t>
      </w:r>
      <w:r>
        <w:rPr>
          <w:spacing w:val="12"/>
          <w:sz w:val="32"/>
          <w:szCs w:val="32"/>
        </w:rPr>
        <w:t>年，单位</w:t>
      </w:r>
      <w:r>
        <w:rPr>
          <w:spacing w:val="16"/>
          <w:sz w:val="32"/>
          <w:szCs w:val="32"/>
        </w:rPr>
        <w:t xml:space="preserve">工业增加值能耗下降 </w:t>
      </w:r>
      <w:r>
        <w:rPr>
          <w:rFonts w:ascii="Times New Roman" w:eastAsia="Times New Roman"/>
          <w:spacing w:val="11"/>
          <w:sz w:val="32"/>
          <w:szCs w:val="32"/>
        </w:rPr>
        <w:t>5%</w:t>
      </w:r>
      <w:r>
        <w:rPr>
          <w:sz w:val="32"/>
          <w:szCs w:val="32"/>
        </w:rPr>
        <w:t>。</w:t>
      </w:r>
    </w:p>
    <w:p w14:paraId="3E6F6F72">
      <w:pPr>
        <w:rPr>
          <w:sz w:val="20"/>
          <w:szCs w:val="32"/>
        </w:rPr>
      </w:pPr>
    </w:p>
    <w:p w14:paraId="54134DCB">
      <w:pPr>
        <w:rPr>
          <w:sz w:val="20"/>
          <w:szCs w:val="32"/>
        </w:rPr>
      </w:pPr>
    </w:p>
    <w:p w14:paraId="039C355F">
      <w:pPr>
        <w:rPr>
          <w:sz w:val="20"/>
          <w:szCs w:val="32"/>
        </w:rPr>
      </w:pPr>
    </w:p>
    <w:p w14:paraId="1AB84213">
      <w:pPr>
        <w:rPr>
          <w:sz w:val="20"/>
          <w:szCs w:val="32"/>
        </w:rPr>
      </w:pPr>
    </w:p>
    <w:p w14:paraId="29CB8E19">
      <w:pPr>
        <w:rPr>
          <w:sz w:val="20"/>
          <w:szCs w:val="32"/>
        </w:rPr>
      </w:pPr>
    </w:p>
    <w:p w14:paraId="01171B98">
      <w:pPr>
        <w:rPr>
          <w:sz w:val="20"/>
          <w:szCs w:val="32"/>
        </w:rPr>
      </w:pPr>
    </w:p>
    <w:p w14:paraId="6E8A46C5">
      <w:pPr>
        <w:rPr>
          <w:sz w:val="20"/>
          <w:szCs w:val="32"/>
        </w:rPr>
      </w:pPr>
    </w:p>
    <w:p w14:paraId="49C9E861">
      <w:pPr>
        <w:rPr>
          <w:sz w:val="20"/>
          <w:szCs w:val="32"/>
        </w:rPr>
      </w:pPr>
    </w:p>
    <w:p w14:paraId="61E4BD82">
      <w:pPr>
        <w:rPr>
          <w:sz w:val="20"/>
          <w:szCs w:val="32"/>
        </w:rPr>
      </w:pPr>
    </w:p>
    <w:p w14:paraId="1F471020">
      <w:pPr>
        <w:rPr>
          <w:sz w:val="20"/>
          <w:szCs w:val="32"/>
        </w:rPr>
      </w:pPr>
    </w:p>
    <w:p w14:paraId="044264AF">
      <w:pPr>
        <w:rPr>
          <w:sz w:val="20"/>
          <w:szCs w:val="32"/>
        </w:rPr>
      </w:pPr>
    </w:p>
    <w:p w14:paraId="021D44E0">
      <w:pPr>
        <w:spacing w:before="204"/>
        <w:ind w:left="2538" w:right="2679"/>
        <w:jc w:val="center"/>
        <w:outlineLvl w:val="0"/>
        <w:rPr>
          <w:rFonts w:ascii="宋体" w:hAnsi="宋体" w:eastAsia="宋体" w:cs="宋体"/>
          <w:b/>
          <w:bCs/>
          <w:sz w:val="32"/>
          <w:szCs w:val="32"/>
        </w:rPr>
      </w:pPr>
      <w:r>
        <w:rPr>
          <w:rFonts w:ascii="宋体" w:hAnsi="宋体" w:eastAsia="宋体" w:cs="宋体"/>
          <w:b/>
          <w:bCs/>
          <w:spacing w:val="24"/>
          <w:sz w:val="32"/>
          <w:szCs w:val="32"/>
        </w:rPr>
        <w:t>第三</w:t>
      </w:r>
      <w:r>
        <w:rPr>
          <w:rFonts w:ascii="宋体" w:hAnsi="宋体" w:eastAsia="宋体" w:cs="宋体"/>
          <w:b/>
          <w:bCs/>
          <w:spacing w:val="72"/>
          <w:sz w:val="32"/>
          <w:szCs w:val="32"/>
        </w:rPr>
        <w:t>节 加</w:t>
      </w:r>
      <w:r>
        <w:rPr>
          <w:rFonts w:ascii="宋体" w:hAnsi="宋体" w:eastAsia="宋体" w:cs="宋体"/>
          <w:b/>
          <w:bCs/>
          <w:spacing w:val="24"/>
          <w:sz w:val="32"/>
          <w:szCs w:val="32"/>
        </w:rPr>
        <w:t>快农业提质增</w:t>
      </w:r>
      <w:r>
        <w:rPr>
          <w:rFonts w:ascii="宋体" w:hAnsi="宋体" w:eastAsia="宋体" w:cs="宋体"/>
          <w:b/>
          <w:bCs/>
          <w:spacing w:val="-10"/>
          <w:sz w:val="32"/>
          <w:szCs w:val="32"/>
        </w:rPr>
        <w:t>效</w:t>
      </w:r>
    </w:p>
    <w:p w14:paraId="37E7FACD">
      <w:pPr>
        <w:spacing w:before="1"/>
        <w:rPr>
          <w:rFonts w:ascii="宋体"/>
          <w:b/>
          <w:sz w:val="26"/>
          <w:szCs w:val="32"/>
        </w:rPr>
      </w:pPr>
    </w:p>
    <w:p w14:paraId="598D5181">
      <w:pPr>
        <w:spacing w:line="350" w:lineRule="auto"/>
        <w:ind w:left="133" w:right="106" w:firstLine="684"/>
        <w:rPr>
          <w:sz w:val="32"/>
          <w:szCs w:val="32"/>
        </w:rPr>
      </w:pPr>
      <w:r>
        <w:rPr>
          <w:spacing w:val="23"/>
          <w:w w:val="99"/>
          <w:sz w:val="32"/>
          <w:szCs w:val="32"/>
        </w:rPr>
        <w:t>以实施乡村振兴战略为引领，以农业供给侧结构性改革</w:t>
      </w:r>
      <w:r>
        <w:rPr>
          <w:spacing w:val="10"/>
          <w:w w:val="99"/>
          <w:sz w:val="32"/>
          <w:szCs w:val="32"/>
        </w:rPr>
        <w:t>为主线，坚持走质量兴农、绿色兴农、品牌强农的发展道路，</w:t>
      </w:r>
      <w:r>
        <w:rPr>
          <w:spacing w:val="23"/>
          <w:w w:val="99"/>
          <w:sz w:val="32"/>
          <w:szCs w:val="32"/>
        </w:rPr>
        <w:t>以发展生态型都市现代农业为主攻方向，积极发展新产业、新业态、新模式，培育壮大新型农业经营主体，加强农业支撑体系建设，推动一二三产融合发展，打造都市绿色生态农</w:t>
      </w:r>
      <w:r>
        <w:rPr>
          <w:spacing w:val="-3"/>
          <w:w w:val="99"/>
          <w:sz w:val="32"/>
          <w:szCs w:val="32"/>
        </w:rPr>
        <w:t>业发展示范区，绘就一幅农业高质高效、乡村宜居宜业、农民富</w:t>
      </w:r>
      <w:r>
        <w:rPr>
          <w:spacing w:val="-1"/>
          <w:w w:val="99"/>
          <w:sz w:val="32"/>
          <w:szCs w:val="32"/>
        </w:rPr>
        <w:t>裕富足的振兴蓝图。</w:t>
      </w:r>
    </w:p>
    <w:p w14:paraId="1D7CBA33">
      <w:pPr>
        <w:spacing w:line="372" w:lineRule="exact"/>
        <w:ind w:left="817"/>
        <w:rPr>
          <w:rFonts w:ascii="黑体" w:eastAsia="黑体"/>
          <w:sz w:val="32"/>
          <w:szCs w:val="32"/>
        </w:rPr>
      </w:pPr>
      <w:r>
        <w:rPr>
          <w:rFonts w:ascii="黑体" w:eastAsia="黑体"/>
          <w:spacing w:val="18"/>
          <w:w w:val="95"/>
          <w:sz w:val="32"/>
          <w:szCs w:val="32"/>
        </w:rPr>
        <w:t>一、着力发展生态型都市现代农业</w:t>
      </w:r>
    </w:p>
    <w:p w14:paraId="5500056D">
      <w:pPr>
        <w:spacing w:before="166" w:line="338" w:lineRule="auto"/>
        <w:ind w:left="133" w:right="106" w:firstLine="684"/>
        <w:rPr>
          <w:sz w:val="32"/>
          <w:szCs w:val="32"/>
        </w:rPr>
      </w:pPr>
      <w:r>
        <w:rPr>
          <w:b/>
          <w:spacing w:val="26"/>
          <w:w w:val="99"/>
          <w:sz w:val="32"/>
          <w:szCs w:val="32"/>
        </w:rPr>
        <w:t>加快发展休闲农业。</w:t>
      </w:r>
      <w:r>
        <w:rPr>
          <w:spacing w:val="22"/>
          <w:w w:val="99"/>
          <w:sz w:val="32"/>
          <w:szCs w:val="32"/>
        </w:rPr>
        <w:t>以良田镇和丰登镇为核心，积极发</w:t>
      </w:r>
      <w:r>
        <w:rPr>
          <w:spacing w:val="23"/>
          <w:w w:val="99"/>
          <w:sz w:val="32"/>
          <w:szCs w:val="32"/>
        </w:rPr>
        <w:t>展以品果、采摘等为重点的休闲观光农业，探索发展以农耕</w:t>
      </w:r>
      <w:r>
        <w:rPr>
          <w:spacing w:val="11"/>
          <w:w w:val="99"/>
          <w:sz w:val="32"/>
          <w:szCs w:val="32"/>
        </w:rPr>
        <w:t>文化传承、农事体验、农业科普教育为重点的休闲体验农业，</w:t>
      </w:r>
      <w:r>
        <w:rPr>
          <w:spacing w:val="23"/>
          <w:w w:val="99"/>
          <w:sz w:val="32"/>
          <w:szCs w:val="32"/>
        </w:rPr>
        <w:t>大力发展租赁农庄、市民农园、亲子乐园、葡萄酒庄等丰富多样的乡村旅游新业态，依托阅海公园、典农河、元宝湖，在丰登镇建设城郊型休闲旅游产业带。加快实施百果园一二</w:t>
      </w:r>
      <w:r>
        <w:rPr>
          <w:spacing w:val="10"/>
          <w:w w:val="99"/>
          <w:sz w:val="32"/>
          <w:szCs w:val="32"/>
        </w:rPr>
        <w:t>三产融合发展、园子村民宿观光乡村旅游和草莓小镇等项目。</w:t>
      </w:r>
    </w:p>
    <w:p w14:paraId="68A6C2E6">
      <w:pPr>
        <w:spacing w:line="338" w:lineRule="auto"/>
        <w:sectPr>
          <w:pgSz w:w="11910" w:h="16840"/>
          <w:pgMar w:top="1780" w:right="1220" w:bottom="1160" w:left="1340" w:header="0" w:footer="975" w:gutter="0"/>
          <w:cols w:space="720" w:num="1"/>
        </w:sectPr>
      </w:pPr>
    </w:p>
    <w:p w14:paraId="46F068A4">
      <w:pPr>
        <w:spacing w:before="28" w:line="338" w:lineRule="auto"/>
        <w:ind w:left="133" w:right="106"/>
        <w:rPr>
          <w:sz w:val="32"/>
          <w:szCs w:val="32"/>
        </w:rPr>
      </w:pPr>
      <w:r>
        <w:rPr>
          <w:spacing w:val="23"/>
          <w:w w:val="99"/>
          <w:sz w:val="32"/>
          <w:szCs w:val="32"/>
        </w:rPr>
        <w:t xml:space="preserve">壮大花卉苗木观赏基地，在良田镇银兴路两侧规划建设千亩 </w:t>
      </w:r>
      <w:r>
        <w:rPr>
          <w:spacing w:val="10"/>
          <w:w w:val="99"/>
          <w:sz w:val="32"/>
          <w:szCs w:val="32"/>
        </w:rPr>
        <w:t>“市外桃园”、千亩薰衣草婚庆乐园、千亩向日葵景观长廊、</w:t>
      </w:r>
      <w:r>
        <w:rPr>
          <w:spacing w:val="14"/>
          <w:w w:val="99"/>
          <w:sz w:val="32"/>
          <w:szCs w:val="32"/>
        </w:rPr>
        <w:t>千亩油菜花海和千亩草莓采摘园等项目，打造集园林、休闲、</w:t>
      </w:r>
      <w:r>
        <w:rPr>
          <w:spacing w:val="23"/>
          <w:w w:val="99"/>
          <w:sz w:val="32"/>
          <w:szCs w:val="32"/>
        </w:rPr>
        <w:t>旅游等功能为一体的“良田花卉景观长廊”。举办和策划一批休闲观光农业大型节庆和游乐活动，带动餐饮、娱乐、购</w:t>
      </w:r>
      <w:r>
        <w:rPr>
          <w:spacing w:val="20"/>
          <w:w w:val="99"/>
          <w:sz w:val="32"/>
          <w:szCs w:val="32"/>
        </w:rPr>
        <w:t>物等服务业发展，让金凤区成为银川“后花园”。</w:t>
      </w:r>
    </w:p>
    <w:p w14:paraId="0FEB3FE9">
      <w:pPr>
        <w:spacing w:before="11" w:line="338" w:lineRule="auto"/>
        <w:ind w:left="133" w:right="275" w:firstLine="684"/>
        <w:jc w:val="both"/>
        <w:rPr>
          <w:sz w:val="32"/>
          <w:szCs w:val="32"/>
        </w:rPr>
      </w:pPr>
      <w:r>
        <w:rPr>
          <w:b/>
          <w:spacing w:val="26"/>
          <w:w w:val="99"/>
          <w:sz w:val="32"/>
          <w:szCs w:val="32"/>
        </w:rPr>
        <w:t>优化发展设施农业。</w:t>
      </w:r>
      <w:r>
        <w:rPr>
          <w:spacing w:val="22"/>
          <w:w w:val="99"/>
          <w:sz w:val="32"/>
          <w:szCs w:val="32"/>
        </w:rPr>
        <w:t>围绕银川市城市菜园子建设目标，</w:t>
      </w:r>
      <w:r>
        <w:rPr>
          <w:spacing w:val="24"/>
          <w:w w:val="99"/>
          <w:sz w:val="32"/>
          <w:szCs w:val="32"/>
        </w:rPr>
        <w:t>强化“龙头企业</w:t>
      </w:r>
      <w:r>
        <w:rPr>
          <w:rFonts w:ascii="Times New Roman" w:hAnsi="Times New Roman" w:eastAsia="Times New Roman"/>
          <w:spacing w:val="12"/>
          <w:w w:val="99"/>
          <w:sz w:val="32"/>
          <w:szCs w:val="32"/>
        </w:rPr>
        <w:t>+</w:t>
      </w:r>
      <w:r>
        <w:rPr>
          <w:spacing w:val="23"/>
          <w:w w:val="99"/>
          <w:sz w:val="32"/>
          <w:szCs w:val="32"/>
        </w:rPr>
        <w:t>合作社</w:t>
      </w:r>
      <w:r>
        <w:rPr>
          <w:rFonts w:ascii="Times New Roman" w:hAnsi="Times New Roman" w:eastAsia="Times New Roman"/>
          <w:spacing w:val="12"/>
          <w:w w:val="99"/>
          <w:sz w:val="32"/>
          <w:szCs w:val="32"/>
        </w:rPr>
        <w:t>+</w:t>
      </w:r>
      <w:r>
        <w:rPr>
          <w:spacing w:val="20"/>
          <w:w w:val="99"/>
          <w:sz w:val="32"/>
          <w:szCs w:val="32"/>
        </w:rPr>
        <w:t>农户”发展模式，推广新技术，实</w:t>
      </w:r>
      <w:r>
        <w:rPr>
          <w:spacing w:val="23"/>
          <w:w w:val="99"/>
          <w:sz w:val="32"/>
          <w:szCs w:val="32"/>
        </w:rPr>
        <w:t>施蔬菜产业提质扩规行动，开展优质蔬菜标准园创建，打造永久性蔬菜生产基地，重点打造良田镇、丰登镇露地蔬菜、园子村设施蔬菜生产基地。继续实施良田镇万亩现代农业园区建设，推进良田镇北部植物园、泾龙、园林、和顺等村设</w:t>
      </w:r>
      <w:r>
        <w:rPr>
          <w:spacing w:val="24"/>
          <w:w w:val="99"/>
          <w:sz w:val="32"/>
          <w:szCs w:val="32"/>
        </w:rPr>
        <w:t>施瓜菜生产基地</w:t>
      </w:r>
      <w:r>
        <w:rPr>
          <w:spacing w:val="26"/>
          <w:w w:val="99"/>
          <w:sz w:val="32"/>
          <w:szCs w:val="32"/>
        </w:rPr>
        <w:t>（</w:t>
      </w:r>
      <w:r>
        <w:rPr>
          <w:spacing w:val="25"/>
          <w:w w:val="99"/>
          <w:sz w:val="32"/>
          <w:szCs w:val="32"/>
        </w:rPr>
        <w:t>园区</w:t>
      </w:r>
      <w:r>
        <w:rPr>
          <w:spacing w:val="26"/>
          <w:w w:val="99"/>
          <w:sz w:val="32"/>
          <w:szCs w:val="32"/>
        </w:rPr>
        <w:t>）</w:t>
      </w:r>
      <w:r>
        <w:rPr>
          <w:spacing w:val="22"/>
          <w:w w:val="99"/>
          <w:sz w:val="32"/>
          <w:szCs w:val="32"/>
        </w:rPr>
        <w:t>的提档升级，加快推进金凤区现代</w:t>
      </w:r>
      <w:r>
        <w:rPr>
          <w:spacing w:val="23"/>
          <w:w w:val="99"/>
          <w:sz w:val="32"/>
          <w:szCs w:val="32"/>
        </w:rPr>
        <w:t>农业示范园区建设和丰登镇润丰和丰设施园区建设，提升设</w:t>
      </w:r>
      <w:r>
        <w:rPr>
          <w:spacing w:val="18"/>
          <w:w w:val="99"/>
          <w:sz w:val="32"/>
          <w:szCs w:val="32"/>
        </w:rPr>
        <w:t>施农业发展水平。</w:t>
      </w:r>
    </w:p>
    <w:p w14:paraId="4EFF8970">
      <w:pPr>
        <w:ind w:left="817"/>
        <w:rPr>
          <w:rFonts w:ascii="黑体" w:eastAsia="黑体"/>
          <w:sz w:val="32"/>
          <w:szCs w:val="32"/>
        </w:rPr>
      </w:pPr>
      <w:r>
        <w:rPr>
          <w:rFonts w:ascii="黑体" w:eastAsia="黑体"/>
          <w:spacing w:val="18"/>
          <w:w w:val="95"/>
          <w:sz w:val="32"/>
          <w:szCs w:val="32"/>
        </w:rPr>
        <w:t>二、构建新型农业经营体系</w:t>
      </w:r>
    </w:p>
    <w:p w14:paraId="3C486594">
      <w:pPr>
        <w:spacing w:before="130" w:line="364" w:lineRule="auto"/>
        <w:ind w:left="133" w:right="273" w:firstLine="684"/>
        <w:jc w:val="both"/>
        <w:rPr>
          <w:sz w:val="32"/>
          <w:szCs w:val="32"/>
        </w:rPr>
      </w:pPr>
      <w:r>
        <w:rPr>
          <w:b/>
          <w:spacing w:val="26"/>
          <w:w w:val="99"/>
          <w:sz w:val="32"/>
          <w:szCs w:val="32"/>
        </w:rPr>
        <w:t>培育新型农业经营主体。</w:t>
      </w:r>
      <w:r>
        <w:rPr>
          <w:spacing w:val="22"/>
          <w:w w:val="99"/>
          <w:sz w:val="32"/>
          <w:szCs w:val="32"/>
        </w:rPr>
        <w:t>实施企业联姻、集团注资、外</w:t>
      </w:r>
      <w:r>
        <w:rPr>
          <w:spacing w:val="23"/>
          <w:w w:val="99"/>
          <w:sz w:val="32"/>
          <w:szCs w:val="32"/>
        </w:rPr>
        <w:t>资嫁接、民资撬动“四个一批”工程，培育发展各类新型经营主体。大力培育种养大户、家庭农场、农民专业合作社等新型农业经营主体，在金融、土地等方面给予重点扶持，扶持一批辐射带动能力强的合作社发展壮大成为龙头企业，支持发展农产品、林产品、水产品深加工和特色加工业，打造农产品精深加工产业集群。引导鼓励农业科技人员、科技特</w:t>
      </w:r>
    </w:p>
    <w:p w14:paraId="7C862876">
      <w:pPr>
        <w:spacing w:line="364" w:lineRule="auto"/>
        <w:jc w:val="both"/>
        <w:sectPr>
          <w:pgSz w:w="11910" w:h="16840"/>
          <w:pgMar w:top="1800" w:right="1220" w:bottom="1160" w:left="1340" w:header="0" w:footer="975" w:gutter="0"/>
          <w:cols w:space="720" w:num="1"/>
        </w:sectPr>
      </w:pPr>
    </w:p>
    <w:p w14:paraId="4CAEBFB6">
      <w:pPr>
        <w:spacing w:before="32" w:line="364" w:lineRule="auto"/>
        <w:ind w:left="133" w:right="270"/>
        <w:jc w:val="both"/>
        <w:rPr>
          <w:sz w:val="32"/>
          <w:szCs w:val="32"/>
        </w:rPr>
      </w:pPr>
      <w:r>
        <w:rPr>
          <w:spacing w:val="23"/>
          <w:w w:val="99"/>
          <w:sz w:val="32"/>
          <w:szCs w:val="32"/>
        </w:rPr>
        <w:t>派员、大中专毕业生、农民技术员领办创办新型农业经营主</w:t>
      </w:r>
      <w:r>
        <w:rPr>
          <w:spacing w:val="9"/>
          <w:w w:val="99"/>
          <w:sz w:val="32"/>
          <w:szCs w:val="32"/>
        </w:rPr>
        <w:t>体。到</w:t>
      </w:r>
      <w:r>
        <w:rPr>
          <w:spacing w:val="-52"/>
          <w:sz w:val="32"/>
          <w:szCs w:val="32"/>
        </w:rPr>
        <w:t xml:space="preserve"> </w:t>
      </w:r>
      <w:r>
        <w:rPr>
          <w:rFonts w:ascii="Times New Roman" w:eastAsia="Times New Roman"/>
          <w:spacing w:val="8"/>
          <w:w w:val="99"/>
          <w:sz w:val="32"/>
          <w:szCs w:val="32"/>
        </w:rPr>
        <w:t>2</w:t>
      </w:r>
      <w:r>
        <w:rPr>
          <w:rFonts w:ascii="Times New Roman" w:eastAsia="Times New Roman"/>
          <w:spacing w:val="10"/>
          <w:w w:val="99"/>
          <w:sz w:val="32"/>
          <w:szCs w:val="32"/>
        </w:rPr>
        <w:t>02</w:t>
      </w:r>
      <w:r>
        <w:rPr>
          <w:rFonts w:ascii="Times New Roman" w:eastAsia="Times New Roman"/>
          <w:w w:val="99"/>
          <w:sz w:val="32"/>
          <w:szCs w:val="32"/>
        </w:rPr>
        <w:t>5</w:t>
      </w:r>
      <w:r>
        <w:rPr>
          <w:rFonts w:ascii="Times New Roman" w:eastAsia="Times New Roman"/>
          <w:spacing w:val="22"/>
          <w:sz w:val="32"/>
          <w:szCs w:val="32"/>
        </w:rPr>
        <w:t xml:space="preserve"> </w:t>
      </w:r>
      <w:r>
        <w:rPr>
          <w:spacing w:val="17"/>
          <w:w w:val="99"/>
          <w:sz w:val="32"/>
          <w:szCs w:val="32"/>
        </w:rPr>
        <w:t>年，全区每个特色产业培育</w:t>
      </w:r>
      <w:r>
        <w:rPr>
          <w:spacing w:val="-52"/>
          <w:sz w:val="32"/>
          <w:szCs w:val="32"/>
        </w:rPr>
        <w:t xml:space="preserve"> </w:t>
      </w:r>
      <w:r>
        <w:rPr>
          <w:rFonts w:ascii="Times New Roman" w:eastAsia="Times New Roman"/>
          <w:spacing w:val="8"/>
          <w:w w:val="99"/>
          <w:sz w:val="32"/>
          <w:szCs w:val="32"/>
        </w:rPr>
        <w:t>2</w:t>
      </w:r>
      <w:r>
        <w:rPr>
          <w:rFonts w:ascii="Times New Roman" w:eastAsia="Times New Roman"/>
          <w:spacing w:val="11"/>
          <w:w w:val="99"/>
          <w:sz w:val="32"/>
          <w:szCs w:val="32"/>
        </w:rPr>
        <w:t>-</w:t>
      </w:r>
      <w:r>
        <w:rPr>
          <w:rFonts w:ascii="Times New Roman" w:eastAsia="Times New Roman"/>
          <w:w w:val="99"/>
          <w:sz w:val="32"/>
          <w:szCs w:val="32"/>
        </w:rPr>
        <w:t>3</w:t>
      </w:r>
      <w:r>
        <w:rPr>
          <w:rFonts w:ascii="Times New Roman" w:eastAsia="Times New Roman"/>
          <w:spacing w:val="19"/>
          <w:sz w:val="32"/>
          <w:szCs w:val="32"/>
        </w:rPr>
        <w:t xml:space="preserve"> </w:t>
      </w:r>
      <w:r>
        <w:rPr>
          <w:spacing w:val="15"/>
          <w:w w:val="99"/>
          <w:sz w:val="32"/>
          <w:szCs w:val="32"/>
        </w:rPr>
        <w:t>家龙头企业，培</w:t>
      </w:r>
      <w:r>
        <w:rPr>
          <w:spacing w:val="20"/>
          <w:w w:val="99"/>
          <w:sz w:val="32"/>
          <w:szCs w:val="32"/>
        </w:rPr>
        <w:t>育市级以上示范合作社</w:t>
      </w:r>
      <w:r>
        <w:rPr>
          <w:spacing w:val="21"/>
          <w:w w:val="99"/>
          <w:sz w:val="32"/>
          <w:szCs w:val="32"/>
        </w:rPr>
        <w:t>（家庭农场</w:t>
      </w:r>
      <w:r>
        <w:rPr>
          <w:spacing w:val="17"/>
          <w:w w:val="99"/>
          <w:sz w:val="32"/>
          <w:szCs w:val="32"/>
        </w:rPr>
        <w:t>）</w:t>
      </w:r>
      <w:r>
        <w:rPr>
          <w:rFonts w:ascii="Times New Roman" w:eastAsia="Times New Roman"/>
          <w:spacing w:val="8"/>
          <w:w w:val="99"/>
          <w:sz w:val="32"/>
          <w:szCs w:val="32"/>
        </w:rPr>
        <w:t>1</w:t>
      </w:r>
      <w:r>
        <w:rPr>
          <w:rFonts w:ascii="Times New Roman" w:eastAsia="Times New Roman"/>
          <w:w w:val="99"/>
          <w:sz w:val="32"/>
          <w:szCs w:val="32"/>
        </w:rPr>
        <w:t>0</w:t>
      </w:r>
      <w:r>
        <w:rPr>
          <w:rFonts w:ascii="Times New Roman" w:eastAsia="Times New Roman"/>
          <w:spacing w:val="19"/>
          <w:sz w:val="32"/>
          <w:szCs w:val="32"/>
        </w:rPr>
        <w:t xml:space="preserve"> </w:t>
      </w:r>
      <w:r>
        <w:rPr>
          <w:spacing w:val="18"/>
          <w:w w:val="99"/>
          <w:sz w:val="32"/>
          <w:szCs w:val="32"/>
        </w:rPr>
        <w:t>家，培育新型职业农民</w:t>
      </w:r>
      <w:r>
        <w:rPr>
          <w:spacing w:val="-52"/>
          <w:sz w:val="32"/>
          <w:szCs w:val="32"/>
        </w:rPr>
        <w:t xml:space="preserve"> </w:t>
      </w:r>
      <w:r>
        <w:rPr>
          <w:rFonts w:ascii="Times New Roman" w:eastAsia="Times New Roman"/>
          <w:spacing w:val="8"/>
          <w:w w:val="99"/>
          <w:sz w:val="32"/>
          <w:szCs w:val="32"/>
        </w:rPr>
        <w:t>2</w:t>
      </w:r>
      <w:r>
        <w:rPr>
          <w:rFonts w:ascii="Times New Roman" w:eastAsia="Times New Roman"/>
          <w:spacing w:val="10"/>
          <w:w w:val="99"/>
          <w:sz w:val="32"/>
          <w:szCs w:val="32"/>
        </w:rPr>
        <w:t>10</w:t>
      </w:r>
      <w:r>
        <w:rPr>
          <w:rFonts w:ascii="Times New Roman" w:eastAsia="Times New Roman"/>
          <w:w w:val="99"/>
          <w:sz w:val="32"/>
          <w:szCs w:val="32"/>
        </w:rPr>
        <w:t>0</w:t>
      </w:r>
      <w:r>
        <w:rPr>
          <w:rFonts w:ascii="Times New Roman" w:eastAsia="Times New Roman"/>
          <w:spacing w:val="22"/>
          <w:sz w:val="32"/>
          <w:szCs w:val="32"/>
        </w:rPr>
        <w:t xml:space="preserve"> </w:t>
      </w:r>
      <w:r>
        <w:rPr>
          <w:spacing w:val="15"/>
          <w:w w:val="99"/>
          <w:sz w:val="32"/>
          <w:szCs w:val="32"/>
        </w:rPr>
        <w:t>人以上。</w:t>
      </w:r>
    </w:p>
    <w:p w14:paraId="66FD93F6">
      <w:pPr>
        <w:spacing w:before="39" w:line="338" w:lineRule="auto"/>
        <w:ind w:left="133" w:right="270" w:firstLine="684"/>
        <w:jc w:val="both"/>
        <w:rPr>
          <w:sz w:val="32"/>
          <w:szCs w:val="32"/>
        </w:rPr>
      </w:pPr>
      <w:r>
        <w:rPr>
          <w:b/>
          <w:spacing w:val="26"/>
          <w:w w:val="99"/>
          <w:sz w:val="32"/>
          <w:szCs w:val="32"/>
        </w:rPr>
        <w:t>推进农户与现代农业有机衔接。</w:t>
      </w:r>
      <w:r>
        <w:rPr>
          <w:spacing w:val="21"/>
          <w:w w:val="99"/>
          <w:sz w:val="32"/>
          <w:szCs w:val="32"/>
        </w:rPr>
        <w:t>按照“政府引导、市场</w:t>
      </w:r>
      <w:r>
        <w:rPr>
          <w:spacing w:val="-1"/>
          <w:w w:val="99"/>
          <w:sz w:val="32"/>
          <w:szCs w:val="32"/>
        </w:rPr>
        <w:t>调节、农民自愿、依法有偿”原则，建立“龙头企业</w:t>
      </w:r>
      <w:r>
        <w:rPr>
          <w:rFonts w:ascii="Times New Roman" w:hAnsi="Times New Roman" w:eastAsia="Times New Roman"/>
          <w:spacing w:val="12"/>
          <w:w w:val="99"/>
          <w:sz w:val="32"/>
          <w:szCs w:val="32"/>
        </w:rPr>
        <w:t>+</w:t>
      </w:r>
      <w:r>
        <w:rPr>
          <w:spacing w:val="-10"/>
          <w:w w:val="99"/>
          <w:sz w:val="32"/>
          <w:szCs w:val="32"/>
        </w:rPr>
        <w:t>协会</w:t>
      </w:r>
      <w:r>
        <w:rPr>
          <w:spacing w:val="21"/>
          <w:w w:val="99"/>
          <w:sz w:val="32"/>
          <w:szCs w:val="32"/>
        </w:rPr>
        <w:t>（</w:t>
      </w:r>
      <w:r>
        <w:rPr>
          <w:w w:val="99"/>
          <w:sz w:val="32"/>
          <w:szCs w:val="32"/>
        </w:rPr>
        <w:t>合</w:t>
      </w:r>
      <w:r>
        <w:rPr>
          <w:spacing w:val="24"/>
          <w:w w:val="99"/>
          <w:sz w:val="32"/>
          <w:szCs w:val="32"/>
        </w:rPr>
        <w:t>作社）</w:t>
      </w:r>
      <w:r>
        <w:rPr>
          <w:rFonts w:ascii="Times New Roman" w:hAnsi="Times New Roman" w:eastAsia="Times New Roman"/>
          <w:spacing w:val="12"/>
          <w:w w:val="99"/>
          <w:sz w:val="32"/>
          <w:szCs w:val="32"/>
        </w:rPr>
        <w:t>+</w:t>
      </w:r>
      <w:r>
        <w:rPr>
          <w:spacing w:val="24"/>
          <w:w w:val="99"/>
          <w:sz w:val="32"/>
          <w:szCs w:val="32"/>
        </w:rPr>
        <w:t>农户</w:t>
      </w:r>
      <w:r>
        <w:rPr>
          <w:rFonts w:ascii="Times New Roman" w:hAnsi="Times New Roman" w:eastAsia="Times New Roman"/>
          <w:spacing w:val="12"/>
          <w:w w:val="99"/>
          <w:sz w:val="32"/>
          <w:szCs w:val="32"/>
        </w:rPr>
        <w:t>+</w:t>
      </w:r>
      <w:r>
        <w:rPr>
          <w:spacing w:val="20"/>
          <w:w w:val="99"/>
          <w:sz w:val="32"/>
          <w:szCs w:val="32"/>
        </w:rPr>
        <w:t>订单生产”的联农带农合作机制。引导龙头企</w:t>
      </w:r>
      <w:r>
        <w:rPr>
          <w:spacing w:val="23"/>
          <w:w w:val="99"/>
          <w:sz w:val="32"/>
          <w:szCs w:val="32"/>
        </w:rPr>
        <w:t>业以订单收购、保护价收购、股份合作、利润返还等方式建立稳定的生产基地，带动小农户发展生态农业、设施农业、体验农业等新业态。鼓励新型农业经营主体与农户建立契约型、股权型利益连接机制，开展农超对接、农社对接，帮助小农户对接市场，带动小农户专业化生产，提高小农户自我</w:t>
      </w:r>
      <w:r>
        <w:rPr>
          <w:spacing w:val="16"/>
          <w:w w:val="99"/>
          <w:sz w:val="32"/>
          <w:szCs w:val="32"/>
        </w:rPr>
        <w:t>发展能力。</w:t>
      </w:r>
    </w:p>
    <w:p w14:paraId="29224552">
      <w:pPr>
        <w:ind w:left="817"/>
        <w:rPr>
          <w:rFonts w:ascii="黑体" w:eastAsia="黑体"/>
          <w:sz w:val="32"/>
          <w:szCs w:val="32"/>
        </w:rPr>
      </w:pPr>
      <w:r>
        <w:rPr>
          <w:rFonts w:ascii="黑体" w:eastAsia="黑体"/>
          <w:spacing w:val="18"/>
          <w:w w:val="95"/>
          <w:sz w:val="32"/>
          <w:szCs w:val="32"/>
        </w:rPr>
        <w:t>三、加强农业支撑体系建设</w:t>
      </w:r>
    </w:p>
    <w:p w14:paraId="22CA256B">
      <w:pPr>
        <w:spacing w:before="166" w:line="338" w:lineRule="auto"/>
        <w:ind w:left="133" w:right="106" w:firstLine="684"/>
        <w:rPr>
          <w:sz w:val="32"/>
          <w:szCs w:val="32"/>
        </w:rPr>
      </w:pPr>
      <w:r>
        <w:rPr>
          <w:b/>
          <w:spacing w:val="19"/>
          <w:w w:val="99"/>
          <w:sz w:val="32"/>
          <w:szCs w:val="32"/>
        </w:rPr>
        <w:t>打造产业融合园区。</w:t>
      </w:r>
      <w:r>
        <w:rPr>
          <w:spacing w:val="11"/>
          <w:w w:val="99"/>
          <w:sz w:val="32"/>
          <w:szCs w:val="32"/>
        </w:rPr>
        <w:t>坚持“整村推进+农业园区”发展模</w:t>
      </w:r>
      <w:r>
        <w:rPr>
          <w:spacing w:val="23"/>
          <w:w w:val="99"/>
          <w:sz w:val="32"/>
          <w:szCs w:val="32"/>
        </w:rPr>
        <w:t>式，以优势瓜菜、草莓、樱桃、火龙果等特色产品为重点，</w:t>
      </w:r>
      <w:r>
        <w:rPr>
          <w:spacing w:val="24"/>
          <w:w w:val="99"/>
          <w:sz w:val="32"/>
          <w:szCs w:val="32"/>
        </w:rPr>
        <w:t>依托丰登镇利思润丰</w:t>
      </w:r>
      <w:r>
        <w:rPr>
          <w:spacing w:val="26"/>
          <w:w w:val="99"/>
          <w:sz w:val="32"/>
          <w:szCs w:val="32"/>
        </w:rPr>
        <w:t>·</w:t>
      </w:r>
      <w:r>
        <w:rPr>
          <w:spacing w:val="22"/>
          <w:w w:val="99"/>
          <w:sz w:val="32"/>
          <w:szCs w:val="32"/>
        </w:rPr>
        <w:t>田园蜜语产业融合园区、良田镇百果</w:t>
      </w:r>
      <w:r>
        <w:rPr>
          <w:spacing w:val="23"/>
          <w:w w:val="99"/>
          <w:sz w:val="32"/>
          <w:szCs w:val="32"/>
        </w:rPr>
        <w:t>园、青源食用菌产业融合园及宁夏美丽良田都市农业公园等</w:t>
      </w:r>
      <w:r>
        <w:rPr>
          <w:spacing w:val="9"/>
          <w:w w:val="99"/>
          <w:sz w:val="32"/>
          <w:szCs w:val="32"/>
        </w:rPr>
        <w:t>产业园区，推进三产融合园区建设，围绕“生产+加工+营销+</w:t>
      </w:r>
      <w:r>
        <w:rPr>
          <w:spacing w:val="23"/>
          <w:w w:val="99"/>
          <w:sz w:val="32"/>
          <w:szCs w:val="32"/>
        </w:rPr>
        <w:t>服务”模式，促进蔬菜生产、加工、销售、物流、研发、示</w:t>
      </w:r>
      <w:r>
        <w:rPr>
          <w:spacing w:val="11"/>
          <w:w w:val="99"/>
          <w:sz w:val="32"/>
          <w:szCs w:val="32"/>
        </w:rPr>
        <w:t>范、服务等相互融合和全产业链开发，加快发展观光、采摘、</w:t>
      </w:r>
      <w:r>
        <w:rPr>
          <w:spacing w:val="19"/>
          <w:w w:val="99"/>
          <w:sz w:val="32"/>
          <w:szCs w:val="32"/>
        </w:rPr>
        <w:t>体验、文化、运动等休闲旅游项目。</w:t>
      </w:r>
    </w:p>
    <w:p w14:paraId="400A506A">
      <w:pPr>
        <w:spacing w:before="17"/>
        <w:ind w:left="817"/>
        <w:rPr>
          <w:sz w:val="32"/>
        </w:rPr>
      </w:pPr>
      <w:r>
        <w:rPr>
          <w:b/>
          <w:spacing w:val="24"/>
          <w:w w:val="95"/>
          <w:sz w:val="32"/>
        </w:rPr>
        <w:t>提升特色农业</w:t>
      </w:r>
      <w:r>
        <w:rPr>
          <w:b/>
          <w:spacing w:val="-8"/>
          <w:w w:val="95"/>
          <w:sz w:val="32"/>
        </w:rPr>
        <w:t>质量。</w:t>
      </w:r>
      <w:r>
        <w:rPr>
          <w:spacing w:val="5"/>
          <w:w w:val="95"/>
          <w:sz w:val="32"/>
        </w:rPr>
        <w:t>实施农业品牌提升行动，构建以“三</w:t>
      </w:r>
    </w:p>
    <w:p w14:paraId="77FCC895">
      <w:pPr>
        <w:rPr>
          <w:sz w:val="32"/>
        </w:rPr>
        <w:sectPr>
          <w:pgSz w:w="11910" w:h="16840"/>
          <w:pgMar w:top="1760" w:right="1220" w:bottom="1160" w:left="1340" w:header="0" w:footer="975" w:gutter="0"/>
          <w:cols w:space="720" w:num="1"/>
        </w:sectPr>
      </w:pPr>
    </w:p>
    <w:p w14:paraId="4C6D7195">
      <w:pPr>
        <w:spacing w:before="28" w:line="338" w:lineRule="auto"/>
        <w:ind w:left="133" w:right="106"/>
        <w:rPr>
          <w:sz w:val="32"/>
          <w:szCs w:val="32"/>
        </w:rPr>
      </w:pPr>
      <w:r>
        <w:rPr>
          <w:spacing w:val="11"/>
          <w:w w:val="99"/>
          <w:sz w:val="32"/>
          <w:szCs w:val="32"/>
        </w:rPr>
        <w:t>品一标”农产品为基础、企业品牌为主体的农产品品牌体系。</w:t>
      </w:r>
      <w:r>
        <w:rPr>
          <w:spacing w:val="3"/>
          <w:w w:val="99"/>
          <w:sz w:val="32"/>
          <w:szCs w:val="32"/>
        </w:rPr>
        <w:t>加大“塞北雪”挂面、“沃福百瑞”枸杞、“良田沙地”瓜菜</w:t>
      </w:r>
      <w:r>
        <w:rPr>
          <w:spacing w:val="11"/>
          <w:w w:val="99"/>
          <w:sz w:val="32"/>
          <w:szCs w:val="32"/>
        </w:rPr>
        <w:t>等品牌的宣传力度，扩大金凤名特优农产品区域品牌影响力。</w:t>
      </w:r>
      <w:r>
        <w:rPr>
          <w:spacing w:val="23"/>
          <w:w w:val="99"/>
          <w:sz w:val="32"/>
          <w:szCs w:val="32"/>
        </w:rPr>
        <w:t>建立农产品质量监测预警、安全追溯体系，建立农产品生产企业信用信息系统，建立质量安全信用档案和“黑名单”制度，加强农产品产地环境保护和源头治理，从源头上确保产</w:t>
      </w:r>
      <w:r>
        <w:rPr>
          <w:spacing w:val="15"/>
          <w:w w:val="99"/>
          <w:sz w:val="32"/>
          <w:szCs w:val="32"/>
        </w:rPr>
        <w:t>品质量。</w:t>
      </w:r>
    </w:p>
    <w:p w14:paraId="1DAB453C">
      <w:pPr>
        <w:spacing w:before="26" w:line="350" w:lineRule="auto"/>
        <w:ind w:left="133" w:right="275" w:firstLine="684"/>
        <w:jc w:val="both"/>
        <w:rPr>
          <w:sz w:val="32"/>
          <w:szCs w:val="32"/>
        </w:rPr>
      </w:pPr>
      <w:r>
        <w:rPr>
          <w:b/>
          <w:spacing w:val="26"/>
          <w:w w:val="99"/>
          <w:sz w:val="32"/>
          <w:szCs w:val="32"/>
        </w:rPr>
        <w:t>壮大农村电子商务。</w:t>
      </w:r>
      <w:r>
        <w:rPr>
          <w:spacing w:val="22"/>
          <w:w w:val="99"/>
          <w:sz w:val="32"/>
          <w:szCs w:val="32"/>
        </w:rPr>
        <w:t>完善农村流通基础设施网络布局，</w:t>
      </w:r>
      <w:r>
        <w:rPr>
          <w:spacing w:val="23"/>
          <w:w w:val="99"/>
          <w:sz w:val="32"/>
          <w:szCs w:val="32"/>
        </w:rPr>
        <w:t>支持丰登镇、良田镇农贸市场建设，加快建设区域性先进冷链物流中心。创新农村电商模式，实施电子商务进农村综合示范区、示范企业认定等，培育区域性、垂直性电商平台、</w:t>
      </w:r>
      <w:r>
        <w:rPr>
          <w:spacing w:val="5"/>
          <w:w w:val="99"/>
          <w:sz w:val="32"/>
          <w:szCs w:val="32"/>
        </w:rPr>
        <w:t>建设品牌农产品综合服务平台，积极发展订单农业，探索“线</w:t>
      </w:r>
      <w:r>
        <w:rPr>
          <w:spacing w:val="18"/>
          <w:w w:val="99"/>
          <w:sz w:val="32"/>
          <w:szCs w:val="32"/>
        </w:rPr>
        <w:t>上推广、交易+线下体验、服务”的新模式。</w:t>
      </w:r>
    </w:p>
    <w:p w14:paraId="4E8BDC0C">
      <w:pPr>
        <w:spacing w:line="350" w:lineRule="auto"/>
        <w:ind w:left="133" w:right="273" w:firstLine="684"/>
        <w:jc w:val="both"/>
        <w:rPr>
          <w:sz w:val="32"/>
          <w:szCs w:val="32"/>
        </w:rPr>
      </w:pPr>
      <w:r>
        <w:rPr>
          <w:b/>
          <w:spacing w:val="19"/>
          <w:w w:val="99"/>
          <w:sz w:val="32"/>
          <w:szCs w:val="32"/>
        </w:rPr>
        <w:t>发展智慧数字农业。</w:t>
      </w:r>
      <w:r>
        <w:rPr>
          <w:spacing w:val="16"/>
          <w:w w:val="99"/>
          <w:sz w:val="32"/>
          <w:szCs w:val="32"/>
        </w:rPr>
        <w:t>升级两镇“三中心一平台</w:t>
      </w:r>
      <w:r>
        <w:rPr>
          <w:spacing w:val="-185"/>
          <w:w w:val="99"/>
          <w:sz w:val="32"/>
          <w:szCs w:val="32"/>
        </w:rPr>
        <w:t>”</w:t>
      </w:r>
      <w:r>
        <w:rPr>
          <w:spacing w:val="21"/>
          <w:w w:val="99"/>
          <w:sz w:val="32"/>
          <w:szCs w:val="32"/>
        </w:rPr>
        <w:t>（</w:t>
      </w:r>
      <w:r>
        <w:rPr>
          <w:spacing w:val="14"/>
          <w:w w:val="99"/>
          <w:sz w:val="32"/>
          <w:szCs w:val="32"/>
        </w:rPr>
        <w:t>良田农</w:t>
      </w:r>
      <w:r>
        <w:rPr>
          <w:spacing w:val="23"/>
          <w:w w:val="99"/>
          <w:sz w:val="32"/>
          <w:szCs w:val="32"/>
        </w:rPr>
        <w:t>商网数字农业检测中心、农商网电商调度中心、物流配送体</w:t>
      </w:r>
      <w:r>
        <w:rPr>
          <w:spacing w:val="24"/>
          <w:w w:val="99"/>
          <w:sz w:val="32"/>
          <w:szCs w:val="32"/>
        </w:rPr>
        <w:t>系和展示中心，丰登农业物联网应用平台）</w:t>
      </w:r>
      <w:r>
        <w:rPr>
          <w:spacing w:val="20"/>
          <w:w w:val="99"/>
          <w:sz w:val="32"/>
          <w:szCs w:val="32"/>
        </w:rPr>
        <w:t>功能，鼓励青源</w:t>
      </w:r>
      <w:r>
        <w:rPr>
          <w:spacing w:val="7"/>
          <w:w w:val="99"/>
          <w:sz w:val="32"/>
          <w:szCs w:val="32"/>
        </w:rPr>
        <w:t>农业科技等企业融合区块链与农产品溯源技术，探索推广“物</w:t>
      </w:r>
      <w:r>
        <w:rPr>
          <w:spacing w:val="11"/>
          <w:w w:val="99"/>
          <w:sz w:val="32"/>
          <w:szCs w:val="32"/>
        </w:rPr>
        <w:t>流冷链库+纯电动物流冷链车”配送模式，推动农产品市场化</w:t>
      </w:r>
      <w:r>
        <w:rPr>
          <w:spacing w:val="23"/>
          <w:w w:val="99"/>
          <w:sz w:val="32"/>
          <w:szCs w:val="32"/>
        </w:rPr>
        <w:t>营销和品牌化运营。加快农村网络基础设施建设，强化农村网络覆盖，整合各大农业合作社资源，实施金凤区设施农业</w:t>
      </w:r>
      <w:r>
        <w:rPr>
          <w:spacing w:val="20"/>
          <w:w w:val="99"/>
          <w:sz w:val="32"/>
          <w:szCs w:val="32"/>
        </w:rPr>
        <w:t>物联网项目，使农村农民共享数字经济发展成果。</w:t>
      </w:r>
    </w:p>
    <w:p w14:paraId="66859C9D">
      <w:pPr>
        <w:spacing w:line="368" w:lineRule="exact"/>
        <w:ind w:left="817"/>
        <w:rPr>
          <w:rFonts w:ascii="黑体" w:eastAsia="黑体"/>
          <w:sz w:val="32"/>
          <w:szCs w:val="32"/>
        </w:rPr>
      </w:pPr>
      <w:r>
        <w:rPr>
          <w:rFonts w:ascii="黑体" w:eastAsia="黑体"/>
          <w:spacing w:val="18"/>
          <w:w w:val="95"/>
          <w:sz w:val="32"/>
          <w:szCs w:val="32"/>
        </w:rPr>
        <w:t>四、推动发展生态高效农业</w:t>
      </w:r>
    </w:p>
    <w:p w14:paraId="2ED60E39">
      <w:pPr>
        <w:spacing w:before="157"/>
        <w:ind w:left="817"/>
        <w:rPr>
          <w:sz w:val="32"/>
        </w:rPr>
      </w:pPr>
      <w:r>
        <w:rPr>
          <w:b/>
          <w:spacing w:val="26"/>
          <w:w w:val="95"/>
          <w:sz w:val="32"/>
        </w:rPr>
        <w:t>促进农业循环化发展。</w:t>
      </w:r>
      <w:r>
        <w:rPr>
          <w:spacing w:val="21"/>
          <w:w w:val="95"/>
          <w:sz w:val="32"/>
        </w:rPr>
        <w:t>加快良田镇清洁煤配送中心运营</w:t>
      </w:r>
    </w:p>
    <w:p w14:paraId="5EAE77FF">
      <w:pPr>
        <w:rPr>
          <w:sz w:val="32"/>
        </w:rPr>
        <w:sectPr>
          <w:pgSz w:w="11910" w:h="16840"/>
          <w:pgMar w:top="1800" w:right="1220" w:bottom="1160" w:left="1340" w:header="0" w:footer="975" w:gutter="0"/>
          <w:cols w:space="720" w:num="1"/>
        </w:sectPr>
      </w:pPr>
    </w:p>
    <w:p w14:paraId="5F797AC7">
      <w:pPr>
        <w:spacing w:before="28" w:line="338" w:lineRule="auto"/>
        <w:ind w:left="133" w:right="102"/>
        <w:rPr>
          <w:sz w:val="32"/>
          <w:szCs w:val="32"/>
        </w:rPr>
      </w:pPr>
      <w:r>
        <w:rPr>
          <w:spacing w:val="24"/>
          <w:sz w:val="32"/>
          <w:szCs w:val="32"/>
        </w:rPr>
        <w:t>见效，不断拓展农业功能，促进生产生活良性循环</w:t>
      </w:r>
      <w:r>
        <w:rPr>
          <w:spacing w:val="17"/>
          <w:sz w:val="32"/>
          <w:szCs w:val="32"/>
        </w:rPr>
        <w:t>，实现农</w:t>
      </w:r>
      <w:r>
        <w:rPr>
          <w:spacing w:val="24"/>
          <w:sz w:val="32"/>
          <w:szCs w:val="32"/>
        </w:rPr>
        <w:t>业生产高效化、家居生活清洁化。结合农村人居</w:t>
      </w:r>
      <w:r>
        <w:rPr>
          <w:spacing w:val="19"/>
          <w:sz w:val="32"/>
          <w:szCs w:val="32"/>
        </w:rPr>
        <w:t>环境整治行</w:t>
      </w:r>
      <w:r>
        <w:rPr>
          <w:spacing w:val="24"/>
          <w:sz w:val="32"/>
          <w:szCs w:val="32"/>
        </w:rPr>
        <w:t>动，统筹推进农村垃圾、污水、畜禽废弃物等农</w:t>
      </w:r>
      <w:r>
        <w:rPr>
          <w:spacing w:val="19"/>
          <w:sz w:val="32"/>
          <w:szCs w:val="32"/>
        </w:rPr>
        <w:t>村污染治理</w:t>
      </w:r>
      <w:r>
        <w:rPr>
          <w:sz w:val="32"/>
          <w:szCs w:val="32"/>
        </w:rPr>
        <w:t xml:space="preserve">工作，通过测土配方减少资源消耗和废弃物排放。到 </w:t>
      </w:r>
      <w:r>
        <w:rPr>
          <w:rFonts w:ascii="Times New Roman" w:eastAsia="Times New Roman"/>
          <w:sz w:val="32"/>
          <w:szCs w:val="32"/>
        </w:rPr>
        <w:t>2025</w:t>
      </w:r>
      <w:r>
        <w:rPr>
          <w:rFonts w:ascii="Times New Roman" w:eastAsia="Times New Roman"/>
          <w:spacing w:val="2"/>
          <w:sz w:val="32"/>
          <w:szCs w:val="32"/>
        </w:rPr>
        <w:t xml:space="preserve"> </w:t>
      </w:r>
      <w:r>
        <w:rPr>
          <w:spacing w:val="12"/>
          <w:sz w:val="32"/>
          <w:szCs w:val="32"/>
        </w:rPr>
        <w:t>年，</w:t>
      </w:r>
      <w:r>
        <w:rPr>
          <w:spacing w:val="16"/>
          <w:sz w:val="32"/>
          <w:szCs w:val="32"/>
        </w:rPr>
        <w:t xml:space="preserve">废旧农膜回收率达到 </w:t>
      </w:r>
      <w:r>
        <w:rPr>
          <w:rFonts w:ascii="Times New Roman" w:eastAsia="Times New Roman"/>
          <w:spacing w:val="11"/>
          <w:sz w:val="32"/>
          <w:szCs w:val="32"/>
        </w:rPr>
        <w:t>90%</w:t>
      </w:r>
      <w:r>
        <w:rPr>
          <w:spacing w:val="21"/>
          <w:sz w:val="32"/>
          <w:szCs w:val="32"/>
        </w:rPr>
        <w:t>以上、农作物秸秆综合利用</w:t>
      </w:r>
      <w:r>
        <w:rPr>
          <w:spacing w:val="24"/>
          <w:sz w:val="32"/>
          <w:szCs w:val="32"/>
        </w:rPr>
        <w:t>率达</w:t>
      </w:r>
      <w:r>
        <w:rPr>
          <w:sz w:val="32"/>
          <w:szCs w:val="32"/>
        </w:rPr>
        <w:t xml:space="preserve">到 </w:t>
      </w:r>
      <w:r>
        <w:rPr>
          <w:rFonts w:ascii="Times New Roman" w:eastAsia="Times New Roman"/>
          <w:spacing w:val="12"/>
          <w:sz w:val="32"/>
          <w:szCs w:val="32"/>
        </w:rPr>
        <w:t>90%</w:t>
      </w:r>
      <w:r>
        <w:rPr>
          <w:spacing w:val="22"/>
          <w:sz w:val="32"/>
          <w:szCs w:val="32"/>
        </w:rPr>
        <w:t xml:space="preserve">以上、畜禽粪污综合利用率达到 </w:t>
      </w:r>
      <w:r>
        <w:rPr>
          <w:rFonts w:ascii="Times New Roman" w:eastAsia="Times New Roman"/>
          <w:spacing w:val="12"/>
          <w:sz w:val="32"/>
          <w:szCs w:val="32"/>
        </w:rPr>
        <w:t>95%</w:t>
      </w:r>
      <w:r>
        <w:rPr>
          <w:spacing w:val="22"/>
          <w:sz w:val="32"/>
          <w:szCs w:val="32"/>
        </w:rPr>
        <w:t>以上、受污染耕地</w:t>
      </w:r>
      <w:r>
        <w:rPr>
          <w:spacing w:val="15"/>
          <w:sz w:val="32"/>
          <w:szCs w:val="32"/>
        </w:rPr>
        <w:t xml:space="preserve">安全利用率达到 </w:t>
      </w:r>
      <w:r>
        <w:rPr>
          <w:rFonts w:ascii="Times New Roman" w:eastAsia="Times New Roman"/>
          <w:spacing w:val="11"/>
          <w:sz w:val="32"/>
          <w:szCs w:val="32"/>
        </w:rPr>
        <w:t>98%</w:t>
      </w:r>
      <w:r>
        <w:rPr>
          <w:sz w:val="32"/>
          <w:szCs w:val="32"/>
        </w:rPr>
        <w:t>。</w:t>
      </w:r>
    </w:p>
    <w:p w14:paraId="52681FA0">
      <w:pPr>
        <w:spacing w:before="14" w:line="338" w:lineRule="auto"/>
        <w:ind w:left="133" w:right="262" w:firstLine="684"/>
        <w:jc w:val="both"/>
        <w:rPr>
          <w:rFonts w:ascii="Times New Roman" w:hAnsi="Times New Roman" w:eastAsia="Times New Roman"/>
          <w:sz w:val="32"/>
          <w:szCs w:val="32"/>
        </w:rPr>
      </w:pPr>
      <w:r>
        <w:rPr>
          <w:b/>
          <w:spacing w:val="26"/>
          <w:w w:val="99"/>
          <w:sz w:val="32"/>
          <w:szCs w:val="32"/>
        </w:rPr>
        <w:t>促进农业高效化发展。</w:t>
      </w:r>
      <w:r>
        <w:rPr>
          <w:spacing w:val="22"/>
          <w:w w:val="99"/>
          <w:sz w:val="32"/>
          <w:szCs w:val="32"/>
        </w:rPr>
        <w:t>按照农业农村高质量发展要求，</w:t>
      </w:r>
      <w:r>
        <w:rPr>
          <w:spacing w:val="23"/>
          <w:w w:val="99"/>
          <w:sz w:val="32"/>
          <w:szCs w:val="32"/>
        </w:rPr>
        <w:t>深入开展农业产业结构调整，示范推广新品种、新技术，培育优质新型经营主体，做好“四好”园区和“五优”蔬菜基</w:t>
      </w:r>
      <w:r>
        <w:rPr>
          <w:w w:val="99"/>
          <w:sz w:val="32"/>
          <w:szCs w:val="32"/>
        </w:rPr>
        <w:t>地建设，不断提高农产品附加值。加快标准园区建设，到</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w:t>
      </w:r>
      <w:r>
        <w:rPr>
          <w:rFonts w:ascii="Times New Roman" w:hAnsi="Times New Roman" w:eastAsia="Times New Roman"/>
          <w:spacing w:val="15"/>
          <w:w w:val="99"/>
          <w:sz w:val="32"/>
          <w:szCs w:val="32"/>
        </w:rPr>
        <w:t>2</w:t>
      </w:r>
      <w:r>
        <w:rPr>
          <w:rFonts w:ascii="Times New Roman" w:hAnsi="Times New Roman" w:eastAsia="Times New Roman"/>
          <w:w w:val="99"/>
          <w:sz w:val="32"/>
          <w:szCs w:val="32"/>
        </w:rPr>
        <w:t>5</w:t>
      </w:r>
    </w:p>
    <w:p w14:paraId="7F921636">
      <w:pPr>
        <w:spacing w:before="6" w:line="340" w:lineRule="auto"/>
        <w:ind w:left="133" w:right="275"/>
        <w:jc w:val="both"/>
        <w:rPr>
          <w:sz w:val="32"/>
          <w:szCs w:val="32"/>
        </w:rPr>
      </w:pPr>
      <w:r>
        <w:rPr>
          <w:sz w:val="32"/>
          <w:szCs w:val="32"/>
        </w:rPr>
        <mc:AlternateContent>
          <mc:Choice Requires="wps">
            <w:drawing>
              <wp:anchor distT="0" distB="0" distL="114300" distR="114300" simplePos="0" relativeHeight="251704320" behindDoc="1" locked="0" layoutInCell="1" allowOverlap="1">
                <wp:simplePos x="0" y="0"/>
                <wp:positionH relativeFrom="page">
                  <wp:posOffset>941705</wp:posOffset>
                </wp:positionH>
                <wp:positionV relativeFrom="paragraph">
                  <wp:posOffset>652145</wp:posOffset>
                </wp:positionV>
                <wp:extent cx="5676265" cy="3864610"/>
                <wp:effectExtent l="0" t="0" r="0" b="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5676265" cy="3864610"/>
                        </a:xfrm>
                        <a:prstGeom prst="rect">
                          <a:avLst/>
                        </a:prstGeom>
                        <a:noFill/>
                        <a:ln w="6096">
                          <a:solidFill>
                            <a:srgbClr val="000000"/>
                          </a:solidFill>
                          <a:prstDash val="solid"/>
                          <a:miter lim="800000"/>
                        </a:ln>
                      </wps:spPr>
                      <wps:txbx>
                        <w:txbxContent>
                          <w:p w14:paraId="7D189175">
                            <w:pPr>
                              <w:spacing w:before="81"/>
                              <w:ind w:left="2648" w:right="2671"/>
                              <w:jc w:val="center"/>
                              <w:rPr>
                                <w:rFonts w:ascii="黑体" w:eastAsia="黑体"/>
                                <w:sz w:val="24"/>
                              </w:rPr>
                            </w:pPr>
                            <w:r>
                              <w:rPr>
                                <w:rFonts w:ascii="黑体" w:eastAsia="黑体"/>
                                <w:spacing w:val="-5"/>
                                <w:sz w:val="24"/>
                              </w:rPr>
                              <w:t xml:space="preserve">专栏 </w:t>
                            </w:r>
                            <w:r>
                              <w:rPr>
                                <w:rFonts w:ascii="黑体" w:eastAsia="黑体"/>
                                <w:sz w:val="24"/>
                              </w:rPr>
                              <w:t>4</w:t>
                            </w:r>
                            <w:r>
                              <w:rPr>
                                <w:rFonts w:ascii="黑体" w:eastAsia="黑体"/>
                                <w:spacing w:val="115"/>
                                <w:w w:val="150"/>
                                <w:sz w:val="24"/>
                              </w:rPr>
                              <w:t xml:space="preserve"> </w:t>
                            </w:r>
                            <w:r>
                              <w:rPr>
                                <w:rFonts w:ascii="黑体" w:eastAsia="黑体"/>
                                <w:spacing w:val="17"/>
                                <w:sz w:val="24"/>
                              </w:rPr>
                              <w:t>都市农业重点建设项目</w:t>
                            </w:r>
                          </w:p>
                          <w:p w14:paraId="32911FE7">
                            <w:pPr>
                              <w:spacing w:before="188" w:line="357" w:lineRule="auto"/>
                              <w:ind w:left="103" w:right="119" w:firstLine="463"/>
                              <w:jc w:val="both"/>
                              <w:rPr>
                                <w:rFonts w:ascii="宋体" w:eastAsia="宋体"/>
                                <w:i/>
                                <w:sz w:val="21"/>
                              </w:rPr>
                            </w:pPr>
                            <w:r>
                              <w:rPr>
                                <w:rFonts w:hint="eastAsia" w:ascii="宋体" w:eastAsia="宋体"/>
                                <w:b/>
                                <w:spacing w:val="19"/>
                                <w:w w:val="99"/>
                                <w:sz w:val="21"/>
                              </w:rPr>
                              <w:t>设施农业项目。</w:t>
                            </w:r>
                            <w:r>
                              <w:rPr>
                                <w:rFonts w:hint="eastAsia" w:ascii="宋体" w:eastAsia="宋体"/>
                                <w:i/>
                                <w:spacing w:val="14"/>
                                <w:w w:val="99"/>
                                <w:sz w:val="21"/>
                              </w:rPr>
                              <w:t>建设良田镇、丰登镇露地蔬菜，园子村设施蔬菜生产基地、无公害蔬菜观光农园和高科技农业园、园子村蔬菜包装箱厂；建设标准化设施林果示范园和优</w:t>
                            </w:r>
                            <w:r>
                              <w:rPr>
                                <w:rFonts w:hint="eastAsia" w:ascii="宋体" w:eastAsia="宋体"/>
                                <w:i/>
                                <w:spacing w:val="19"/>
                                <w:w w:val="99"/>
                                <w:sz w:val="21"/>
                              </w:rPr>
                              <w:t>质水果保鲜冷藏库等项目。</w:t>
                            </w:r>
                          </w:p>
                          <w:p w14:paraId="0481B810">
                            <w:pPr>
                              <w:spacing w:line="357" w:lineRule="auto"/>
                              <w:ind w:left="103" w:right="116" w:firstLine="463"/>
                              <w:rPr>
                                <w:rFonts w:ascii="宋体" w:hAnsi="宋体" w:eastAsia="宋体"/>
                                <w:i/>
                                <w:sz w:val="21"/>
                              </w:rPr>
                            </w:pPr>
                            <w:r>
                              <w:rPr>
                                <w:rFonts w:hint="eastAsia" w:ascii="宋体" w:hAnsi="宋体" w:eastAsia="宋体"/>
                                <w:b/>
                                <w:spacing w:val="23"/>
                                <w:w w:val="95"/>
                                <w:sz w:val="21"/>
                              </w:rPr>
                              <w:t>特色休</w:t>
                            </w:r>
                            <w:r>
                              <w:rPr>
                                <w:rFonts w:hint="eastAsia" w:ascii="宋体" w:hAnsi="宋体" w:eastAsia="宋体"/>
                                <w:b/>
                                <w:spacing w:val="26"/>
                                <w:w w:val="95"/>
                                <w:sz w:val="21"/>
                              </w:rPr>
                              <w:t>闲</w:t>
                            </w:r>
                            <w:r>
                              <w:rPr>
                                <w:rFonts w:hint="eastAsia" w:ascii="宋体" w:hAnsi="宋体" w:eastAsia="宋体"/>
                                <w:b/>
                                <w:spacing w:val="23"/>
                                <w:w w:val="95"/>
                                <w:sz w:val="21"/>
                              </w:rPr>
                              <w:t>农业项目。</w:t>
                            </w:r>
                            <w:r>
                              <w:rPr>
                                <w:rFonts w:hint="eastAsia" w:ascii="宋体" w:hAnsi="宋体" w:eastAsia="宋体"/>
                                <w:i/>
                                <w:spacing w:val="23"/>
                                <w:w w:val="95"/>
                                <w:sz w:val="21"/>
                              </w:rPr>
                              <w:t>百果</w:t>
                            </w:r>
                            <w:r>
                              <w:rPr>
                                <w:rFonts w:hint="eastAsia" w:ascii="宋体" w:hAnsi="宋体" w:eastAsia="宋体"/>
                                <w:i/>
                                <w:spacing w:val="21"/>
                                <w:w w:val="95"/>
                                <w:sz w:val="21"/>
                              </w:rPr>
                              <w:t>园</w:t>
                            </w:r>
                            <w:r>
                              <w:rPr>
                                <w:rFonts w:hint="eastAsia" w:ascii="宋体" w:hAnsi="宋体" w:eastAsia="宋体"/>
                                <w:i/>
                                <w:spacing w:val="23"/>
                                <w:w w:val="95"/>
                                <w:sz w:val="21"/>
                              </w:rPr>
                              <w:t>一二三产</w:t>
                            </w:r>
                            <w:r>
                              <w:rPr>
                                <w:rFonts w:hint="eastAsia" w:ascii="宋体" w:hAnsi="宋体" w:eastAsia="宋体"/>
                                <w:i/>
                                <w:spacing w:val="21"/>
                                <w:w w:val="95"/>
                                <w:sz w:val="21"/>
                              </w:rPr>
                              <w:t>融</w:t>
                            </w:r>
                            <w:r>
                              <w:rPr>
                                <w:rFonts w:hint="eastAsia" w:ascii="宋体" w:hAnsi="宋体" w:eastAsia="宋体"/>
                                <w:i/>
                                <w:spacing w:val="23"/>
                                <w:w w:val="95"/>
                                <w:sz w:val="21"/>
                              </w:rPr>
                              <w:t>合发展、利思</w:t>
                            </w:r>
                            <w:r>
                              <w:rPr>
                                <w:rFonts w:hint="eastAsia" w:ascii="宋体" w:hAnsi="宋体" w:eastAsia="宋体"/>
                                <w:i/>
                                <w:w w:val="95"/>
                                <w:sz w:val="21"/>
                              </w:rPr>
                              <w:t>•</w:t>
                            </w:r>
                            <w:r>
                              <w:rPr>
                                <w:rFonts w:hint="eastAsia" w:ascii="宋体" w:hAnsi="宋体" w:eastAsia="宋体"/>
                                <w:i/>
                                <w:spacing w:val="47"/>
                                <w:sz w:val="21"/>
                              </w:rPr>
                              <w:t xml:space="preserve"> </w:t>
                            </w:r>
                            <w:r>
                              <w:rPr>
                                <w:rFonts w:hint="eastAsia" w:ascii="宋体" w:hAnsi="宋体" w:eastAsia="宋体"/>
                                <w:i/>
                                <w:spacing w:val="23"/>
                                <w:w w:val="95"/>
                                <w:sz w:val="21"/>
                              </w:rPr>
                              <w:t>田园</w:t>
                            </w:r>
                            <w:r>
                              <w:rPr>
                                <w:rFonts w:hint="eastAsia" w:ascii="宋体" w:hAnsi="宋体" w:eastAsia="宋体"/>
                                <w:i/>
                                <w:spacing w:val="21"/>
                                <w:w w:val="95"/>
                                <w:sz w:val="21"/>
                              </w:rPr>
                              <w:t>蜜</w:t>
                            </w:r>
                            <w:r>
                              <w:rPr>
                                <w:rFonts w:hint="eastAsia" w:ascii="宋体" w:hAnsi="宋体" w:eastAsia="宋体"/>
                                <w:i/>
                                <w:spacing w:val="23"/>
                                <w:w w:val="95"/>
                                <w:sz w:val="21"/>
                              </w:rPr>
                              <w:t>语、园子</w:t>
                            </w:r>
                            <w:r>
                              <w:rPr>
                                <w:rFonts w:hint="eastAsia" w:ascii="宋体" w:hAnsi="宋体" w:eastAsia="宋体"/>
                                <w:i/>
                                <w:spacing w:val="21"/>
                                <w:w w:val="95"/>
                                <w:sz w:val="21"/>
                              </w:rPr>
                              <w:t>村</w:t>
                            </w:r>
                            <w:r>
                              <w:rPr>
                                <w:rFonts w:hint="eastAsia" w:ascii="宋体" w:hAnsi="宋体" w:eastAsia="宋体"/>
                                <w:i/>
                                <w:spacing w:val="23"/>
                                <w:w w:val="95"/>
                                <w:sz w:val="21"/>
                              </w:rPr>
                              <w:t>民宿观</w:t>
                            </w:r>
                            <w:r>
                              <w:rPr>
                                <w:rFonts w:hint="eastAsia" w:ascii="宋体" w:hAnsi="宋体" w:eastAsia="宋体"/>
                                <w:i/>
                                <w:w w:val="95"/>
                                <w:sz w:val="21"/>
                              </w:rPr>
                              <w:t>光</w:t>
                            </w:r>
                            <w:r>
                              <w:rPr>
                                <w:rFonts w:hint="eastAsia" w:ascii="宋体" w:hAnsi="宋体" w:eastAsia="宋体"/>
                                <w:i/>
                                <w:spacing w:val="21"/>
                                <w:sz w:val="21"/>
                              </w:rPr>
                              <w:t>乡村旅游、生态共享田园和植物园草莓小镇等</w:t>
                            </w:r>
                            <w:r>
                              <w:rPr>
                                <w:rFonts w:hint="eastAsia" w:ascii="宋体" w:hAnsi="宋体" w:eastAsia="宋体"/>
                                <w:i/>
                                <w:spacing w:val="14"/>
                                <w:sz w:val="21"/>
                              </w:rPr>
                              <w:t>项目。</w:t>
                            </w:r>
                          </w:p>
                          <w:p w14:paraId="7F7EFACD">
                            <w:pPr>
                              <w:spacing w:line="357" w:lineRule="auto"/>
                              <w:ind w:left="103" w:right="116" w:firstLine="463"/>
                              <w:jc w:val="both"/>
                              <w:rPr>
                                <w:rFonts w:ascii="宋体" w:hAnsi="宋体" w:eastAsia="宋体"/>
                                <w:i/>
                                <w:sz w:val="21"/>
                              </w:rPr>
                            </w:pPr>
                            <w:r>
                              <w:rPr>
                                <w:rFonts w:hint="eastAsia" w:ascii="宋体" w:hAnsi="宋体" w:eastAsia="宋体"/>
                                <w:b/>
                                <w:spacing w:val="23"/>
                                <w:w w:val="99"/>
                                <w:sz w:val="21"/>
                              </w:rPr>
                              <w:t>农业产业融合园区项目。</w:t>
                            </w:r>
                            <w:r>
                              <w:rPr>
                                <w:rFonts w:hint="eastAsia" w:ascii="宋体" w:hAnsi="宋体" w:eastAsia="宋体"/>
                                <w:i/>
                                <w:spacing w:val="18"/>
                                <w:w w:val="99"/>
                                <w:sz w:val="21"/>
                              </w:rPr>
                              <w:t>依托丰登镇利思•</w:t>
                            </w:r>
                            <w:r>
                              <w:rPr>
                                <w:rFonts w:hint="eastAsia" w:ascii="宋体" w:hAnsi="宋体" w:eastAsia="宋体"/>
                                <w:i/>
                                <w:spacing w:val="-83"/>
                                <w:sz w:val="21"/>
                              </w:rPr>
                              <w:t xml:space="preserve"> </w:t>
                            </w:r>
                            <w:r>
                              <w:rPr>
                                <w:rFonts w:hint="eastAsia" w:ascii="宋体" w:hAnsi="宋体" w:eastAsia="宋体"/>
                                <w:i/>
                                <w:spacing w:val="19"/>
                                <w:w w:val="99"/>
                                <w:sz w:val="21"/>
                              </w:rPr>
                              <w:t>田园蜜语田园综合体、良田镇百果园、</w:t>
                            </w:r>
                            <w:r>
                              <w:rPr>
                                <w:rFonts w:hint="eastAsia" w:ascii="宋体" w:hAnsi="宋体" w:eastAsia="宋体"/>
                                <w:i/>
                                <w:spacing w:val="15"/>
                                <w:w w:val="99"/>
                                <w:sz w:val="21"/>
                              </w:rPr>
                              <w:t>青源食用菌产业融合园等产业园区，推进农业三产融合园区建设项目，农业循环经济试</w:t>
                            </w:r>
                            <w:r>
                              <w:rPr>
                                <w:rFonts w:hint="eastAsia" w:ascii="宋体" w:hAnsi="宋体" w:eastAsia="宋体"/>
                                <w:i/>
                                <w:spacing w:val="17"/>
                                <w:w w:val="99"/>
                                <w:sz w:val="21"/>
                              </w:rPr>
                              <w:t>点示范项目，</w:t>
                            </w:r>
                            <w:r>
                              <w:rPr>
                                <w:rFonts w:hint="eastAsia" w:ascii="宋体" w:hAnsi="宋体" w:eastAsia="宋体"/>
                                <w:i/>
                                <w:spacing w:val="-82"/>
                                <w:sz w:val="21"/>
                              </w:rPr>
                              <w:t xml:space="preserve"> </w:t>
                            </w:r>
                            <w:r>
                              <w:rPr>
                                <w:rFonts w:hint="eastAsia" w:ascii="宋体" w:hAnsi="宋体" w:eastAsia="宋体"/>
                                <w:i/>
                                <w:spacing w:val="19"/>
                                <w:w w:val="99"/>
                                <w:sz w:val="21"/>
                              </w:rPr>
                              <w:t>农村产业融合发展示范园创建项目。</w:t>
                            </w:r>
                          </w:p>
                          <w:p w14:paraId="45688521">
                            <w:pPr>
                              <w:spacing w:line="357" w:lineRule="auto"/>
                              <w:ind w:left="103" w:right="116" w:firstLine="463"/>
                              <w:jc w:val="both"/>
                              <w:rPr>
                                <w:rFonts w:ascii="宋体" w:eastAsia="宋体"/>
                                <w:i/>
                                <w:sz w:val="21"/>
                              </w:rPr>
                            </w:pPr>
                            <w:r>
                              <w:rPr>
                                <w:rFonts w:hint="eastAsia" w:ascii="宋体" w:eastAsia="宋体"/>
                                <w:b/>
                                <w:spacing w:val="20"/>
                                <w:w w:val="99"/>
                                <w:sz w:val="21"/>
                              </w:rPr>
                              <w:t>农业新型经营主体项目。</w:t>
                            </w:r>
                            <w:r>
                              <w:rPr>
                                <w:rFonts w:hint="eastAsia" w:ascii="宋体" w:eastAsia="宋体"/>
                                <w:i/>
                                <w:spacing w:val="14"/>
                                <w:w w:val="99"/>
                                <w:sz w:val="21"/>
                              </w:rPr>
                              <w:t>开展家庭农场示范场、农民合作社示范社、农业示范服务</w:t>
                            </w:r>
                            <w:r>
                              <w:rPr>
                                <w:rFonts w:hint="eastAsia" w:ascii="宋体" w:eastAsia="宋体"/>
                                <w:i/>
                                <w:spacing w:val="13"/>
                                <w:w w:val="99"/>
                                <w:sz w:val="21"/>
                              </w:rPr>
                              <w:t>组织、农业产业化示范基地创建项目，实施新型职业农民和农村实用人才培育项目，建</w:t>
                            </w:r>
                            <w:r>
                              <w:rPr>
                                <w:rFonts w:hint="eastAsia" w:ascii="宋体" w:eastAsia="宋体"/>
                                <w:i/>
                                <w:spacing w:val="14"/>
                                <w:w w:val="99"/>
                                <w:sz w:val="21"/>
                              </w:rPr>
                              <w:t>设农业社会化综合服务站项目，农产品加工综合园区、优质瓜果蔬菜、牛羊肉和水产等</w:t>
                            </w:r>
                            <w:r>
                              <w:rPr>
                                <w:rFonts w:hint="eastAsia" w:ascii="宋体" w:eastAsia="宋体"/>
                                <w:i/>
                                <w:spacing w:val="18"/>
                                <w:w w:val="99"/>
                                <w:sz w:val="21"/>
                              </w:rPr>
                              <w:t>农产品深加工项目。</w:t>
                            </w:r>
                          </w:p>
                          <w:p w14:paraId="55C82A2A">
                            <w:pPr>
                              <w:spacing w:line="264" w:lineRule="exact"/>
                              <w:ind w:right="114"/>
                              <w:jc w:val="right"/>
                              <w:rPr>
                                <w:rFonts w:ascii="宋体" w:eastAsia="宋体"/>
                                <w:i/>
                                <w:sz w:val="21"/>
                              </w:rPr>
                            </w:pPr>
                            <w:r>
                              <w:rPr>
                                <w:rFonts w:hint="eastAsia" w:ascii="宋体" w:eastAsia="宋体"/>
                                <w:b/>
                                <w:spacing w:val="23"/>
                                <w:w w:val="95"/>
                                <w:sz w:val="21"/>
                              </w:rPr>
                              <w:t>农业支撑</w:t>
                            </w:r>
                            <w:r>
                              <w:rPr>
                                <w:rFonts w:hint="eastAsia" w:ascii="宋体" w:eastAsia="宋体"/>
                                <w:b/>
                                <w:spacing w:val="26"/>
                                <w:w w:val="95"/>
                                <w:sz w:val="21"/>
                              </w:rPr>
                              <w:t>体</w:t>
                            </w:r>
                            <w:r>
                              <w:rPr>
                                <w:rFonts w:hint="eastAsia" w:ascii="宋体" w:eastAsia="宋体"/>
                                <w:b/>
                                <w:spacing w:val="23"/>
                                <w:w w:val="95"/>
                                <w:sz w:val="21"/>
                              </w:rPr>
                              <w:t>系建设项目</w:t>
                            </w:r>
                            <w:r>
                              <w:rPr>
                                <w:rFonts w:hint="eastAsia" w:ascii="宋体" w:eastAsia="宋体"/>
                                <w:b/>
                                <w:w w:val="95"/>
                                <w:sz w:val="21"/>
                              </w:rPr>
                              <w:t>。</w:t>
                            </w:r>
                            <w:r>
                              <w:rPr>
                                <w:rFonts w:hint="eastAsia" w:ascii="宋体" w:eastAsia="宋体"/>
                                <w:i/>
                                <w:spacing w:val="23"/>
                                <w:w w:val="95"/>
                                <w:sz w:val="21"/>
                              </w:rPr>
                              <w:t>丰登</w:t>
                            </w:r>
                            <w:r>
                              <w:rPr>
                                <w:rFonts w:hint="eastAsia" w:ascii="宋体" w:eastAsia="宋体"/>
                                <w:i/>
                                <w:spacing w:val="21"/>
                                <w:w w:val="95"/>
                                <w:sz w:val="21"/>
                              </w:rPr>
                              <w:t>镇</w:t>
                            </w:r>
                            <w:r>
                              <w:rPr>
                                <w:rFonts w:hint="eastAsia" w:ascii="宋体" w:eastAsia="宋体"/>
                                <w:i/>
                                <w:spacing w:val="23"/>
                                <w:w w:val="95"/>
                                <w:sz w:val="21"/>
                              </w:rPr>
                              <w:t>农贸市</w:t>
                            </w:r>
                            <w:r>
                              <w:rPr>
                                <w:rFonts w:hint="eastAsia" w:ascii="宋体" w:eastAsia="宋体"/>
                                <w:i/>
                                <w:spacing w:val="21"/>
                                <w:w w:val="95"/>
                                <w:sz w:val="21"/>
                              </w:rPr>
                              <w:t>场</w:t>
                            </w:r>
                            <w:r>
                              <w:rPr>
                                <w:rFonts w:hint="eastAsia" w:ascii="宋体" w:eastAsia="宋体"/>
                                <w:i/>
                                <w:spacing w:val="23"/>
                                <w:w w:val="95"/>
                                <w:sz w:val="21"/>
                              </w:rPr>
                              <w:t>改造</w:t>
                            </w:r>
                            <w:r>
                              <w:rPr>
                                <w:rFonts w:hint="eastAsia" w:ascii="宋体" w:eastAsia="宋体"/>
                                <w:i/>
                                <w:w w:val="95"/>
                                <w:sz w:val="21"/>
                              </w:rPr>
                              <w:t>、</w:t>
                            </w:r>
                            <w:r>
                              <w:rPr>
                                <w:rFonts w:hint="eastAsia" w:ascii="宋体" w:eastAsia="宋体"/>
                                <w:i/>
                                <w:spacing w:val="23"/>
                                <w:w w:val="95"/>
                                <w:sz w:val="21"/>
                              </w:rPr>
                              <w:t>区域</w:t>
                            </w:r>
                            <w:r>
                              <w:rPr>
                                <w:rFonts w:hint="eastAsia" w:ascii="宋体" w:eastAsia="宋体"/>
                                <w:i/>
                                <w:spacing w:val="21"/>
                                <w:w w:val="95"/>
                                <w:sz w:val="21"/>
                              </w:rPr>
                              <w:t>性</w:t>
                            </w:r>
                            <w:r>
                              <w:rPr>
                                <w:rFonts w:hint="eastAsia" w:ascii="宋体" w:eastAsia="宋体"/>
                                <w:i/>
                                <w:spacing w:val="23"/>
                                <w:w w:val="95"/>
                                <w:sz w:val="21"/>
                              </w:rPr>
                              <w:t>先进冷</w:t>
                            </w:r>
                            <w:r>
                              <w:rPr>
                                <w:rFonts w:hint="eastAsia" w:ascii="宋体" w:eastAsia="宋体"/>
                                <w:i/>
                                <w:spacing w:val="21"/>
                                <w:w w:val="95"/>
                                <w:sz w:val="21"/>
                              </w:rPr>
                              <w:t>链</w:t>
                            </w:r>
                            <w:r>
                              <w:rPr>
                                <w:rFonts w:hint="eastAsia" w:ascii="宋体" w:eastAsia="宋体"/>
                                <w:i/>
                                <w:spacing w:val="23"/>
                                <w:w w:val="95"/>
                                <w:sz w:val="21"/>
                              </w:rPr>
                              <w:t>物流中</w:t>
                            </w:r>
                            <w:r>
                              <w:rPr>
                                <w:rFonts w:hint="eastAsia" w:ascii="宋体" w:eastAsia="宋体"/>
                                <w:i/>
                                <w:spacing w:val="10"/>
                                <w:w w:val="95"/>
                                <w:sz w:val="21"/>
                              </w:rPr>
                              <w:t>心、</w:t>
                            </w:r>
                            <w:r>
                              <w:rPr>
                                <w:rFonts w:hint="eastAsia" w:ascii="宋体" w:eastAsia="宋体"/>
                                <w:i/>
                                <w:spacing w:val="23"/>
                                <w:w w:val="95"/>
                                <w:sz w:val="21"/>
                              </w:rPr>
                              <w:t>现代</w:t>
                            </w:r>
                            <w:r>
                              <w:rPr>
                                <w:rFonts w:hint="eastAsia" w:ascii="宋体" w:eastAsia="宋体"/>
                                <w:i/>
                                <w:spacing w:val="-10"/>
                                <w:w w:val="95"/>
                                <w:sz w:val="21"/>
                              </w:rPr>
                              <w:t>农</w:t>
                            </w:r>
                          </w:p>
                          <w:p w14:paraId="7B066BAA">
                            <w:pPr>
                              <w:spacing w:before="126"/>
                              <w:ind w:right="123"/>
                              <w:jc w:val="right"/>
                              <w:rPr>
                                <w:rFonts w:ascii="宋体" w:eastAsia="宋体"/>
                                <w:i/>
                                <w:sz w:val="21"/>
                              </w:rPr>
                            </w:pPr>
                            <w:r>
                              <w:rPr>
                                <w:rFonts w:hint="eastAsia" w:ascii="宋体" w:eastAsia="宋体"/>
                                <w:i/>
                                <w:spacing w:val="22"/>
                                <w:w w:val="95"/>
                                <w:sz w:val="21"/>
                              </w:rPr>
                              <w:t>业科</w:t>
                            </w:r>
                            <w:r>
                              <w:rPr>
                                <w:rFonts w:hint="eastAsia" w:ascii="宋体" w:eastAsia="宋体"/>
                                <w:i/>
                                <w:spacing w:val="23"/>
                                <w:w w:val="95"/>
                                <w:sz w:val="21"/>
                              </w:rPr>
                              <w:t>技创</w:t>
                            </w:r>
                            <w:r>
                              <w:rPr>
                                <w:rFonts w:hint="eastAsia" w:ascii="宋体" w:eastAsia="宋体"/>
                                <w:i/>
                                <w:spacing w:val="21"/>
                                <w:w w:val="95"/>
                                <w:sz w:val="21"/>
                              </w:rPr>
                              <w:t>新</w:t>
                            </w:r>
                            <w:r>
                              <w:rPr>
                                <w:rFonts w:hint="eastAsia" w:ascii="宋体" w:eastAsia="宋体"/>
                                <w:i/>
                                <w:spacing w:val="23"/>
                                <w:w w:val="95"/>
                                <w:sz w:val="21"/>
                              </w:rPr>
                              <w:t>平台</w:t>
                            </w:r>
                            <w:r>
                              <w:rPr>
                                <w:rFonts w:hint="eastAsia" w:ascii="宋体" w:eastAsia="宋体"/>
                                <w:i/>
                                <w:spacing w:val="14"/>
                                <w:w w:val="95"/>
                                <w:sz w:val="21"/>
                              </w:rPr>
                              <w:t>、农业</w:t>
                            </w:r>
                            <w:r>
                              <w:rPr>
                                <w:rFonts w:hint="eastAsia" w:ascii="宋体" w:eastAsia="宋体"/>
                                <w:i/>
                                <w:spacing w:val="23"/>
                                <w:w w:val="95"/>
                                <w:sz w:val="21"/>
                              </w:rPr>
                              <w:t>科技</w:t>
                            </w:r>
                            <w:r>
                              <w:rPr>
                                <w:rFonts w:hint="eastAsia" w:ascii="宋体" w:eastAsia="宋体"/>
                                <w:i/>
                                <w:spacing w:val="17"/>
                                <w:w w:val="95"/>
                                <w:sz w:val="21"/>
                              </w:rPr>
                              <w:t>园区、电子</w:t>
                            </w:r>
                            <w:r>
                              <w:rPr>
                                <w:rFonts w:hint="eastAsia" w:ascii="宋体" w:eastAsia="宋体"/>
                                <w:i/>
                                <w:spacing w:val="23"/>
                                <w:w w:val="95"/>
                                <w:sz w:val="21"/>
                              </w:rPr>
                              <w:t>商务</w:t>
                            </w:r>
                            <w:r>
                              <w:rPr>
                                <w:rFonts w:hint="eastAsia" w:ascii="宋体" w:eastAsia="宋体"/>
                                <w:i/>
                                <w:spacing w:val="21"/>
                                <w:w w:val="95"/>
                                <w:sz w:val="21"/>
                              </w:rPr>
                              <w:t>进</w:t>
                            </w:r>
                            <w:r>
                              <w:rPr>
                                <w:rFonts w:hint="eastAsia" w:ascii="宋体" w:eastAsia="宋体"/>
                                <w:i/>
                                <w:spacing w:val="23"/>
                                <w:w w:val="95"/>
                                <w:sz w:val="21"/>
                              </w:rPr>
                              <w:t>农村</w:t>
                            </w:r>
                            <w:r>
                              <w:rPr>
                                <w:rFonts w:hint="eastAsia" w:ascii="宋体" w:eastAsia="宋体"/>
                                <w:i/>
                                <w:spacing w:val="21"/>
                                <w:w w:val="95"/>
                                <w:sz w:val="21"/>
                              </w:rPr>
                              <w:t>综</w:t>
                            </w:r>
                            <w:r>
                              <w:rPr>
                                <w:rFonts w:hint="eastAsia" w:ascii="宋体" w:eastAsia="宋体"/>
                                <w:i/>
                                <w:spacing w:val="23"/>
                                <w:w w:val="95"/>
                                <w:sz w:val="21"/>
                              </w:rPr>
                              <w:t>合示</w:t>
                            </w:r>
                            <w:r>
                              <w:rPr>
                                <w:rFonts w:hint="eastAsia" w:ascii="宋体" w:eastAsia="宋体"/>
                                <w:i/>
                                <w:spacing w:val="17"/>
                                <w:w w:val="95"/>
                                <w:sz w:val="21"/>
                              </w:rPr>
                              <w:t>范区，农业</w:t>
                            </w:r>
                            <w:r>
                              <w:rPr>
                                <w:rFonts w:hint="eastAsia" w:ascii="宋体" w:eastAsia="宋体"/>
                                <w:i/>
                                <w:spacing w:val="23"/>
                                <w:w w:val="95"/>
                                <w:sz w:val="21"/>
                              </w:rPr>
                              <w:t>物联</w:t>
                            </w:r>
                            <w:r>
                              <w:rPr>
                                <w:rFonts w:hint="eastAsia" w:ascii="宋体" w:eastAsia="宋体"/>
                                <w:i/>
                                <w:spacing w:val="21"/>
                                <w:w w:val="95"/>
                                <w:sz w:val="21"/>
                              </w:rPr>
                              <w:t>网</w:t>
                            </w:r>
                            <w:r>
                              <w:rPr>
                                <w:rFonts w:hint="eastAsia" w:ascii="宋体" w:eastAsia="宋体"/>
                                <w:i/>
                                <w:spacing w:val="23"/>
                                <w:w w:val="95"/>
                                <w:sz w:val="21"/>
                              </w:rPr>
                              <w:t>应用</w:t>
                            </w:r>
                            <w:r>
                              <w:rPr>
                                <w:rFonts w:hint="eastAsia" w:ascii="宋体" w:eastAsia="宋体"/>
                                <w:i/>
                                <w:spacing w:val="11"/>
                                <w:w w:val="95"/>
                                <w:sz w:val="21"/>
                              </w:rPr>
                              <w:t>示范基</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4.15pt;margin-top:51.35pt;height:304.3pt;width:446.95pt;mso-position-horizontal-relative:page;z-index:-251612160;mso-width-relative:page;mso-height-relative:page;" filled="f" stroked="t" coordsize="21600,21600" o:gfxdata="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FSHKfYAAAADAEAAA8AAAAAAAAAAQAgAAAAIgAA&#10;AGRycy9kb3ducmV2LnhtbFBLAQIUABQAAAAIAIdO4kCf6OYVQQIAAGoEAAAOAAAAAAAAAAEAIAAA&#10;ACcBAABkcnMvZTJvRG9jLnhtbFBLBQYAAAAABgAGAFkBAADaBQAAAAA=&#10;">
                <v:fill on="f" focussize="0,0"/>
                <v:stroke weight="0.48pt" color="#000000" miterlimit="8" joinstyle="miter"/>
                <v:imagedata o:title=""/>
                <o:lock v:ext="edit" aspectratio="f"/>
                <v:textbox inset="0mm,0mm,0mm,0mm">
                  <w:txbxContent>
                    <w:p w14:paraId="7D189175">
                      <w:pPr>
                        <w:spacing w:before="81"/>
                        <w:ind w:left="2648" w:right="2671"/>
                        <w:jc w:val="center"/>
                        <w:rPr>
                          <w:rFonts w:ascii="黑体" w:eastAsia="黑体"/>
                          <w:sz w:val="24"/>
                        </w:rPr>
                      </w:pPr>
                      <w:r>
                        <w:rPr>
                          <w:rFonts w:ascii="黑体" w:eastAsia="黑体"/>
                          <w:spacing w:val="-5"/>
                          <w:sz w:val="24"/>
                        </w:rPr>
                        <w:t xml:space="preserve">专栏 </w:t>
                      </w:r>
                      <w:r>
                        <w:rPr>
                          <w:rFonts w:ascii="黑体" w:eastAsia="黑体"/>
                          <w:sz w:val="24"/>
                        </w:rPr>
                        <w:t>4</w:t>
                      </w:r>
                      <w:r>
                        <w:rPr>
                          <w:rFonts w:ascii="黑体" w:eastAsia="黑体"/>
                          <w:spacing w:val="115"/>
                          <w:w w:val="150"/>
                          <w:sz w:val="24"/>
                        </w:rPr>
                        <w:t xml:space="preserve"> </w:t>
                      </w:r>
                      <w:r>
                        <w:rPr>
                          <w:rFonts w:ascii="黑体" w:eastAsia="黑体"/>
                          <w:spacing w:val="17"/>
                          <w:sz w:val="24"/>
                        </w:rPr>
                        <w:t>都市农业重点建设项目</w:t>
                      </w:r>
                    </w:p>
                    <w:p w14:paraId="32911FE7">
                      <w:pPr>
                        <w:spacing w:before="188" w:line="357" w:lineRule="auto"/>
                        <w:ind w:left="103" w:right="119" w:firstLine="463"/>
                        <w:jc w:val="both"/>
                        <w:rPr>
                          <w:rFonts w:ascii="宋体" w:eastAsia="宋体"/>
                          <w:i/>
                          <w:sz w:val="21"/>
                        </w:rPr>
                      </w:pPr>
                      <w:r>
                        <w:rPr>
                          <w:rFonts w:hint="eastAsia" w:ascii="宋体" w:eastAsia="宋体"/>
                          <w:b/>
                          <w:spacing w:val="19"/>
                          <w:w w:val="99"/>
                          <w:sz w:val="21"/>
                        </w:rPr>
                        <w:t>设施农业项目。</w:t>
                      </w:r>
                      <w:r>
                        <w:rPr>
                          <w:rFonts w:hint="eastAsia" w:ascii="宋体" w:eastAsia="宋体"/>
                          <w:i/>
                          <w:spacing w:val="14"/>
                          <w:w w:val="99"/>
                          <w:sz w:val="21"/>
                        </w:rPr>
                        <w:t>建设良田镇、丰登镇露地蔬菜，园子村设施蔬菜生产基地、无公害蔬菜观光农园和高科技农业园、园子村蔬菜包装箱厂；建设标准化设施林果示范园和优</w:t>
                      </w:r>
                      <w:r>
                        <w:rPr>
                          <w:rFonts w:hint="eastAsia" w:ascii="宋体" w:eastAsia="宋体"/>
                          <w:i/>
                          <w:spacing w:val="19"/>
                          <w:w w:val="99"/>
                          <w:sz w:val="21"/>
                        </w:rPr>
                        <w:t>质水果保鲜冷藏库等项目。</w:t>
                      </w:r>
                    </w:p>
                    <w:p w14:paraId="0481B810">
                      <w:pPr>
                        <w:spacing w:line="357" w:lineRule="auto"/>
                        <w:ind w:left="103" w:right="116" w:firstLine="463"/>
                        <w:rPr>
                          <w:rFonts w:ascii="宋体" w:hAnsi="宋体" w:eastAsia="宋体"/>
                          <w:i/>
                          <w:sz w:val="21"/>
                        </w:rPr>
                      </w:pPr>
                      <w:r>
                        <w:rPr>
                          <w:rFonts w:hint="eastAsia" w:ascii="宋体" w:hAnsi="宋体" w:eastAsia="宋体"/>
                          <w:b/>
                          <w:spacing w:val="23"/>
                          <w:w w:val="95"/>
                          <w:sz w:val="21"/>
                        </w:rPr>
                        <w:t>特色休</w:t>
                      </w:r>
                      <w:r>
                        <w:rPr>
                          <w:rFonts w:hint="eastAsia" w:ascii="宋体" w:hAnsi="宋体" w:eastAsia="宋体"/>
                          <w:b/>
                          <w:spacing w:val="26"/>
                          <w:w w:val="95"/>
                          <w:sz w:val="21"/>
                        </w:rPr>
                        <w:t>闲</w:t>
                      </w:r>
                      <w:r>
                        <w:rPr>
                          <w:rFonts w:hint="eastAsia" w:ascii="宋体" w:hAnsi="宋体" w:eastAsia="宋体"/>
                          <w:b/>
                          <w:spacing w:val="23"/>
                          <w:w w:val="95"/>
                          <w:sz w:val="21"/>
                        </w:rPr>
                        <w:t>农业项目。</w:t>
                      </w:r>
                      <w:r>
                        <w:rPr>
                          <w:rFonts w:hint="eastAsia" w:ascii="宋体" w:hAnsi="宋体" w:eastAsia="宋体"/>
                          <w:i/>
                          <w:spacing w:val="23"/>
                          <w:w w:val="95"/>
                          <w:sz w:val="21"/>
                        </w:rPr>
                        <w:t>百果</w:t>
                      </w:r>
                      <w:r>
                        <w:rPr>
                          <w:rFonts w:hint="eastAsia" w:ascii="宋体" w:hAnsi="宋体" w:eastAsia="宋体"/>
                          <w:i/>
                          <w:spacing w:val="21"/>
                          <w:w w:val="95"/>
                          <w:sz w:val="21"/>
                        </w:rPr>
                        <w:t>园</w:t>
                      </w:r>
                      <w:r>
                        <w:rPr>
                          <w:rFonts w:hint="eastAsia" w:ascii="宋体" w:hAnsi="宋体" w:eastAsia="宋体"/>
                          <w:i/>
                          <w:spacing w:val="23"/>
                          <w:w w:val="95"/>
                          <w:sz w:val="21"/>
                        </w:rPr>
                        <w:t>一二三产</w:t>
                      </w:r>
                      <w:r>
                        <w:rPr>
                          <w:rFonts w:hint="eastAsia" w:ascii="宋体" w:hAnsi="宋体" w:eastAsia="宋体"/>
                          <w:i/>
                          <w:spacing w:val="21"/>
                          <w:w w:val="95"/>
                          <w:sz w:val="21"/>
                        </w:rPr>
                        <w:t>融</w:t>
                      </w:r>
                      <w:r>
                        <w:rPr>
                          <w:rFonts w:hint="eastAsia" w:ascii="宋体" w:hAnsi="宋体" w:eastAsia="宋体"/>
                          <w:i/>
                          <w:spacing w:val="23"/>
                          <w:w w:val="95"/>
                          <w:sz w:val="21"/>
                        </w:rPr>
                        <w:t>合发展、利思</w:t>
                      </w:r>
                      <w:r>
                        <w:rPr>
                          <w:rFonts w:hint="eastAsia" w:ascii="宋体" w:hAnsi="宋体" w:eastAsia="宋体"/>
                          <w:i/>
                          <w:w w:val="95"/>
                          <w:sz w:val="21"/>
                        </w:rPr>
                        <w:t>•</w:t>
                      </w:r>
                      <w:r>
                        <w:rPr>
                          <w:rFonts w:hint="eastAsia" w:ascii="宋体" w:hAnsi="宋体" w:eastAsia="宋体"/>
                          <w:i/>
                          <w:spacing w:val="47"/>
                          <w:sz w:val="21"/>
                        </w:rPr>
                        <w:t xml:space="preserve"> </w:t>
                      </w:r>
                      <w:r>
                        <w:rPr>
                          <w:rFonts w:hint="eastAsia" w:ascii="宋体" w:hAnsi="宋体" w:eastAsia="宋体"/>
                          <w:i/>
                          <w:spacing w:val="23"/>
                          <w:w w:val="95"/>
                          <w:sz w:val="21"/>
                        </w:rPr>
                        <w:t>田园</w:t>
                      </w:r>
                      <w:r>
                        <w:rPr>
                          <w:rFonts w:hint="eastAsia" w:ascii="宋体" w:hAnsi="宋体" w:eastAsia="宋体"/>
                          <w:i/>
                          <w:spacing w:val="21"/>
                          <w:w w:val="95"/>
                          <w:sz w:val="21"/>
                        </w:rPr>
                        <w:t>蜜</w:t>
                      </w:r>
                      <w:r>
                        <w:rPr>
                          <w:rFonts w:hint="eastAsia" w:ascii="宋体" w:hAnsi="宋体" w:eastAsia="宋体"/>
                          <w:i/>
                          <w:spacing w:val="23"/>
                          <w:w w:val="95"/>
                          <w:sz w:val="21"/>
                        </w:rPr>
                        <w:t>语、园子</w:t>
                      </w:r>
                      <w:r>
                        <w:rPr>
                          <w:rFonts w:hint="eastAsia" w:ascii="宋体" w:hAnsi="宋体" w:eastAsia="宋体"/>
                          <w:i/>
                          <w:spacing w:val="21"/>
                          <w:w w:val="95"/>
                          <w:sz w:val="21"/>
                        </w:rPr>
                        <w:t>村</w:t>
                      </w:r>
                      <w:r>
                        <w:rPr>
                          <w:rFonts w:hint="eastAsia" w:ascii="宋体" w:hAnsi="宋体" w:eastAsia="宋体"/>
                          <w:i/>
                          <w:spacing w:val="23"/>
                          <w:w w:val="95"/>
                          <w:sz w:val="21"/>
                        </w:rPr>
                        <w:t>民宿观</w:t>
                      </w:r>
                      <w:r>
                        <w:rPr>
                          <w:rFonts w:hint="eastAsia" w:ascii="宋体" w:hAnsi="宋体" w:eastAsia="宋体"/>
                          <w:i/>
                          <w:w w:val="95"/>
                          <w:sz w:val="21"/>
                        </w:rPr>
                        <w:t>光</w:t>
                      </w:r>
                      <w:r>
                        <w:rPr>
                          <w:rFonts w:hint="eastAsia" w:ascii="宋体" w:hAnsi="宋体" w:eastAsia="宋体"/>
                          <w:i/>
                          <w:spacing w:val="21"/>
                          <w:sz w:val="21"/>
                        </w:rPr>
                        <w:t>乡村旅游、生态共享田园和植物园草莓小镇等</w:t>
                      </w:r>
                      <w:r>
                        <w:rPr>
                          <w:rFonts w:hint="eastAsia" w:ascii="宋体" w:hAnsi="宋体" w:eastAsia="宋体"/>
                          <w:i/>
                          <w:spacing w:val="14"/>
                          <w:sz w:val="21"/>
                        </w:rPr>
                        <w:t>项目。</w:t>
                      </w:r>
                    </w:p>
                    <w:p w14:paraId="7F7EFACD">
                      <w:pPr>
                        <w:spacing w:line="357" w:lineRule="auto"/>
                        <w:ind w:left="103" w:right="116" w:firstLine="463"/>
                        <w:jc w:val="both"/>
                        <w:rPr>
                          <w:rFonts w:ascii="宋体" w:hAnsi="宋体" w:eastAsia="宋体"/>
                          <w:i/>
                          <w:sz w:val="21"/>
                        </w:rPr>
                      </w:pPr>
                      <w:r>
                        <w:rPr>
                          <w:rFonts w:hint="eastAsia" w:ascii="宋体" w:hAnsi="宋体" w:eastAsia="宋体"/>
                          <w:b/>
                          <w:spacing w:val="23"/>
                          <w:w w:val="99"/>
                          <w:sz w:val="21"/>
                        </w:rPr>
                        <w:t>农业产业融合园区项目。</w:t>
                      </w:r>
                      <w:r>
                        <w:rPr>
                          <w:rFonts w:hint="eastAsia" w:ascii="宋体" w:hAnsi="宋体" w:eastAsia="宋体"/>
                          <w:i/>
                          <w:spacing w:val="18"/>
                          <w:w w:val="99"/>
                          <w:sz w:val="21"/>
                        </w:rPr>
                        <w:t>依托丰登镇利思•</w:t>
                      </w:r>
                      <w:r>
                        <w:rPr>
                          <w:rFonts w:hint="eastAsia" w:ascii="宋体" w:hAnsi="宋体" w:eastAsia="宋体"/>
                          <w:i/>
                          <w:spacing w:val="-83"/>
                          <w:sz w:val="21"/>
                        </w:rPr>
                        <w:t xml:space="preserve"> </w:t>
                      </w:r>
                      <w:r>
                        <w:rPr>
                          <w:rFonts w:hint="eastAsia" w:ascii="宋体" w:hAnsi="宋体" w:eastAsia="宋体"/>
                          <w:i/>
                          <w:spacing w:val="19"/>
                          <w:w w:val="99"/>
                          <w:sz w:val="21"/>
                        </w:rPr>
                        <w:t>田园蜜语田园综合体、良田镇百果园、</w:t>
                      </w:r>
                      <w:r>
                        <w:rPr>
                          <w:rFonts w:hint="eastAsia" w:ascii="宋体" w:hAnsi="宋体" w:eastAsia="宋体"/>
                          <w:i/>
                          <w:spacing w:val="15"/>
                          <w:w w:val="99"/>
                          <w:sz w:val="21"/>
                        </w:rPr>
                        <w:t>青源食用菌产业融合园等产业园区，推进农业三产融合园区建设项目，农业循环经济试</w:t>
                      </w:r>
                      <w:r>
                        <w:rPr>
                          <w:rFonts w:hint="eastAsia" w:ascii="宋体" w:hAnsi="宋体" w:eastAsia="宋体"/>
                          <w:i/>
                          <w:spacing w:val="17"/>
                          <w:w w:val="99"/>
                          <w:sz w:val="21"/>
                        </w:rPr>
                        <w:t>点示范项目，</w:t>
                      </w:r>
                      <w:r>
                        <w:rPr>
                          <w:rFonts w:hint="eastAsia" w:ascii="宋体" w:hAnsi="宋体" w:eastAsia="宋体"/>
                          <w:i/>
                          <w:spacing w:val="-82"/>
                          <w:sz w:val="21"/>
                        </w:rPr>
                        <w:t xml:space="preserve"> </w:t>
                      </w:r>
                      <w:r>
                        <w:rPr>
                          <w:rFonts w:hint="eastAsia" w:ascii="宋体" w:hAnsi="宋体" w:eastAsia="宋体"/>
                          <w:i/>
                          <w:spacing w:val="19"/>
                          <w:w w:val="99"/>
                          <w:sz w:val="21"/>
                        </w:rPr>
                        <w:t>农村产业融合发展示范园创建项目。</w:t>
                      </w:r>
                    </w:p>
                    <w:p w14:paraId="45688521">
                      <w:pPr>
                        <w:spacing w:line="357" w:lineRule="auto"/>
                        <w:ind w:left="103" w:right="116" w:firstLine="463"/>
                        <w:jc w:val="both"/>
                        <w:rPr>
                          <w:rFonts w:ascii="宋体" w:eastAsia="宋体"/>
                          <w:i/>
                          <w:sz w:val="21"/>
                        </w:rPr>
                      </w:pPr>
                      <w:r>
                        <w:rPr>
                          <w:rFonts w:hint="eastAsia" w:ascii="宋体" w:eastAsia="宋体"/>
                          <w:b/>
                          <w:spacing w:val="20"/>
                          <w:w w:val="99"/>
                          <w:sz w:val="21"/>
                        </w:rPr>
                        <w:t>农业新型经营主体项目。</w:t>
                      </w:r>
                      <w:r>
                        <w:rPr>
                          <w:rFonts w:hint="eastAsia" w:ascii="宋体" w:eastAsia="宋体"/>
                          <w:i/>
                          <w:spacing w:val="14"/>
                          <w:w w:val="99"/>
                          <w:sz w:val="21"/>
                        </w:rPr>
                        <w:t>开展家庭农场示范场、农民合作社示范社、农业示范服务</w:t>
                      </w:r>
                      <w:r>
                        <w:rPr>
                          <w:rFonts w:hint="eastAsia" w:ascii="宋体" w:eastAsia="宋体"/>
                          <w:i/>
                          <w:spacing w:val="13"/>
                          <w:w w:val="99"/>
                          <w:sz w:val="21"/>
                        </w:rPr>
                        <w:t>组织、农业产业化示范基地创建项目，实施新型职业农民和农村实用人才培育项目，建</w:t>
                      </w:r>
                      <w:r>
                        <w:rPr>
                          <w:rFonts w:hint="eastAsia" w:ascii="宋体" w:eastAsia="宋体"/>
                          <w:i/>
                          <w:spacing w:val="14"/>
                          <w:w w:val="99"/>
                          <w:sz w:val="21"/>
                        </w:rPr>
                        <w:t>设农业社会化综合服务站项目，农产品加工综合园区、优质瓜果蔬菜、牛羊肉和水产等</w:t>
                      </w:r>
                      <w:r>
                        <w:rPr>
                          <w:rFonts w:hint="eastAsia" w:ascii="宋体" w:eastAsia="宋体"/>
                          <w:i/>
                          <w:spacing w:val="18"/>
                          <w:w w:val="99"/>
                          <w:sz w:val="21"/>
                        </w:rPr>
                        <w:t>农产品深加工项目。</w:t>
                      </w:r>
                    </w:p>
                    <w:p w14:paraId="55C82A2A">
                      <w:pPr>
                        <w:spacing w:line="264" w:lineRule="exact"/>
                        <w:ind w:right="114"/>
                        <w:jc w:val="right"/>
                        <w:rPr>
                          <w:rFonts w:ascii="宋体" w:eastAsia="宋体"/>
                          <w:i/>
                          <w:sz w:val="21"/>
                        </w:rPr>
                      </w:pPr>
                      <w:r>
                        <w:rPr>
                          <w:rFonts w:hint="eastAsia" w:ascii="宋体" w:eastAsia="宋体"/>
                          <w:b/>
                          <w:spacing w:val="23"/>
                          <w:w w:val="95"/>
                          <w:sz w:val="21"/>
                        </w:rPr>
                        <w:t>农业支撑</w:t>
                      </w:r>
                      <w:r>
                        <w:rPr>
                          <w:rFonts w:hint="eastAsia" w:ascii="宋体" w:eastAsia="宋体"/>
                          <w:b/>
                          <w:spacing w:val="26"/>
                          <w:w w:val="95"/>
                          <w:sz w:val="21"/>
                        </w:rPr>
                        <w:t>体</w:t>
                      </w:r>
                      <w:r>
                        <w:rPr>
                          <w:rFonts w:hint="eastAsia" w:ascii="宋体" w:eastAsia="宋体"/>
                          <w:b/>
                          <w:spacing w:val="23"/>
                          <w:w w:val="95"/>
                          <w:sz w:val="21"/>
                        </w:rPr>
                        <w:t>系建设项目</w:t>
                      </w:r>
                      <w:r>
                        <w:rPr>
                          <w:rFonts w:hint="eastAsia" w:ascii="宋体" w:eastAsia="宋体"/>
                          <w:b/>
                          <w:w w:val="95"/>
                          <w:sz w:val="21"/>
                        </w:rPr>
                        <w:t>。</w:t>
                      </w:r>
                      <w:r>
                        <w:rPr>
                          <w:rFonts w:hint="eastAsia" w:ascii="宋体" w:eastAsia="宋体"/>
                          <w:i/>
                          <w:spacing w:val="23"/>
                          <w:w w:val="95"/>
                          <w:sz w:val="21"/>
                        </w:rPr>
                        <w:t>丰登</w:t>
                      </w:r>
                      <w:r>
                        <w:rPr>
                          <w:rFonts w:hint="eastAsia" w:ascii="宋体" w:eastAsia="宋体"/>
                          <w:i/>
                          <w:spacing w:val="21"/>
                          <w:w w:val="95"/>
                          <w:sz w:val="21"/>
                        </w:rPr>
                        <w:t>镇</w:t>
                      </w:r>
                      <w:r>
                        <w:rPr>
                          <w:rFonts w:hint="eastAsia" w:ascii="宋体" w:eastAsia="宋体"/>
                          <w:i/>
                          <w:spacing w:val="23"/>
                          <w:w w:val="95"/>
                          <w:sz w:val="21"/>
                        </w:rPr>
                        <w:t>农贸市</w:t>
                      </w:r>
                      <w:r>
                        <w:rPr>
                          <w:rFonts w:hint="eastAsia" w:ascii="宋体" w:eastAsia="宋体"/>
                          <w:i/>
                          <w:spacing w:val="21"/>
                          <w:w w:val="95"/>
                          <w:sz w:val="21"/>
                        </w:rPr>
                        <w:t>场</w:t>
                      </w:r>
                      <w:r>
                        <w:rPr>
                          <w:rFonts w:hint="eastAsia" w:ascii="宋体" w:eastAsia="宋体"/>
                          <w:i/>
                          <w:spacing w:val="23"/>
                          <w:w w:val="95"/>
                          <w:sz w:val="21"/>
                        </w:rPr>
                        <w:t>改造</w:t>
                      </w:r>
                      <w:r>
                        <w:rPr>
                          <w:rFonts w:hint="eastAsia" w:ascii="宋体" w:eastAsia="宋体"/>
                          <w:i/>
                          <w:w w:val="95"/>
                          <w:sz w:val="21"/>
                        </w:rPr>
                        <w:t>、</w:t>
                      </w:r>
                      <w:r>
                        <w:rPr>
                          <w:rFonts w:hint="eastAsia" w:ascii="宋体" w:eastAsia="宋体"/>
                          <w:i/>
                          <w:spacing w:val="23"/>
                          <w:w w:val="95"/>
                          <w:sz w:val="21"/>
                        </w:rPr>
                        <w:t>区域</w:t>
                      </w:r>
                      <w:r>
                        <w:rPr>
                          <w:rFonts w:hint="eastAsia" w:ascii="宋体" w:eastAsia="宋体"/>
                          <w:i/>
                          <w:spacing w:val="21"/>
                          <w:w w:val="95"/>
                          <w:sz w:val="21"/>
                        </w:rPr>
                        <w:t>性</w:t>
                      </w:r>
                      <w:r>
                        <w:rPr>
                          <w:rFonts w:hint="eastAsia" w:ascii="宋体" w:eastAsia="宋体"/>
                          <w:i/>
                          <w:spacing w:val="23"/>
                          <w:w w:val="95"/>
                          <w:sz w:val="21"/>
                        </w:rPr>
                        <w:t>先进冷</w:t>
                      </w:r>
                      <w:r>
                        <w:rPr>
                          <w:rFonts w:hint="eastAsia" w:ascii="宋体" w:eastAsia="宋体"/>
                          <w:i/>
                          <w:spacing w:val="21"/>
                          <w:w w:val="95"/>
                          <w:sz w:val="21"/>
                        </w:rPr>
                        <w:t>链</w:t>
                      </w:r>
                      <w:r>
                        <w:rPr>
                          <w:rFonts w:hint="eastAsia" w:ascii="宋体" w:eastAsia="宋体"/>
                          <w:i/>
                          <w:spacing w:val="23"/>
                          <w:w w:val="95"/>
                          <w:sz w:val="21"/>
                        </w:rPr>
                        <w:t>物流中</w:t>
                      </w:r>
                      <w:r>
                        <w:rPr>
                          <w:rFonts w:hint="eastAsia" w:ascii="宋体" w:eastAsia="宋体"/>
                          <w:i/>
                          <w:spacing w:val="10"/>
                          <w:w w:val="95"/>
                          <w:sz w:val="21"/>
                        </w:rPr>
                        <w:t>心、</w:t>
                      </w:r>
                      <w:r>
                        <w:rPr>
                          <w:rFonts w:hint="eastAsia" w:ascii="宋体" w:eastAsia="宋体"/>
                          <w:i/>
                          <w:spacing w:val="23"/>
                          <w:w w:val="95"/>
                          <w:sz w:val="21"/>
                        </w:rPr>
                        <w:t>现代</w:t>
                      </w:r>
                      <w:r>
                        <w:rPr>
                          <w:rFonts w:hint="eastAsia" w:ascii="宋体" w:eastAsia="宋体"/>
                          <w:i/>
                          <w:spacing w:val="-10"/>
                          <w:w w:val="95"/>
                          <w:sz w:val="21"/>
                        </w:rPr>
                        <w:t>农</w:t>
                      </w:r>
                    </w:p>
                    <w:p w14:paraId="7B066BAA">
                      <w:pPr>
                        <w:spacing w:before="126"/>
                        <w:ind w:right="123"/>
                        <w:jc w:val="right"/>
                        <w:rPr>
                          <w:rFonts w:ascii="宋体" w:eastAsia="宋体"/>
                          <w:i/>
                          <w:sz w:val="21"/>
                        </w:rPr>
                      </w:pPr>
                      <w:r>
                        <w:rPr>
                          <w:rFonts w:hint="eastAsia" w:ascii="宋体" w:eastAsia="宋体"/>
                          <w:i/>
                          <w:spacing w:val="22"/>
                          <w:w w:val="95"/>
                          <w:sz w:val="21"/>
                        </w:rPr>
                        <w:t>业科</w:t>
                      </w:r>
                      <w:r>
                        <w:rPr>
                          <w:rFonts w:hint="eastAsia" w:ascii="宋体" w:eastAsia="宋体"/>
                          <w:i/>
                          <w:spacing w:val="23"/>
                          <w:w w:val="95"/>
                          <w:sz w:val="21"/>
                        </w:rPr>
                        <w:t>技创</w:t>
                      </w:r>
                      <w:r>
                        <w:rPr>
                          <w:rFonts w:hint="eastAsia" w:ascii="宋体" w:eastAsia="宋体"/>
                          <w:i/>
                          <w:spacing w:val="21"/>
                          <w:w w:val="95"/>
                          <w:sz w:val="21"/>
                        </w:rPr>
                        <w:t>新</w:t>
                      </w:r>
                      <w:r>
                        <w:rPr>
                          <w:rFonts w:hint="eastAsia" w:ascii="宋体" w:eastAsia="宋体"/>
                          <w:i/>
                          <w:spacing w:val="23"/>
                          <w:w w:val="95"/>
                          <w:sz w:val="21"/>
                        </w:rPr>
                        <w:t>平台</w:t>
                      </w:r>
                      <w:r>
                        <w:rPr>
                          <w:rFonts w:hint="eastAsia" w:ascii="宋体" w:eastAsia="宋体"/>
                          <w:i/>
                          <w:spacing w:val="14"/>
                          <w:w w:val="95"/>
                          <w:sz w:val="21"/>
                        </w:rPr>
                        <w:t>、农业</w:t>
                      </w:r>
                      <w:r>
                        <w:rPr>
                          <w:rFonts w:hint="eastAsia" w:ascii="宋体" w:eastAsia="宋体"/>
                          <w:i/>
                          <w:spacing w:val="23"/>
                          <w:w w:val="95"/>
                          <w:sz w:val="21"/>
                        </w:rPr>
                        <w:t>科技</w:t>
                      </w:r>
                      <w:r>
                        <w:rPr>
                          <w:rFonts w:hint="eastAsia" w:ascii="宋体" w:eastAsia="宋体"/>
                          <w:i/>
                          <w:spacing w:val="17"/>
                          <w:w w:val="95"/>
                          <w:sz w:val="21"/>
                        </w:rPr>
                        <w:t>园区、电子</w:t>
                      </w:r>
                      <w:r>
                        <w:rPr>
                          <w:rFonts w:hint="eastAsia" w:ascii="宋体" w:eastAsia="宋体"/>
                          <w:i/>
                          <w:spacing w:val="23"/>
                          <w:w w:val="95"/>
                          <w:sz w:val="21"/>
                        </w:rPr>
                        <w:t>商务</w:t>
                      </w:r>
                      <w:r>
                        <w:rPr>
                          <w:rFonts w:hint="eastAsia" w:ascii="宋体" w:eastAsia="宋体"/>
                          <w:i/>
                          <w:spacing w:val="21"/>
                          <w:w w:val="95"/>
                          <w:sz w:val="21"/>
                        </w:rPr>
                        <w:t>进</w:t>
                      </w:r>
                      <w:r>
                        <w:rPr>
                          <w:rFonts w:hint="eastAsia" w:ascii="宋体" w:eastAsia="宋体"/>
                          <w:i/>
                          <w:spacing w:val="23"/>
                          <w:w w:val="95"/>
                          <w:sz w:val="21"/>
                        </w:rPr>
                        <w:t>农村</w:t>
                      </w:r>
                      <w:r>
                        <w:rPr>
                          <w:rFonts w:hint="eastAsia" w:ascii="宋体" w:eastAsia="宋体"/>
                          <w:i/>
                          <w:spacing w:val="21"/>
                          <w:w w:val="95"/>
                          <w:sz w:val="21"/>
                        </w:rPr>
                        <w:t>综</w:t>
                      </w:r>
                      <w:r>
                        <w:rPr>
                          <w:rFonts w:hint="eastAsia" w:ascii="宋体" w:eastAsia="宋体"/>
                          <w:i/>
                          <w:spacing w:val="23"/>
                          <w:w w:val="95"/>
                          <w:sz w:val="21"/>
                        </w:rPr>
                        <w:t>合示</w:t>
                      </w:r>
                      <w:r>
                        <w:rPr>
                          <w:rFonts w:hint="eastAsia" w:ascii="宋体" w:eastAsia="宋体"/>
                          <w:i/>
                          <w:spacing w:val="17"/>
                          <w:w w:val="95"/>
                          <w:sz w:val="21"/>
                        </w:rPr>
                        <w:t>范区，农业</w:t>
                      </w:r>
                      <w:r>
                        <w:rPr>
                          <w:rFonts w:hint="eastAsia" w:ascii="宋体" w:eastAsia="宋体"/>
                          <w:i/>
                          <w:spacing w:val="23"/>
                          <w:w w:val="95"/>
                          <w:sz w:val="21"/>
                        </w:rPr>
                        <w:t>物联</w:t>
                      </w:r>
                      <w:r>
                        <w:rPr>
                          <w:rFonts w:hint="eastAsia" w:ascii="宋体" w:eastAsia="宋体"/>
                          <w:i/>
                          <w:spacing w:val="21"/>
                          <w:w w:val="95"/>
                          <w:sz w:val="21"/>
                        </w:rPr>
                        <w:t>网</w:t>
                      </w:r>
                      <w:r>
                        <w:rPr>
                          <w:rFonts w:hint="eastAsia" w:ascii="宋体" w:eastAsia="宋体"/>
                          <w:i/>
                          <w:spacing w:val="23"/>
                          <w:w w:val="95"/>
                          <w:sz w:val="21"/>
                        </w:rPr>
                        <w:t>应用</w:t>
                      </w:r>
                      <w:r>
                        <w:rPr>
                          <w:rFonts w:hint="eastAsia" w:ascii="宋体" w:eastAsia="宋体"/>
                          <w:i/>
                          <w:spacing w:val="11"/>
                          <w:w w:val="95"/>
                          <w:sz w:val="21"/>
                        </w:rPr>
                        <w:t>示范基</w:t>
                      </w:r>
                    </w:p>
                  </w:txbxContent>
                </v:textbox>
              </v:shape>
            </w:pict>
          </mc:Fallback>
        </mc:AlternateContent>
      </w:r>
      <w:r>
        <w:rPr>
          <w:spacing w:val="-2"/>
          <w:w w:val="95"/>
          <w:sz w:val="32"/>
          <w:szCs w:val="32"/>
        </w:rPr>
        <w:t xml:space="preserve">年， </w:t>
      </w:r>
      <w:r>
        <w:rPr>
          <w:spacing w:val="29"/>
          <w:w w:val="95"/>
          <w:sz w:val="32"/>
          <w:szCs w:val="32"/>
        </w:rPr>
        <w:t>农田灌溉水有效</w:t>
      </w:r>
      <w:r>
        <w:rPr>
          <w:spacing w:val="31"/>
          <w:w w:val="95"/>
          <w:sz w:val="32"/>
          <w:szCs w:val="32"/>
        </w:rPr>
        <w:t>利</w:t>
      </w:r>
      <w:r>
        <w:rPr>
          <w:spacing w:val="29"/>
          <w:w w:val="95"/>
          <w:sz w:val="32"/>
          <w:szCs w:val="32"/>
        </w:rPr>
        <w:t>用系数达</w:t>
      </w:r>
      <w:r>
        <w:rPr>
          <w:w w:val="95"/>
          <w:sz w:val="32"/>
          <w:szCs w:val="32"/>
        </w:rPr>
        <w:t>到</w:t>
      </w:r>
      <w:r>
        <w:rPr>
          <w:spacing w:val="-3"/>
          <w:sz w:val="32"/>
          <w:szCs w:val="32"/>
        </w:rPr>
        <w:t xml:space="preserve"> </w:t>
      </w:r>
      <w:r>
        <w:rPr>
          <w:rFonts w:ascii="Times New Roman" w:eastAsia="Times New Roman"/>
          <w:w w:val="95"/>
          <w:sz w:val="32"/>
          <w:szCs w:val="32"/>
        </w:rPr>
        <w:t>0.6</w:t>
      </w:r>
      <w:r>
        <w:rPr>
          <w:rFonts w:ascii="Times New Roman" w:eastAsia="Times New Roman"/>
          <w:spacing w:val="80"/>
          <w:w w:val="150"/>
          <w:sz w:val="32"/>
          <w:szCs w:val="32"/>
        </w:rPr>
        <w:t xml:space="preserve"> </w:t>
      </w:r>
      <w:r>
        <w:rPr>
          <w:spacing w:val="29"/>
          <w:w w:val="95"/>
          <w:sz w:val="32"/>
          <w:szCs w:val="32"/>
        </w:rPr>
        <w:t>左右</w:t>
      </w:r>
      <w:r>
        <w:rPr>
          <w:spacing w:val="-16"/>
          <w:w w:val="95"/>
          <w:sz w:val="32"/>
          <w:szCs w:val="32"/>
        </w:rPr>
        <w:t xml:space="preserve">， </w:t>
      </w:r>
      <w:r>
        <w:rPr>
          <w:spacing w:val="29"/>
          <w:w w:val="95"/>
          <w:sz w:val="32"/>
          <w:szCs w:val="32"/>
        </w:rPr>
        <w:t>亩产效益持</w:t>
      </w:r>
      <w:r>
        <w:rPr>
          <w:w w:val="95"/>
          <w:sz w:val="32"/>
          <w:szCs w:val="32"/>
        </w:rPr>
        <w:t>续</w:t>
      </w:r>
      <w:r>
        <w:rPr>
          <w:spacing w:val="10"/>
          <w:sz w:val="32"/>
          <w:szCs w:val="32"/>
        </w:rPr>
        <w:t>提高。</w:t>
      </w:r>
    </w:p>
    <w:p w14:paraId="63F73BD8">
      <w:pPr>
        <w:spacing w:line="340" w:lineRule="auto"/>
        <w:jc w:val="both"/>
        <w:sectPr>
          <w:pgSz w:w="11910" w:h="16840"/>
          <w:pgMar w:top="1800" w:right="1220" w:bottom="1160" w:left="1340" w:header="0" w:footer="975" w:gutter="0"/>
          <w:cols w:space="720" w:num="1"/>
        </w:sectPr>
      </w:pPr>
    </w:p>
    <w:p w14:paraId="0105CCE8">
      <w:pPr>
        <w:ind w:left="138"/>
        <w:rPr>
          <w:sz w:val="20"/>
          <w:szCs w:val="32"/>
        </w:rPr>
      </w:pPr>
      <w:r>
        <w:rPr>
          <w:sz w:val="20"/>
          <w:szCs w:val="32"/>
        </w:rPr>
        <mc:AlternateContent>
          <mc:Choice Requires="wps">
            <w:drawing>
              <wp:inline distT="0" distB="0" distL="0" distR="0">
                <wp:extent cx="5676265" cy="768350"/>
                <wp:effectExtent l="9525" t="9525" r="10160" b="12700"/>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5676265" cy="768350"/>
                        </a:xfrm>
                        <a:prstGeom prst="rect">
                          <a:avLst/>
                        </a:prstGeom>
                        <a:noFill/>
                        <a:ln w="6096">
                          <a:solidFill>
                            <a:srgbClr val="000000"/>
                          </a:solidFill>
                          <a:prstDash val="solid"/>
                          <a:miter lim="800000"/>
                        </a:ln>
                      </wps:spPr>
                      <wps:txbx>
                        <w:txbxContent>
                          <w:p w14:paraId="57672FE8">
                            <w:pPr>
                              <w:spacing w:before="110" w:line="355" w:lineRule="auto"/>
                              <w:ind w:left="103" w:right="6"/>
                              <w:rPr>
                                <w:rFonts w:ascii="宋体" w:eastAsia="宋体"/>
                                <w:i/>
                                <w:sz w:val="21"/>
                              </w:rPr>
                            </w:pPr>
                            <w:r>
                              <w:rPr>
                                <w:rFonts w:hint="eastAsia" w:ascii="宋体" w:eastAsia="宋体"/>
                                <w:i/>
                                <w:spacing w:val="12"/>
                                <w:sz w:val="21"/>
                              </w:rPr>
                              <w:t>地、村级益农信息社、设施园艺智慧农业平台、设施园艺全产业链智慧农业科技示范展</w:t>
                            </w:r>
                            <w:r>
                              <w:rPr>
                                <w:rFonts w:hint="eastAsia" w:ascii="宋体" w:eastAsia="宋体"/>
                                <w:i/>
                                <w:spacing w:val="4"/>
                                <w:w w:val="95"/>
                                <w:sz w:val="21"/>
                              </w:rPr>
                              <w:t>示区、鼎峰蔬菜专业合作社机械冷藏库、聚百农农业种植专业合作社联合社机械冷藏库、</w:t>
                            </w:r>
                          </w:p>
                          <w:p w14:paraId="2CA5C354">
                            <w:pPr>
                              <w:spacing w:before="3"/>
                              <w:ind w:left="103"/>
                              <w:rPr>
                                <w:rFonts w:ascii="宋体" w:eastAsia="宋体"/>
                                <w:i/>
                                <w:sz w:val="21"/>
                              </w:rPr>
                            </w:pPr>
                            <w:r>
                              <w:rPr>
                                <w:rFonts w:hint="eastAsia" w:ascii="宋体" w:eastAsia="宋体"/>
                                <w:i/>
                                <w:spacing w:val="18"/>
                                <w:w w:val="95"/>
                                <w:sz w:val="21"/>
                              </w:rPr>
                              <w:t>洋洋种植农民专业合作社机械冷藏库、富友蔬菜瓜果专业合作社机械冷藏库等项目。</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60.5pt;width:446.95pt;" filled="f" stroked="t" coordsize="21600,21600" o:gfxdata="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w0wDF0wAAAAUBAAAPAAAAAAAAAAEAIAAAACIAAABkcnMv&#10;ZG93bnJldi54bWxQSwECFAAUAAAACACHTuJAPmCKw0ECAABpBAAADgAAAAAAAAABACAAAAAiAQAA&#10;ZHJzL2Uyb0RvYy54bWxQSwUGAAAAAAYABgBZAQAA1QUAAAAA&#10;">
                <v:fill on="f" focussize="0,0"/>
                <v:stroke weight="0.48pt" color="#000000" miterlimit="8" joinstyle="miter"/>
                <v:imagedata o:title=""/>
                <o:lock v:ext="edit" aspectratio="f"/>
                <v:textbox inset="0mm,0mm,0mm,0mm">
                  <w:txbxContent>
                    <w:p w14:paraId="57672FE8">
                      <w:pPr>
                        <w:spacing w:before="110" w:line="355" w:lineRule="auto"/>
                        <w:ind w:left="103" w:right="6"/>
                        <w:rPr>
                          <w:rFonts w:ascii="宋体" w:eastAsia="宋体"/>
                          <w:i/>
                          <w:sz w:val="21"/>
                        </w:rPr>
                      </w:pPr>
                      <w:r>
                        <w:rPr>
                          <w:rFonts w:hint="eastAsia" w:ascii="宋体" w:eastAsia="宋体"/>
                          <w:i/>
                          <w:spacing w:val="12"/>
                          <w:sz w:val="21"/>
                        </w:rPr>
                        <w:t>地、村级益农信息社、设施园艺智慧农业平台、设施园艺全产业链智慧农业科技示范展</w:t>
                      </w:r>
                      <w:r>
                        <w:rPr>
                          <w:rFonts w:hint="eastAsia" w:ascii="宋体" w:eastAsia="宋体"/>
                          <w:i/>
                          <w:spacing w:val="4"/>
                          <w:w w:val="95"/>
                          <w:sz w:val="21"/>
                        </w:rPr>
                        <w:t>示区、鼎峰蔬菜专业合作社机械冷藏库、聚百农农业种植专业合作社联合社机械冷藏库、</w:t>
                      </w:r>
                    </w:p>
                    <w:p w14:paraId="2CA5C354">
                      <w:pPr>
                        <w:spacing w:before="3"/>
                        <w:ind w:left="103"/>
                        <w:rPr>
                          <w:rFonts w:ascii="宋体" w:eastAsia="宋体"/>
                          <w:i/>
                          <w:sz w:val="21"/>
                        </w:rPr>
                      </w:pPr>
                      <w:r>
                        <w:rPr>
                          <w:rFonts w:hint="eastAsia" w:ascii="宋体" w:eastAsia="宋体"/>
                          <w:i/>
                          <w:spacing w:val="18"/>
                          <w:w w:val="95"/>
                          <w:sz w:val="21"/>
                        </w:rPr>
                        <w:t>洋洋种植农民专业合作社机械冷藏库、富友蔬菜瓜果专业合作社机械冷藏库等项目。</w:t>
                      </w:r>
                    </w:p>
                  </w:txbxContent>
                </v:textbox>
                <w10:wrap type="none"/>
                <w10:anchorlock/>
              </v:shape>
            </w:pict>
          </mc:Fallback>
        </mc:AlternateContent>
      </w:r>
    </w:p>
    <w:p w14:paraId="56928465">
      <w:pPr>
        <w:rPr>
          <w:sz w:val="20"/>
          <w:szCs w:val="32"/>
        </w:rPr>
      </w:pPr>
    </w:p>
    <w:p w14:paraId="4DEE05A9">
      <w:pPr>
        <w:rPr>
          <w:sz w:val="20"/>
          <w:szCs w:val="32"/>
        </w:rPr>
      </w:pPr>
    </w:p>
    <w:p w14:paraId="3F5C0A13">
      <w:pPr>
        <w:rPr>
          <w:sz w:val="20"/>
          <w:szCs w:val="32"/>
        </w:rPr>
      </w:pPr>
    </w:p>
    <w:p w14:paraId="48FB4109">
      <w:pPr>
        <w:rPr>
          <w:sz w:val="20"/>
          <w:szCs w:val="32"/>
        </w:rPr>
      </w:pPr>
    </w:p>
    <w:p w14:paraId="69FAD0B5">
      <w:pPr>
        <w:rPr>
          <w:sz w:val="20"/>
          <w:szCs w:val="32"/>
        </w:rPr>
      </w:pPr>
    </w:p>
    <w:p w14:paraId="562592CF">
      <w:pPr>
        <w:spacing w:before="1"/>
        <w:rPr>
          <w:sz w:val="24"/>
          <w:szCs w:val="32"/>
        </w:rPr>
      </w:pPr>
    </w:p>
    <w:p w14:paraId="7A7DEDFB">
      <w:pPr>
        <w:spacing w:before="58"/>
        <w:ind w:left="1124"/>
        <w:rPr>
          <w:rFonts w:ascii="宋体" w:eastAsia="宋体"/>
          <w:b/>
          <w:sz w:val="30"/>
        </w:rPr>
      </w:pPr>
      <w:r>
        <w:rPr>
          <w:rFonts w:hint="eastAsia" w:ascii="宋体" w:eastAsia="宋体"/>
          <w:b/>
          <w:sz w:val="30"/>
        </w:rPr>
        <w:t>第四章</w:t>
      </w:r>
      <w:r>
        <w:rPr>
          <w:rFonts w:hint="eastAsia" w:ascii="宋体" w:eastAsia="宋体"/>
          <w:b/>
          <w:spacing w:val="42"/>
          <w:w w:val="150"/>
          <w:sz w:val="30"/>
        </w:rPr>
        <w:t xml:space="preserve"> </w:t>
      </w:r>
      <w:r>
        <w:rPr>
          <w:rFonts w:hint="eastAsia" w:ascii="宋体" w:eastAsia="宋体"/>
          <w:b/>
          <w:sz w:val="30"/>
        </w:rPr>
        <w:t>深入实施创新驱动发展战</w:t>
      </w:r>
      <w:r>
        <w:rPr>
          <w:rFonts w:hint="eastAsia" w:ascii="宋体" w:eastAsia="宋体"/>
          <w:b/>
          <w:spacing w:val="-10"/>
          <w:sz w:val="30"/>
        </w:rPr>
        <w:t>略</w:t>
      </w:r>
    </w:p>
    <w:p w14:paraId="4C1FADC5">
      <w:pPr>
        <w:spacing w:before="263" w:line="340" w:lineRule="auto"/>
        <w:ind w:left="133" w:right="275" w:firstLine="684"/>
        <w:jc w:val="both"/>
        <w:rPr>
          <w:sz w:val="32"/>
          <w:szCs w:val="32"/>
        </w:rPr>
      </w:pPr>
      <w:r>
        <w:rPr>
          <w:spacing w:val="23"/>
          <w:w w:val="99"/>
          <w:sz w:val="32"/>
          <w:szCs w:val="32"/>
        </w:rPr>
        <w:t>坚持创新在现代化建设全局中的核心地位，把握好沿黄科技创新改革试验区建设契机，提升企业技术创新能力，激发人才创新活力，完善科技创新体制机制，建设高水平创新平台和载体，优化创新制度和政策环境，着力提升科技成果转化能力，促进创新链与产业链深度融合，组织实施未来产</w:t>
      </w:r>
      <w:r>
        <w:rPr>
          <w:spacing w:val="20"/>
          <w:w w:val="99"/>
          <w:sz w:val="32"/>
          <w:szCs w:val="32"/>
        </w:rPr>
        <w:t>业孵化与加速计划，为高质量发展注入强劲动能。</w:t>
      </w:r>
    </w:p>
    <w:p w14:paraId="765A3482">
      <w:pPr>
        <w:spacing w:before="129"/>
        <w:ind w:left="2538" w:right="2679"/>
        <w:jc w:val="center"/>
        <w:outlineLvl w:val="0"/>
        <w:rPr>
          <w:rFonts w:ascii="宋体" w:hAnsi="宋体" w:eastAsia="宋体" w:cs="宋体"/>
          <w:b/>
          <w:bCs/>
          <w:sz w:val="32"/>
          <w:szCs w:val="32"/>
        </w:rPr>
      </w:pPr>
      <w:r>
        <w:rPr>
          <w:rFonts w:ascii="宋体" w:hAnsi="宋体" w:eastAsia="宋体" w:cs="宋体"/>
          <w:b/>
          <w:bCs/>
          <w:spacing w:val="24"/>
          <w:sz w:val="32"/>
          <w:szCs w:val="32"/>
        </w:rPr>
        <w:t>第一</w:t>
      </w:r>
      <w:r>
        <w:rPr>
          <w:rFonts w:ascii="宋体" w:hAnsi="宋体" w:eastAsia="宋体" w:cs="宋体"/>
          <w:b/>
          <w:bCs/>
          <w:spacing w:val="72"/>
          <w:sz w:val="32"/>
          <w:szCs w:val="32"/>
        </w:rPr>
        <w:t>节 提</w:t>
      </w:r>
      <w:r>
        <w:rPr>
          <w:rFonts w:ascii="宋体" w:hAnsi="宋体" w:eastAsia="宋体" w:cs="宋体"/>
          <w:b/>
          <w:bCs/>
          <w:spacing w:val="24"/>
          <w:sz w:val="32"/>
          <w:szCs w:val="32"/>
        </w:rPr>
        <w:t>升创新创业能</w:t>
      </w:r>
      <w:r>
        <w:rPr>
          <w:rFonts w:ascii="宋体" w:hAnsi="宋体" w:eastAsia="宋体" w:cs="宋体"/>
          <w:b/>
          <w:bCs/>
          <w:spacing w:val="-10"/>
          <w:sz w:val="32"/>
          <w:szCs w:val="32"/>
        </w:rPr>
        <w:t>力</w:t>
      </w:r>
    </w:p>
    <w:p w14:paraId="7D9D462D">
      <w:pPr>
        <w:spacing w:before="10"/>
        <w:rPr>
          <w:rFonts w:ascii="宋体"/>
          <w:b/>
          <w:sz w:val="23"/>
          <w:szCs w:val="32"/>
        </w:rPr>
      </w:pPr>
    </w:p>
    <w:p w14:paraId="159A1C5E">
      <w:pPr>
        <w:ind w:left="817"/>
        <w:rPr>
          <w:rFonts w:ascii="黑体" w:eastAsia="黑体"/>
          <w:sz w:val="32"/>
          <w:szCs w:val="32"/>
        </w:rPr>
      </w:pPr>
      <w:r>
        <w:rPr>
          <w:rFonts w:ascii="黑体" w:eastAsia="黑体"/>
          <w:spacing w:val="17"/>
          <w:w w:val="95"/>
          <w:sz w:val="32"/>
          <w:szCs w:val="32"/>
        </w:rPr>
        <w:t>一、提升企业创新能力</w:t>
      </w:r>
    </w:p>
    <w:p w14:paraId="543F0AE7">
      <w:pPr>
        <w:spacing w:before="166" w:line="338" w:lineRule="auto"/>
        <w:ind w:left="133" w:right="100" w:firstLine="684"/>
        <w:rPr>
          <w:sz w:val="32"/>
          <w:szCs w:val="32"/>
        </w:rPr>
      </w:pPr>
      <w:r>
        <w:rPr>
          <w:spacing w:val="16"/>
          <w:w w:val="99"/>
          <w:sz w:val="32"/>
          <w:szCs w:val="32"/>
        </w:rPr>
        <w:t>支持骨干企业建设重点实验室、工程</w:t>
      </w:r>
      <w:r>
        <w:rPr>
          <w:spacing w:val="21"/>
          <w:w w:val="99"/>
          <w:sz w:val="32"/>
          <w:szCs w:val="32"/>
        </w:rPr>
        <w:t>（</w:t>
      </w:r>
      <w:r>
        <w:rPr>
          <w:spacing w:val="22"/>
          <w:w w:val="99"/>
          <w:sz w:val="32"/>
          <w:szCs w:val="32"/>
        </w:rPr>
        <w:t>技术</w:t>
      </w:r>
      <w:r>
        <w:rPr>
          <w:spacing w:val="-12"/>
          <w:w w:val="99"/>
          <w:sz w:val="32"/>
          <w:szCs w:val="32"/>
        </w:rPr>
        <w:t>）</w:t>
      </w:r>
      <w:r>
        <w:rPr>
          <w:spacing w:val="16"/>
          <w:w w:val="99"/>
          <w:sz w:val="32"/>
          <w:szCs w:val="32"/>
        </w:rPr>
        <w:t>研究中心、</w:t>
      </w:r>
      <w:r>
        <w:rPr>
          <w:spacing w:val="23"/>
          <w:w w:val="99"/>
          <w:sz w:val="32"/>
          <w:szCs w:val="32"/>
        </w:rPr>
        <w:t>技术中心、产业技术研究院，开展产业共性基础技术研究，打造吸引科技领军人才的创新平台。鼓励大型企业以合作研发推广、技术成果交易、联合创办科技企业等多种形式开展协同创新，共享研发成果。鼓励龙头企业承担国家重大科技项目，开发前沿新产品新技术。支持科技型中小企业与高校院所建设产学研联合实验室、检测中心等研发机构。鼓励中小企业参与产业技术创新联盟、产业集群协同创新项目，加</w:t>
      </w:r>
      <w:r>
        <w:rPr>
          <w:spacing w:val="14"/>
          <w:w w:val="99"/>
          <w:sz w:val="32"/>
          <w:szCs w:val="32"/>
        </w:rPr>
        <w:t>强产业链企业配套协作。到</w:t>
      </w:r>
      <w:r>
        <w:rPr>
          <w:spacing w:val="-52"/>
          <w:sz w:val="32"/>
          <w:szCs w:val="32"/>
        </w:rPr>
        <w:t xml:space="preserve"> </w:t>
      </w:r>
      <w:r>
        <w:rPr>
          <w:rFonts w:ascii="Times New Roman" w:eastAsia="Times New Roman"/>
          <w:spacing w:val="8"/>
          <w:w w:val="99"/>
          <w:sz w:val="32"/>
          <w:szCs w:val="32"/>
        </w:rPr>
        <w:t>2</w:t>
      </w:r>
      <w:r>
        <w:rPr>
          <w:rFonts w:ascii="Times New Roman" w:eastAsia="Times New Roman"/>
          <w:spacing w:val="10"/>
          <w:w w:val="99"/>
          <w:sz w:val="32"/>
          <w:szCs w:val="32"/>
        </w:rPr>
        <w:t>02</w:t>
      </w:r>
      <w:r>
        <w:rPr>
          <w:rFonts w:ascii="Times New Roman" w:eastAsia="Times New Roman"/>
          <w:w w:val="99"/>
          <w:sz w:val="32"/>
          <w:szCs w:val="32"/>
        </w:rPr>
        <w:t>5</w:t>
      </w:r>
      <w:r>
        <w:rPr>
          <w:rFonts w:ascii="Times New Roman" w:eastAsia="Times New Roman"/>
          <w:spacing w:val="22"/>
          <w:sz w:val="32"/>
          <w:szCs w:val="32"/>
        </w:rPr>
        <w:t xml:space="preserve"> </w:t>
      </w:r>
      <w:r>
        <w:rPr>
          <w:spacing w:val="12"/>
          <w:w w:val="99"/>
          <w:sz w:val="32"/>
          <w:szCs w:val="32"/>
        </w:rPr>
        <w:t>年，建成重点实验室</w:t>
      </w:r>
      <w:r>
        <w:rPr>
          <w:spacing w:val="-50"/>
          <w:sz w:val="32"/>
          <w:szCs w:val="32"/>
        </w:rPr>
        <w:t xml:space="preserve"> </w:t>
      </w:r>
      <w:r>
        <w:rPr>
          <w:rFonts w:ascii="Times New Roman" w:eastAsia="Times New Roman"/>
          <w:spacing w:val="8"/>
          <w:w w:val="99"/>
          <w:sz w:val="32"/>
          <w:szCs w:val="32"/>
        </w:rPr>
        <w:t>1</w:t>
      </w:r>
      <w:r>
        <w:rPr>
          <w:rFonts w:ascii="Times New Roman" w:eastAsia="Times New Roman"/>
          <w:w w:val="99"/>
          <w:sz w:val="32"/>
          <w:szCs w:val="32"/>
        </w:rPr>
        <w:t>0</w:t>
      </w:r>
      <w:r>
        <w:rPr>
          <w:rFonts w:ascii="Times New Roman" w:eastAsia="Times New Roman"/>
          <w:spacing w:val="19"/>
          <w:sz w:val="32"/>
          <w:szCs w:val="32"/>
        </w:rPr>
        <w:t xml:space="preserve"> </w:t>
      </w:r>
      <w:r>
        <w:rPr>
          <w:spacing w:val="12"/>
          <w:w w:val="99"/>
          <w:sz w:val="32"/>
          <w:szCs w:val="32"/>
        </w:rPr>
        <w:t>个，</w:t>
      </w:r>
    </w:p>
    <w:p w14:paraId="09681010">
      <w:pPr>
        <w:spacing w:before="48"/>
        <w:ind w:left="113"/>
        <w:rPr>
          <w:sz w:val="32"/>
          <w:szCs w:val="32"/>
        </w:rPr>
      </w:pPr>
      <w:r>
        <w:rPr>
          <w:spacing w:val="18"/>
          <w:w w:val="95"/>
          <w:sz w:val="32"/>
          <w:szCs w:val="32"/>
        </w:rPr>
        <w:t>产业技术协同创新中心</w:t>
      </w:r>
      <w:r>
        <w:rPr>
          <w:spacing w:val="32"/>
          <w:sz w:val="32"/>
          <w:szCs w:val="32"/>
        </w:rPr>
        <w:t xml:space="preserve"> </w:t>
      </w:r>
      <w:r>
        <w:rPr>
          <w:rFonts w:ascii="Times New Roman" w:eastAsia="Times New Roman"/>
          <w:w w:val="95"/>
          <w:sz w:val="32"/>
          <w:szCs w:val="32"/>
        </w:rPr>
        <w:t>5</w:t>
      </w:r>
      <w:r>
        <w:rPr>
          <w:rFonts w:ascii="Times New Roman" w:eastAsia="Times New Roman"/>
          <w:spacing w:val="53"/>
          <w:w w:val="150"/>
          <w:sz w:val="32"/>
          <w:szCs w:val="32"/>
        </w:rPr>
        <w:t xml:space="preserve"> </w:t>
      </w:r>
      <w:r>
        <w:rPr>
          <w:spacing w:val="19"/>
          <w:w w:val="95"/>
          <w:sz w:val="32"/>
          <w:szCs w:val="32"/>
        </w:rPr>
        <w:t>个，自治区级技术创新中心</w:t>
      </w:r>
      <w:r>
        <w:rPr>
          <w:spacing w:val="32"/>
          <w:sz w:val="32"/>
          <w:szCs w:val="32"/>
        </w:rPr>
        <w:t xml:space="preserve"> </w:t>
      </w:r>
      <w:r>
        <w:rPr>
          <w:rFonts w:ascii="Times New Roman" w:eastAsia="Times New Roman"/>
          <w:w w:val="95"/>
          <w:sz w:val="32"/>
          <w:szCs w:val="32"/>
        </w:rPr>
        <w:t>30</w:t>
      </w:r>
      <w:r>
        <w:rPr>
          <w:rFonts w:ascii="Times New Roman" w:eastAsia="Times New Roman"/>
          <w:spacing w:val="56"/>
          <w:w w:val="150"/>
          <w:sz w:val="32"/>
          <w:szCs w:val="32"/>
        </w:rPr>
        <w:t xml:space="preserve"> </w:t>
      </w:r>
      <w:r>
        <w:rPr>
          <w:spacing w:val="7"/>
          <w:w w:val="95"/>
          <w:sz w:val="32"/>
          <w:szCs w:val="32"/>
        </w:rPr>
        <w:t>家，</w:t>
      </w:r>
    </w:p>
    <w:p w14:paraId="783CF92C">
      <w:pPr>
        <w:spacing w:before="170"/>
        <w:ind w:left="113"/>
        <w:rPr>
          <w:sz w:val="32"/>
          <w:szCs w:val="32"/>
        </w:rPr>
      </w:pPr>
      <w:r>
        <w:rPr>
          <w:spacing w:val="19"/>
          <w:w w:val="95"/>
          <w:sz w:val="32"/>
          <w:szCs w:val="32"/>
        </w:rPr>
        <w:t>自治区级工程技术研究中心</w:t>
      </w:r>
      <w:r>
        <w:rPr>
          <w:spacing w:val="35"/>
          <w:w w:val="150"/>
          <w:sz w:val="32"/>
          <w:szCs w:val="32"/>
        </w:rPr>
        <w:t xml:space="preserve"> </w:t>
      </w:r>
      <w:r>
        <w:rPr>
          <w:rFonts w:ascii="Times New Roman" w:eastAsia="Times New Roman"/>
          <w:w w:val="95"/>
          <w:sz w:val="32"/>
          <w:szCs w:val="32"/>
        </w:rPr>
        <w:t>20</w:t>
      </w:r>
      <w:r>
        <w:rPr>
          <w:rFonts w:ascii="Times New Roman" w:eastAsia="Times New Roman"/>
          <w:spacing w:val="50"/>
          <w:sz w:val="32"/>
          <w:szCs w:val="32"/>
        </w:rPr>
        <w:t xml:space="preserve">  </w:t>
      </w:r>
      <w:r>
        <w:rPr>
          <w:spacing w:val="9"/>
          <w:w w:val="95"/>
          <w:sz w:val="32"/>
          <w:szCs w:val="32"/>
        </w:rPr>
        <w:t>家，国家级工程技术研</w:t>
      </w:r>
      <w:r>
        <w:rPr>
          <w:spacing w:val="24"/>
          <w:w w:val="95"/>
          <w:sz w:val="32"/>
          <w:szCs w:val="32"/>
        </w:rPr>
        <w:t>究中</w:t>
      </w:r>
      <w:r>
        <w:rPr>
          <w:spacing w:val="-10"/>
          <w:w w:val="95"/>
          <w:sz w:val="32"/>
          <w:szCs w:val="32"/>
        </w:rPr>
        <w:t>心</w:t>
      </w:r>
    </w:p>
    <w:p w14:paraId="562FF223">
      <w:pPr>
        <w:spacing w:before="169"/>
        <w:ind w:left="113"/>
        <w:rPr>
          <w:sz w:val="32"/>
          <w:szCs w:val="32"/>
        </w:rPr>
      </w:pPr>
      <w:r>
        <w:rPr>
          <w:rFonts w:ascii="Times New Roman" w:eastAsia="Times New Roman"/>
          <w:sz w:val="32"/>
          <w:szCs w:val="32"/>
        </w:rPr>
        <w:t>2</w:t>
      </w:r>
      <w:r>
        <w:rPr>
          <w:rFonts w:ascii="Times New Roman" w:eastAsia="Times New Roman"/>
          <w:spacing w:val="12"/>
          <w:sz w:val="32"/>
          <w:szCs w:val="32"/>
        </w:rPr>
        <w:t xml:space="preserve"> </w:t>
      </w:r>
      <w:r>
        <w:rPr>
          <w:spacing w:val="5"/>
          <w:sz w:val="32"/>
          <w:szCs w:val="32"/>
        </w:rPr>
        <w:t>个。</w:t>
      </w:r>
    </w:p>
    <w:p w14:paraId="08690AF3">
      <w:pPr>
        <w:spacing w:before="154"/>
        <w:ind w:left="797"/>
        <w:rPr>
          <w:rFonts w:ascii="黑体" w:eastAsia="黑体"/>
          <w:sz w:val="32"/>
          <w:szCs w:val="32"/>
        </w:rPr>
      </w:pPr>
      <w:r>
        <w:rPr>
          <w:rFonts w:ascii="黑体" w:eastAsia="黑体"/>
          <w:spacing w:val="17"/>
          <w:w w:val="95"/>
          <w:sz w:val="32"/>
          <w:szCs w:val="32"/>
        </w:rPr>
        <w:t>二、推进政产学研合作</w:t>
      </w:r>
    </w:p>
    <w:p w14:paraId="40D5C4C6">
      <w:pPr>
        <w:spacing w:before="166" w:line="338" w:lineRule="auto"/>
        <w:ind w:left="113" w:right="275" w:firstLine="684"/>
        <w:jc w:val="both"/>
        <w:rPr>
          <w:sz w:val="32"/>
          <w:szCs w:val="32"/>
        </w:rPr>
      </w:pPr>
      <w:r>
        <w:rPr>
          <w:spacing w:val="23"/>
          <w:w w:val="99"/>
          <w:sz w:val="32"/>
          <w:szCs w:val="32"/>
        </w:rPr>
        <w:t>打通“政产学研用”协同创新通道，构建政府引导、企业主体、校院协作、社会参与的协同创新机制。引导企业与宁夏大学、北方民族大学等本地高校、科研院所合作，积极</w:t>
      </w:r>
      <w:r>
        <w:rPr>
          <w:spacing w:val="5"/>
          <w:w w:val="99"/>
          <w:sz w:val="32"/>
          <w:szCs w:val="32"/>
        </w:rPr>
        <w:t>引入国内外知名院校资源，共建专业技术支撑平台、高校</w:t>
      </w:r>
      <w:r>
        <w:rPr>
          <w:spacing w:val="21"/>
          <w:w w:val="99"/>
          <w:sz w:val="32"/>
          <w:szCs w:val="32"/>
        </w:rPr>
        <w:t>（</w:t>
      </w:r>
      <w:r>
        <w:rPr>
          <w:w w:val="99"/>
          <w:sz w:val="32"/>
          <w:szCs w:val="32"/>
        </w:rPr>
        <w:t>院</w:t>
      </w:r>
      <w:r>
        <w:rPr>
          <w:spacing w:val="26"/>
          <w:w w:val="99"/>
          <w:sz w:val="32"/>
          <w:szCs w:val="32"/>
        </w:rPr>
        <w:t>所</w:t>
      </w:r>
      <w:r>
        <w:rPr>
          <w:spacing w:val="24"/>
          <w:w w:val="99"/>
          <w:sz w:val="32"/>
          <w:szCs w:val="32"/>
        </w:rPr>
        <w:t>）</w:t>
      </w:r>
      <w:r>
        <w:rPr>
          <w:spacing w:val="23"/>
          <w:w w:val="99"/>
          <w:sz w:val="32"/>
          <w:szCs w:val="32"/>
        </w:rPr>
        <w:t>企业联合研发中心，建设一批产学研创新联盟、成果转化应用中心、工程技术研究中心，探索共同设立科技成果转化子基金，开展共性技术、关键技术联合攻关，打通研发、中试、应用转化渠道。促进高校院所重大科研基础设施、大型科研仪器和技术平台面向社会开放，形成跨机构、跨地区</w:t>
      </w:r>
      <w:r>
        <w:rPr>
          <w:spacing w:val="18"/>
          <w:w w:val="99"/>
          <w:sz w:val="32"/>
          <w:szCs w:val="32"/>
        </w:rPr>
        <w:t>的开放运行模式。</w:t>
      </w:r>
    </w:p>
    <w:p w14:paraId="63EAB81E">
      <w:pPr>
        <w:spacing w:before="3"/>
        <w:ind w:left="797"/>
        <w:rPr>
          <w:rFonts w:ascii="黑体" w:eastAsia="黑体"/>
          <w:sz w:val="32"/>
          <w:szCs w:val="32"/>
        </w:rPr>
      </w:pPr>
      <w:r>
        <w:rPr>
          <w:rFonts w:ascii="黑体" w:eastAsia="黑体"/>
          <w:spacing w:val="17"/>
          <w:w w:val="95"/>
          <w:sz w:val="32"/>
          <w:szCs w:val="32"/>
        </w:rPr>
        <w:t>三、强化政府引导力度</w:t>
      </w:r>
    </w:p>
    <w:p w14:paraId="3EA64F15">
      <w:pPr>
        <w:spacing w:before="166" w:line="338" w:lineRule="auto"/>
        <w:ind w:left="113" w:right="106" w:firstLine="684"/>
        <w:rPr>
          <w:sz w:val="32"/>
          <w:szCs w:val="32"/>
        </w:rPr>
      </w:pPr>
      <w:r>
        <w:rPr>
          <w:spacing w:val="23"/>
          <w:w w:val="99"/>
          <w:sz w:val="32"/>
          <w:szCs w:val="32"/>
        </w:rPr>
        <w:t>加快推进创新大厦、领航大厦等创新平台项目，持续加</w:t>
      </w:r>
      <w:r>
        <w:rPr>
          <w:spacing w:val="20"/>
          <w:w w:val="99"/>
          <w:sz w:val="32"/>
          <w:szCs w:val="32"/>
        </w:rPr>
        <w:t xml:space="preserve">大财政科技投入力度，确保本级财政科技研发投入增速达到 </w:t>
      </w:r>
      <w:r>
        <w:rPr>
          <w:rFonts w:ascii="Times New Roman" w:eastAsia="Times New Roman"/>
          <w:spacing w:val="8"/>
          <w:w w:val="99"/>
          <w:sz w:val="32"/>
          <w:szCs w:val="32"/>
        </w:rPr>
        <w:t>3</w:t>
      </w:r>
      <w:r>
        <w:rPr>
          <w:rFonts w:ascii="Times New Roman" w:eastAsia="Times New Roman"/>
          <w:spacing w:val="10"/>
          <w:w w:val="99"/>
          <w:sz w:val="32"/>
          <w:szCs w:val="32"/>
        </w:rPr>
        <w:t>0</w:t>
      </w:r>
      <w:r>
        <w:rPr>
          <w:rFonts w:ascii="Times New Roman" w:eastAsia="Times New Roman"/>
          <w:spacing w:val="22"/>
          <w:w w:val="99"/>
          <w:sz w:val="32"/>
          <w:szCs w:val="32"/>
        </w:rPr>
        <w:t>%</w:t>
      </w:r>
      <w:r>
        <w:rPr>
          <w:spacing w:val="24"/>
          <w:w w:val="99"/>
          <w:sz w:val="32"/>
          <w:szCs w:val="32"/>
        </w:rPr>
        <w:t>以上。引导建立多渠道投入机制，实行普惠性财政补助</w:t>
      </w:r>
      <w:r>
        <w:rPr>
          <w:spacing w:val="23"/>
          <w:w w:val="99"/>
          <w:sz w:val="32"/>
          <w:szCs w:val="32"/>
        </w:rPr>
        <w:t>激励措施，引导企业建立研发准备金制度，支持科技创新发</w:t>
      </w:r>
      <w:r>
        <w:rPr>
          <w:spacing w:val="11"/>
          <w:w w:val="99"/>
          <w:sz w:val="32"/>
          <w:szCs w:val="32"/>
        </w:rPr>
        <w:t>展。引导国有大中型企业提高研发投入在销售收入中的比例，</w:t>
      </w:r>
      <w:r>
        <w:rPr>
          <w:spacing w:val="23"/>
          <w:w w:val="99"/>
          <w:sz w:val="32"/>
          <w:szCs w:val="32"/>
        </w:rPr>
        <w:t>鼓励科技型中小微企业加大研发投入，加大知识产权保护力度。设立科技成果转移转化专项资金，积极引导社会资本参与科技创新和成果转化。改善科技服务管理方式，建立科技</w:t>
      </w:r>
    </w:p>
    <w:p w14:paraId="3CCD9FBA">
      <w:pPr>
        <w:spacing w:line="338" w:lineRule="auto"/>
        <w:sectPr>
          <w:footerReference r:id="rId22" w:type="default"/>
          <w:footerReference r:id="rId23" w:type="even"/>
          <w:pgSz w:w="11910" w:h="16840"/>
          <w:pgMar w:top="1780" w:right="1220" w:bottom="1160" w:left="1360" w:header="0" w:footer="975" w:gutter="0"/>
          <w:pgNumType w:start="63"/>
          <w:cols w:space="720" w:num="1"/>
        </w:sectPr>
      </w:pPr>
    </w:p>
    <w:p w14:paraId="3BB4DFFD">
      <w:pPr>
        <w:spacing w:before="28" w:line="338" w:lineRule="auto"/>
        <w:ind w:left="113" w:right="275"/>
        <w:jc w:val="both"/>
        <w:rPr>
          <w:sz w:val="32"/>
          <w:szCs w:val="32"/>
        </w:rPr>
      </w:pPr>
      <w:r>
        <w:rPr>
          <w:spacing w:val="23"/>
          <w:w w:val="99"/>
          <w:sz w:val="32"/>
          <w:szCs w:val="32"/>
        </w:rPr>
        <w:t>项目统筹管理制度，搭建统一项目投入的管理和信息平台。加强科研项目分类管理，探索依托专业机构管理科研项目的</w:t>
      </w:r>
      <w:r>
        <w:rPr>
          <w:spacing w:val="20"/>
          <w:w w:val="99"/>
          <w:sz w:val="32"/>
          <w:szCs w:val="32"/>
        </w:rPr>
        <w:t>机制，完善科研项目形成、遴选、评审和监管工作机制。</w:t>
      </w:r>
    </w:p>
    <w:p w14:paraId="2501B96A">
      <w:pPr>
        <w:spacing w:before="8"/>
        <w:rPr>
          <w:sz w:val="35"/>
          <w:szCs w:val="32"/>
        </w:rPr>
      </w:pPr>
    </w:p>
    <w:p w14:paraId="4E32DC71">
      <w:pPr>
        <w:ind w:right="161"/>
        <w:jc w:val="center"/>
        <w:outlineLvl w:val="0"/>
        <w:rPr>
          <w:rFonts w:ascii="宋体" w:hAnsi="宋体" w:eastAsia="宋体" w:cs="宋体"/>
          <w:b/>
          <w:bCs/>
          <w:sz w:val="32"/>
          <w:szCs w:val="32"/>
        </w:rPr>
      </w:pPr>
      <w:r>
        <w:rPr>
          <w:rFonts w:ascii="宋体" w:hAnsi="宋体" w:eastAsia="宋体" w:cs="宋体"/>
          <w:b/>
          <w:bCs/>
          <w:spacing w:val="24"/>
          <w:sz w:val="32"/>
          <w:szCs w:val="32"/>
        </w:rPr>
        <w:t>第二</w:t>
      </w:r>
      <w:r>
        <w:rPr>
          <w:rFonts w:ascii="宋体" w:hAnsi="宋体" w:eastAsia="宋体" w:cs="宋体"/>
          <w:b/>
          <w:bCs/>
          <w:spacing w:val="72"/>
          <w:sz w:val="32"/>
          <w:szCs w:val="32"/>
        </w:rPr>
        <w:t>节 培</w:t>
      </w:r>
      <w:r>
        <w:rPr>
          <w:rFonts w:ascii="宋体" w:hAnsi="宋体" w:eastAsia="宋体" w:cs="宋体"/>
          <w:b/>
          <w:bCs/>
          <w:spacing w:val="24"/>
          <w:sz w:val="32"/>
          <w:szCs w:val="32"/>
        </w:rPr>
        <w:t>育创新市场主</w:t>
      </w:r>
      <w:r>
        <w:rPr>
          <w:rFonts w:ascii="宋体" w:hAnsi="宋体" w:eastAsia="宋体" w:cs="宋体"/>
          <w:b/>
          <w:bCs/>
          <w:spacing w:val="-10"/>
          <w:sz w:val="32"/>
          <w:szCs w:val="32"/>
        </w:rPr>
        <w:t>体</w:t>
      </w:r>
    </w:p>
    <w:p w14:paraId="103FB917">
      <w:pPr>
        <w:rPr>
          <w:rFonts w:ascii="宋体"/>
          <w:b/>
          <w:sz w:val="24"/>
          <w:szCs w:val="32"/>
        </w:rPr>
      </w:pPr>
    </w:p>
    <w:p w14:paraId="77AC5941">
      <w:pPr>
        <w:ind w:left="797"/>
        <w:rPr>
          <w:rFonts w:ascii="黑体" w:eastAsia="黑体"/>
          <w:sz w:val="32"/>
          <w:szCs w:val="32"/>
        </w:rPr>
      </w:pPr>
      <w:r>
        <w:rPr>
          <w:rFonts w:ascii="黑体" w:eastAsia="黑体"/>
          <w:spacing w:val="17"/>
          <w:w w:val="95"/>
          <w:sz w:val="32"/>
          <w:szCs w:val="32"/>
        </w:rPr>
        <w:t>一、建设公共创新平台</w:t>
      </w:r>
    </w:p>
    <w:p w14:paraId="29E911C5">
      <w:pPr>
        <w:spacing w:before="166" w:line="338" w:lineRule="auto"/>
        <w:ind w:left="113" w:right="275" w:firstLine="684"/>
        <w:jc w:val="both"/>
        <w:rPr>
          <w:sz w:val="32"/>
          <w:szCs w:val="32"/>
        </w:rPr>
      </w:pPr>
      <w:r>
        <w:rPr>
          <w:spacing w:val="24"/>
          <w:w w:val="99"/>
          <w:sz w:val="32"/>
          <w:szCs w:val="32"/>
        </w:rPr>
        <w:t>依托阅海湾中央商务区</w:t>
      </w:r>
      <w:r>
        <w:rPr>
          <w:spacing w:val="26"/>
          <w:w w:val="99"/>
          <w:sz w:val="32"/>
          <w:szCs w:val="32"/>
        </w:rPr>
        <w:t>（</w:t>
      </w:r>
      <w:r>
        <w:rPr>
          <w:spacing w:val="24"/>
          <w:w w:val="99"/>
          <w:sz w:val="32"/>
          <w:szCs w:val="32"/>
        </w:rPr>
        <w:t>丝路经济园</w:t>
      </w:r>
      <w:r>
        <w:rPr>
          <w:spacing w:val="26"/>
          <w:w w:val="99"/>
          <w:sz w:val="32"/>
          <w:szCs w:val="32"/>
        </w:rPr>
        <w:t>），</w:t>
      </w:r>
      <w:r>
        <w:rPr>
          <w:spacing w:val="20"/>
          <w:w w:val="99"/>
          <w:sz w:val="32"/>
          <w:szCs w:val="32"/>
        </w:rPr>
        <w:t>推进建设“一</w:t>
      </w:r>
      <w:r>
        <w:rPr>
          <w:spacing w:val="24"/>
          <w:w w:val="99"/>
          <w:sz w:val="32"/>
          <w:szCs w:val="32"/>
        </w:rPr>
        <w:t>基地、一平台、一中心</w:t>
      </w:r>
      <w:r>
        <w:rPr>
          <w:spacing w:val="26"/>
          <w:w w:val="99"/>
          <w:sz w:val="32"/>
          <w:szCs w:val="32"/>
        </w:rPr>
        <w:t>”（</w:t>
      </w:r>
      <w:r>
        <w:rPr>
          <w:spacing w:val="22"/>
          <w:w w:val="99"/>
          <w:sz w:val="32"/>
          <w:szCs w:val="32"/>
        </w:rPr>
        <w:t>科技服务孵化基地、科技要素服</w:t>
      </w:r>
      <w:r>
        <w:rPr>
          <w:spacing w:val="24"/>
          <w:w w:val="99"/>
          <w:sz w:val="32"/>
          <w:szCs w:val="32"/>
        </w:rPr>
        <w:t>务平台、银川科技要素交易</w:t>
      </w:r>
      <w:r>
        <w:rPr>
          <w:rFonts w:ascii="宋体" w:hAnsi="宋体" w:eastAsia="宋体"/>
          <w:spacing w:val="26"/>
          <w:w w:val="99"/>
          <w:sz w:val="32"/>
          <w:szCs w:val="32"/>
        </w:rPr>
        <w:t>﹝</w:t>
      </w:r>
      <w:r>
        <w:rPr>
          <w:spacing w:val="25"/>
          <w:w w:val="99"/>
          <w:sz w:val="32"/>
          <w:szCs w:val="32"/>
        </w:rPr>
        <w:t>展示</w:t>
      </w:r>
      <w:r>
        <w:rPr>
          <w:rFonts w:ascii="宋体" w:hAnsi="宋体" w:eastAsia="宋体"/>
          <w:spacing w:val="26"/>
          <w:w w:val="99"/>
          <w:sz w:val="32"/>
          <w:szCs w:val="32"/>
        </w:rPr>
        <w:t>﹞</w:t>
      </w:r>
      <w:r>
        <w:rPr>
          <w:spacing w:val="25"/>
          <w:w w:val="99"/>
          <w:sz w:val="32"/>
          <w:szCs w:val="32"/>
        </w:rPr>
        <w:t>中心</w:t>
      </w:r>
      <w:r>
        <w:rPr>
          <w:spacing w:val="26"/>
          <w:w w:val="99"/>
          <w:sz w:val="32"/>
          <w:szCs w:val="32"/>
        </w:rPr>
        <w:t>）</w:t>
      </w:r>
      <w:r>
        <w:rPr>
          <w:spacing w:val="20"/>
          <w:w w:val="99"/>
          <w:sz w:val="32"/>
          <w:szCs w:val="32"/>
        </w:rPr>
        <w:t>的金凤区科技服</w:t>
      </w:r>
      <w:r>
        <w:rPr>
          <w:spacing w:val="23"/>
          <w:w w:val="99"/>
          <w:sz w:val="32"/>
          <w:szCs w:val="32"/>
        </w:rPr>
        <w:t>务产业集聚区。统筹区域内各类科技服务资源，构建开放协同的宁夏回族自治区跨区域科技创新公共服务平台，形成模式有创新、服务有保障、交易有亮点的“金凤模式”，有效加速科技成果转移转化，促进技术合同成交额快速增长，成为立足银川、服务全区、连通区内外的科技资源“交易”枢</w:t>
      </w:r>
      <w:r>
        <w:rPr>
          <w:spacing w:val="10"/>
          <w:w w:val="99"/>
          <w:sz w:val="32"/>
          <w:szCs w:val="32"/>
        </w:rPr>
        <w:t>纽。</w:t>
      </w:r>
    </w:p>
    <w:p w14:paraId="6D5B6F7B">
      <w:pPr>
        <w:ind w:left="797"/>
        <w:rPr>
          <w:rFonts w:ascii="黑体" w:eastAsia="黑体"/>
          <w:sz w:val="32"/>
          <w:szCs w:val="32"/>
        </w:rPr>
      </w:pPr>
      <w:r>
        <w:rPr>
          <w:rFonts w:ascii="黑体" w:eastAsia="黑体"/>
          <w:spacing w:val="17"/>
          <w:w w:val="95"/>
          <w:sz w:val="32"/>
          <w:szCs w:val="32"/>
        </w:rPr>
        <w:t>二、强化创新主体培育</w:t>
      </w:r>
    </w:p>
    <w:p w14:paraId="67D0B55F">
      <w:pPr>
        <w:spacing w:before="166" w:line="338" w:lineRule="auto"/>
        <w:ind w:left="113" w:right="106" w:firstLine="684"/>
        <w:rPr>
          <w:rFonts w:ascii="Times New Roman" w:eastAsia="Times New Roman"/>
          <w:sz w:val="32"/>
          <w:szCs w:val="32"/>
        </w:rPr>
      </w:pPr>
      <w:r>
        <w:rPr>
          <w:spacing w:val="23"/>
          <w:w w:val="99"/>
          <w:sz w:val="32"/>
          <w:szCs w:val="32"/>
        </w:rPr>
        <w:t>支持和引导创新要素向企业集聚，加强知识产权保护，培育一批具有自主创新能力、拥有自主知识产权的高新技术</w:t>
      </w:r>
      <w:r>
        <w:rPr>
          <w:spacing w:val="11"/>
          <w:w w:val="99"/>
          <w:sz w:val="32"/>
          <w:szCs w:val="32"/>
        </w:rPr>
        <w:t>企业。完善科技型企业梯次培育体系，推动科技型中小企业、</w:t>
      </w:r>
      <w:r>
        <w:rPr>
          <w:spacing w:val="23"/>
          <w:w w:val="99"/>
          <w:sz w:val="32"/>
          <w:szCs w:val="32"/>
        </w:rPr>
        <w:t>科技小巨人企业、高新技术企业的数量和质量双提升，打造形成以高新技术企业为主力军的创新型企业集群。通过科技</w:t>
      </w:r>
      <w:r>
        <w:rPr>
          <w:spacing w:val="10"/>
          <w:w w:val="99"/>
          <w:sz w:val="32"/>
          <w:szCs w:val="32"/>
        </w:rPr>
        <w:t>创新券、政府购买服务等方式，为科技型企业提供技术研发、</w:t>
      </w:r>
      <w:r>
        <w:rPr>
          <w:spacing w:val="17"/>
          <w:w w:val="99"/>
          <w:sz w:val="32"/>
          <w:szCs w:val="32"/>
        </w:rPr>
        <w:t>检验检测、管理指导、技能培训、市场拓展等服务。到</w:t>
      </w:r>
      <w:r>
        <w:rPr>
          <w:spacing w:val="-52"/>
          <w:sz w:val="32"/>
          <w:szCs w:val="32"/>
        </w:rPr>
        <w:t xml:space="preserve"> </w:t>
      </w:r>
      <w:r>
        <w:rPr>
          <w:rFonts w:ascii="Times New Roman" w:eastAsia="Times New Roman"/>
          <w:spacing w:val="8"/>
          <w:w w:val="99"/>
          <w:sz w:val="32"/>
          <w:szCs w:val="32"/>
        </w:rPr>
        <w:t>2</w:t>
      </w:r>
      <w:r>
        <w:rPr>
          <w:rFonts w:ascii="Times New Roman" w:eastAsia="Times New Roman"/>
          <w:spacing w:val="10"/>
          <w:w w:val="99"/>
          <w:sz w:val="32"/>
          <w:szCs w:val="32"/>
        </w:rPr>
        <w:t>0</w:t>
      </w:r>
      <w:r>
        <w:rPr>
          <w:rFonts w:ascii="Times New Roman" w:eastAsia="Times New Roman"/>
          <w:spacing w:val="15"/>
          <w:w w:val="99"/>
          <w:sz w:val="32"/>
          <w:szCs w:val="32"/>
        </w:rPr>
        <w:t>2</w:t>
      </w:r>
      <w:r>
        <w:rPr>
          <w:rFonts w:ascii="Times New Roman" w:eastAsia="Times New Roman"/>
          <w:w w:val="99"/>
          <w:sz w:val="32"/>
          <w:szCs w:val="32"/>
        </w:rPr>
        <w:t>5</w:t>
      </w:r>
    </w:p>
    <w:p w14:paraId="78D2AA54">
      <w:pPr>
        <w:spacing w:line="338" w:lineRule="auto"/>
        <w:rPr>
          <w:rFonts w:ascii="Times New Roman" w:eastAsia="Times New Roman"/>
        </w:rPr>
        <w:sectPr>
          <w:pgSz w:w="11910" w:h="16840"/>
          <w:pgMar w:top="1800" w:right="1220" w:bottom="1160" w:left="1360" w:header="0" w:footer="975" w:gutter="0"/>
          <w:cols w:space="720" w:num="1"/>
        </w:sectPr>
      </w:pPr>
    </w:p>
    <w:p w14:paraId="1F4F4B5E">
      <w:pPr>
        <w:spacing w:before="48"/>
        <w:ind w:left="113"/>
        <w:rPr>
          <w:sz w:val="32"/>
          <w:szCs w:val="32"/>
        </w:rPr>
      </w:pPr>
      <w:r>
        <w:rPr>
          <w:spacing w:val="16"/>
          <w:w w:val="95"/>
          <w:sz w:val="32"/>
          <w:szCs w:val="32"/>
        </w:rPr>
        <w:t>年，培育国家级高新技术企业</w:t>
      </w:r>
      <w:r>
        <w:rPr>
          <w:spacing w:val="11"/>
          <w:w w:val="150"/>
          <w:sz w:val="32"/>
          <w:szCs w:val="32"/>
        </w:rPr>
        <w:t xml:space="preserve"> </w:t>
      </w:r>
      <w:r>
        <w:rPr>
          <w:rFonts w:ascii="Times New Roman" w:eastAsia="Times New Roman"/>
          <w:w w:val="95"/>
          <w:sz w:val="32"/>
          <w:szCs w:val="32"/>
        </w:rPr>
        <w:t>90</w:t>
      </w:r>
      <w:r>
        <w:rPr>
          <w:rFonts w:ascii="Times New Roman" w:eastAsia="Times New Roman"/>
          <w:spacing w:val="33"/>
          <w:sz w:val="32"/>
          <w:szCs w:val="32"/>
        </w:rPr>
        <w:t xml:space="preserve">  </w:t>
      </w:r>
      <w:r>
        <w:rPr>
          <w:spacing w:val="14"/>
          <w:w w:val="95"/>
          <w:sz w:val="32"/>
          <w:szCs w:val="32"/>
        </w:rPr>
        <w:t>家，自治区级科技型中小企</w:t>
      </w:r>
    </w:p>
    <w:p w14:paraId="400B0B2C">
      <w:pPr>
        <w:spacing w:before="170"/>
        <w:ind w:left="113"/>
        <w:rPr>
          <w:sz w:val="32"/>
          <w:szCs w:val="32"/>
        </w:rPr>
      </w:pPr>
      <w:r>
        <w:rPr>
          <w:w w:val="95"/>
          <w:sz w:val="32"/>
          <w:szCs w:val="32"/>
        </w:rPr>
        <w:t>业</w:t>
      </w:r>
      <w:r>
        <w:rPr>
          <w:spacing w:val="34"/>
          <w:sz w:val="32"/>
          <w:szCs w:val="32"/>
        </w:rPr>
        <w:t xml:space="preserve"> </w:t>
      </w:r>
      <w:r>
        <w:rPr>
          <w:rFonts w:ascii="Times New Roman" w:eastAsia="Times New Roman"/>
          <w:w w:val="95"/>
          <w:sz w:val="32"/>
          <w:szCs w:val="32"/>
        </w:rPr>
        <w:t>400</w:t>
      </w:r>
      <w:r>
        <w:rPr>
          <w:rFonts w:ascii="Times New Roman" w:eastAsia="Times New Roman"/>
          <w:spacing w:val="64"/>
          <w:w w:val="150"/>
          <w:sz w:val="32"/>
          <w:szCs w:val="32"/>
        </w:rPr>
        <w:t xml:space="preserve"> </w:t>
      </w:r>
      <w:r>
        <w:rPr>
          <w:spacing w:val="25"/>
          <w:w w:val="95"/>
          <w:sz w:val="32"/>
          <w:szCs w:val="32"/>
        </w:rPr>
        <w:t>家，</w:t>
      </w:r>
      <w:r>
        <w:rPr>
          <w:spacing w:val="26"/>
          <w:w w:val="95"/>
          <w:sz w:val="32"/>
          <w:szCs w:val="32"/>
        </w:rPr>
        <w:t>自治</w:t>
      </w:r>
      <w:r>
        <w:rPr>
          <w:spacing w:val="24"/>
          <w:w w:val="95"/>
          <w:sz w:val="32"/>
          <w:szCs w:val="32"/>
        </w:rPr>
        <w:t>区</w:t>
      </w:r>
      <w:r>
        <w:rPr>
          <w:spacing w:val="26"/>
          <w:w w:val="95"/>
          <w:sz w:val="32"/>
          <w:szCs w:val="32"/>
        </w:rPr>
        <w:t>级科</w:t>
      </w:r>
      <w:r>
        <w:rPr>
          <w:spacing w:val="24"/>
          <w:w w:val="95"/>
          <w:sz w:val="32"/>
          <w:szCs w:val="32"/>
        </w:rPr>
        <w:t>技</w:t>
      </w:r>
      <w:r>
        <w:rPr>
          <w:spacing w:val="26"/>
          <w:w w:val="95"/>
          <w:sz w:val="32"/>
          <w:szCs w:val="32"/>
        </w:rPr>
        <w:t>小巨</w:t>
      </w:r>
      <w:r>
        <w:rPr>
          <w:spacing w:val="16"/>
          <w:w w:val="95"/>
          <w:sz w:val="32"/>
          <w:szCs w:val="32"/>
        </w:rPr>
        <w:t>人企业</w:t>
      </w:r>
      <w:r>
        <w:rPr>
          <w:spacing w:val="35"/>
          <w:sz w:val="32"/>
          <w:szCs w:val="32"/>
        </w:rPr>
        <w:t xml:space="preserve"> </w:t>
      </w:r>
      <w:r>
        <w:rPr>
          <w:rFonts w:ascii="Times New Roman" w:eastAsia="Times New Roman"/>
          <w:w w:val="95"/>
          <w:sz w:val="32"/>
          <w:szCs w:val="32"/>
        </w:rPr>
        <w:t>8</w:t>
      </w:r>
      <w:r>
        <w:rPr>
          <w:rFonts w:ascii="Times New Roman" w:eastAsia="Times New Roman"/>
          <w:spacing w:val="55"/>
          <w:w w:val="150"/>
          <w:sz w:val="32"/>
          <w:szCs w:val="32"/>
        </w:rPr>
        <w:t xml:space="preserve"> </w:t>
      </w:r>
      <w:r>
        <w:rPr>
          <w:spacing w:val="25"/>
          <w:w w:val="95"/>
          <w:sz w:val="32"/>
          <w:szCs w:val="32"/>
        </w:rPr>
        <w:t>家，</w:t>
      </w:r>
      <w:r>
        <w:rPr>
          <w:spacing w:val="26"/>
          <w:w w:val="95"/>
          <w:sz w:val="32"/>
          <w:szCs w:val="32"/>
        </w:rPr>
        <w:t>农业</w:t>
      </w:r>
      <w:r>
        <w:rPr>
          <w:spacing w:val="24"/>
          <w:w w:val="95"/>
          <w:sz w:val="32"/>
          <w:szCs w:val="32"/>
        </w:rPr>
        <w:t>高</w:t>
      </w:r>
      <w:r>
        <w:rPr>
          <w:spacing w:val="26"/>
          <w:w w:val="95"/>
          <w:sz w:val="32"/>
          <w:szCs w:val="32"/>
        </w:rPr>
        <w:t>新技</w:t>
      </w:r>
      <w:r>
        <w:rPr>
          <w:spacing w:val="7"/>
          <w:w w:val="95"/>
          <w:sz w:val="32"/>
          <w:szCs w:val="32"/>
        </w:rPr>
        <w:t>术企</w:t>
      </w:r>
    </w:p>
    <w:p w14:paraId="02B86F67">
      <w:pPr>
        <w:spacing w:before="169"/>
        <w:ind w:left="113"/>
        <w:rPr>
          <w:sz w:val="32"/>
          <w:szCs w:val="32"/>
        </w:rPr>
      </w:pPr>
      <w:r>
        <w:rPr>
          <w:spacing w:val="-26"/>
          <w:sz w:val="32"/>
          <w:szCs w:val="32"/>
        </w:rPr>
        <w:t xml:space="preserve">业 </w:t>
      </w:r>
      <w:r>
        <w:rPr>
          <w:rFonts w:ascii="Times New Roman" w:eastAsia="Times New Roman"/>
          <w:sz w:val="32"/>
          <w:szCs w:val="32"/>
        </w:rPr>
        <w:t>5</w:t>
      </w:r>
      <w:r>
        <w:rPr>
          <w:rFonts w:ascii="Times New Roman" w:eastAsia="Times New Roman"/>
          <w:spacing w:val="9"/>
          <w:sz w:val="32"/>
          <w:szCs w:val="32"/>
        </w:rPr>
        <w:t xml:space="preserve"> </w:t>
      </w:r>
      <w:r>
        <w:rPr>
          <w:spacing w:val="5"/>
          <w:sz w:val="32"/>
          <w:szCs w:val="32"/>
        </w:rPr>
        <w:t>家。</w:t>
      </w:r>
    </w:p>
    <w:p w14:paraId="789682C7">
      <w:pPr>
        <w:spacing w:before="154"/>
        <w:ind w:left="797"/>
        <w:rPr>
          <w:rFonts w:ascii="黑体" w:eastAsia="黑体"/>
          <w:sz w:val="32"/>
          <w:szCs w:val="32"/>
        </w:rPr>
      </w:pPr>
      <w:r>
        <w:rPr>
          <w:rFonts w:ascii="黑体" w:eastAsia="黑体"/>
          <w:spacing w:val="17"/>
          <w:w w:val="95"/>
          <w:sz w:val="32"/>
          <w:szCs w:val="32"/>
        </w:rPr>
        <w:t>三、积极推进开放创新</w:t>
      </w:r>
    </w:p>
    <w:p w14:paraId="41240D9F">
      <w:pPr>
        <w:spacing w:before="166" w:line="338" w:lineRule="auto"/>
        <w:ind w:left="113" w:right="102" w:firstLine="684"/>
        <w:rPr>
          <w:sz w:val="32"/>
          <w:szCs w:val="32"/>
        </w:rPr>
      </w:pPr>
      <w:r>
        <w:rPr>
          <w:spacing w:val="23"/>
          <w:w w:val="99"/>
          <w:sz w:val="32"/>
          <w:szCs w:val="32"/>
        </w:rPr>
        <w:t>落实好“科技支宁”东西部合作，支持企业在东部地区建设“飞地”科技成果育成平台、研发中心、孵化基地，借助当地创新资源开展创新，实现外地研发孵化、当地转移转</w:t>
      </w:r>
      <w:r>
        <w:rPr>
          <w:spacing w:val="11"/>
          <w:w w:val="99"/>
          <w:sz w:val="32"/>
          <w:szCs w:val="32"/>
        </w:rPr>
        <w:t>化，用好外部的创新人才、创新平台、创新资金、创新项目。</w:t>
      </w:r>
      <w:r>
        <w:rPr>
          <w:spacing w:val="23"/>
          <w:w w:val="99"/>
          <w:sz w:val="32"/>
          <w:szCs w:val="32"/>
        </w:rPr>
        <w:t>支持企业与当地及东部发达地区高校、科研院所组建产业技术创新战略联盟，共建各级、各类企业研究开发中心、工程技术研究中心、重点实验室等创新平台，贯通科技创新“最</w:t>
      </w:r>
      <w:r>
        <w:rPr>
          <w:spacing w:val="19"/>
          <w:w w:val="99"/>
          <w:sz w:val="32"/>
          <w:szCs w:val="32"/>
        </w:rPr>
        <w:t>先一公里”和成果转化“最后一公里”。</w:t>
      </w:r>
    </w:p>
    <w:p w14:paraId="1F2B6AF3">
      <w:pPr>
        <w:spacing w:before="156"/>
        <w:ind w:right="161"/>
        <w:jc w:val="center"/>
        <w:outlineLvl w:val="0"/>
        <w:rPr>
          <w:rFonts w:ascii="宋体" w:hAnsi="宋体" w:eastAsia="宋体" w:cs="宋体"/>
          <w:b/>
          <w:bCs/>
          <w:sz w:val="32"/>
          <w:szCs w:val="32"/>
        </w:rPr>
      </w:pPr>
      <w:r>
        <w:rPr>
          <w:rFonts w:ascii="宋体" w:hAnsi="宋体" w:eastAsia="宋体" w:cs="宋体"/>
          <w:b/>
          <w:bCs/>
          <w:spacing w:val="24"/>
          <w:sz w:val="32"/>
          <w:szCs w:val="32"/>
        </w:rPr>
        <w:t>第三</w:t>
      </w:r>
      <w:r>
        <w:rPr>
          <w:rFonts w:ascii="宋体" w:hAnsi="宋体" w:eastAsia="宋体" w:cs="宋体"/>
          <w:b/>
          <w:bCs/>
          <w:spacing w:val="72"/>
          <w:sz w:val="32"/>
          <w:szCs w:val="32"/>
        </w:rPr>
        <w:t>节 优</w:t>
      </w:r>
      <w:r>
        <w:rPr>
          <w:rFonts w:ascii="宋体" w:hAnsi="宋体" w:eastAsia="宋体" w:cs="宋体"/>
          <w:b/>
          <w:bCs/>
          <w:spacing w:val="24"/>
          <w:sz w:val="32"/>
          <w:szCs w:val="32"/>
        </w:rPr>
        <w:t>化创新创业环</w:t>
      </w:r>
      <w:r>
        <w:rPr>
          <w:rFonts w:ascii="宋体" w:hAnsi="宋体" w:eastAsia="宋体" w:cs="宋体"/>
          <w:b/>
          <w:bCs/>
          <w:spacing w:val="-10"/>
          <w:sz w:val="32"/>
          <w:szCs w:val="32"/>
        </w:rPr>
        <w:t>境</w:t>
      </w:r>
    </w:p>
    <w:p w14:paraId="5FB2AC1D">
      <w:pPr>
        <w:spacing w:before="10"/>
        <w:rPr>
          <w:rFonts w:ascii="宋体"/>
          <w:b/>
          <w:sz w:val="23"/>
          <w:szCs w:val="32"/>
        </w:rPr>
      </w:pPr>
    </w:p>
    <w:p w14:paraId="6481CB72">
      <w:pPr>
        <w:ind w:left="797"/>
        <w:rPr>
          <w:rFonts w:ascii="黑体" w:eastAsia="黑体"/>
          <w:sz w:val="32"/>
          <w:szCs w:val="32"/>
        </w:rPr>
      </w:pPr>
      <w:r>
        <w:rPr>
          <w:rFonts w:ascii="黑体" w:eastAsia="黑体"/>
          <w:spacing w:val="17"/>
          <w:w w:val="95"/>
          <w:sz w:val="32"/>
          <w:szCs w:val="32"/>
        </w:rPr>
        <w:t>一、完善创新创业政策</w:t>
      </w:r>
    </w:p>
    <w:p w14:paraId="6266B85E">
      <w:pPr>
        <w:spacing w:before="166" w:line="340" w:lineRule="auto"/>
        <w:ind w:left="113" w:right="106" w:firstLine="684"/>
        <w:jc w:val="both"/>
        <w:rPr>
          <w:sz w:val="32"/>
          <w:szCs w:val="32"/>
        </w:rPr>
      </w:pPr>
      <w:r>
        <w:rPr>
          <w:spacing w:val="24"/>
          <w:sz w:val="32"/>
          <w:szCs w:val="32"/>
        </w:rPr>
        <w:t>加强对各类科技创新政策的宣传和培训，促进高</w:t>
      </w:r>
      <w:r>
        <w:rPr>
          <w:spacing w:val="15"/>
          <w:sz w:val="32"/>
          <w:szCs w:val="32"/>
        </w:rPr>
        <w:t>新技术</w:t>
      </w:r>
      <w:r>
        <w:rPr>
          <w:spacing w:val="24"/>
          <w:sz w:val="32"/>
          <w:szCs w:val="32"/>
        </w:rPr>
        <w:t>企业所得税优惠、企业研发费用加计扣除、科技</w:t>
      </w:r>
      <w:r>
        <w:rPr>
          <w:spacing w:val="19"/>
          <w:sz w:val="32"/>
          <w:szCs w:val="32"/>
        </w:rPr>
        <w:t>成果转化收</w:t>
      </w:r>
      <w:r>
        <w:rPr>
          <w:spacing w:val="24"/>
          <w:sz w:val="32"/>
          <w:szCs w:val="32"/>
        </w:rPr>
        <w:t>益分配、科技人员创新创业等重大科技政策落实</w:t>
      </w:r>
      <w:r>
        <w:rPr>
          <w:spacing w:val="19"/>
          <w:sz w:val="32"/>
          <w:szCs w:val="32"/>
        </w:rPr>
        <w:t>。全面落实</w:t>
      </w:r>
      <w:r>
        <w:rPr>
          <w:spacing w:val="24"/>
          <w:sz w:val="32"/>
          <w:szCs w:val="32"/>
        </w:rPr>
        <w:t>国家科技金融试点城市政策，发挥好自治区“宁</w:t>
      </w:r>
      <w:r>
        <w:rPr>
          <w:spacing w:val="19"/>
          <w:sz w:val="32"/>
          <w:szCs w:val="32"/>
        </w:rPr>
        <w:t>科贷”及中</w:t>
      </w:r>
      <w:r>
        <w:rPr>
          <w:spacing w:val="24"/>
          <w:sz w:val="32"/>
          <w:szCs w:val="32"/>
        </w:rPr>
        <w:t>科天使孵化基金支持企业研发的放大作用，探索</w:t>
      </w:r>
      <w:r>
        <w:rPr>
          <w:spacing w:val="19"/>
          <w:sz w:val="32"/>
          <w:szCs w:val="32"/>
        </w:rPr>
        <w:t>科技专项资</w:t>
      </w:r>
      <w:r>
        <w:rPr>
          <w:spacing w:val="24"/>
          <w:sz w:val="32"/>
          <w:szCs w:val="32"/>
        </w:rPr>
        <w:t>金市场化、基金化运作模式。探索建立科技专业</w:t>
      </w:r>
      <w:r>
        <w:rPr>
          <w:spacing w:val="19"/>
          <w:sz w:val="32"/>
          <w:szCs w:val="32"/>
        </w:rPr>
        <w:t>银行，破解</w:t>
      </w:r>
      <w:r>
        <w:rPr>
          <w:spacing w:val="24"/>
          <w:sz w:val="32"/>
          <w:szCs w:val="32"/>
        </w:rPr>
        <w:t>科技型中小企业资金缺乏难题，逐步完善科技金</w:t>
      </w:r>
      <w:r>
        <w:rPr>
          <w:spacing w:val="19"/>
          <w:sz w:val="32"/>
          <w:szCs w:val="32"/>
        </w:rPr>
        <w:t>融产品。探</w:t>
      </w:r>
      <w:r>
        <w:rPr>
          <w:spacing w:val="24"/>
          <w:sz w:val="32"/>
          <w:szCs w:val="32"/>
        </w:rPr>
        <w:t>索设立创新创业投资基金，积极引入股权投资机</w:t>
      </w:r>
      <w:r>
        <w:rPr>
          <w:spacing w:val="19"/>
          <w:sz w:val="32"/>
          <w:szCs w:val="32"/>
        </w:rPr>
        <w:t>构、产业投</w:t>
      </w:r>
      <w:r>
        <w:rPr>
          <w:spacing w:val="21"/>
          <w:w w:val="95"/>
          <w:sz w:val="32"/>
          <w:szCs w:val="32"/>
        </w:rPr>
        <w:t>资</w:t>
      </w:r>
      <w:r>
        <w:rPr>
          <w:spacing w:val="22"/>
          <w:w w:val="95"/>
          <w:sz w:val="32"/>
          <w:szCs w:val="32"/>
        </w:rPr>
        <w:t>机构</w:t>
      </w:r>
      <w:r>
        <w:rPr>
          <w:spacing w:val="14"/>
          <w:w w:val="95"/>
          <w:sz w:val="32"/>
          <w:szCs w:val="32"/>
        </w:rPr>
        <w:t>、科技金融机构，探索供应链</w:t>
      </w:r>
      <w:r>
        <w:rPr>
          <w:spacing w:val="22"/>
          <w:w w:val="95"/>
          <w:sz w:val="32"/>
          <w:szCs w:val="32"/>
        </w:rPr>
        <w:t>金融</w:t>
      </w:r>
      <w:r>
        <w:rPr>
          <w:spacing w:val="14"/>
          <w:w w:val="95"/>
          <w:sz w:val="32"/>
          <w:szCs w:val="32"/>
        </w:rPr>
        <w:t>、企业无抵押信贷、</w:t>
      </w:r>
    </w:p>
    <w:p w14:paraId="73245F98">
      <w:pPr>
        <w:spacing w:line="340" w:lineRule="auto"/>
        <w:jc w:val="both"/>
        <w:sectPr>
          <w:pgSz w:w="11910" w:h="16840"/>
          <w:pgMar w:top="1780" w:right="1220" w:bottom="1160" w:left="1360" w:header="0" w:footer="975" w:gutter="0"/>
          <w:cols w:space="720" w:num="1"/>
        </w:sectPr>
      </w:pPr>
    </w:p>
    <w:p w14:paraId="55BA3226">
      <w:pPr>
        <w:spacing w:before="28"/>
        <w:ind w:left="113"/>
        <w:rPr>
          <w:sz w:val="32"/>
          <w:szCs w:val="32"/>
        </w:rPr>
      </w:pPr>
      <w:r>
        <w:rPr>
          <w:spacing w:val="18"/>
          <w:w w:val="95"/>
          <w:sz w:val="32"/>
          <w:szCs w:val="32"/>
        </w:rPr>
        <w:t>企业隐形资产评估贷等新模式。</w:t>
      </w:r>
    </w:p>
    <w:p w14:paraId="6322B63E">
      <w:pPr>
        <w:spacing w:before="154"/>
        <w:ind w:left="797"/>
        <w:rPr>
          <w:rFonts w:ascii="黑体" w:eastAsia="黑体"/>
          <w:sz w:val="32"/>
          <w:szCs w:val="32"/>
        </w:rPr>
      </w:pPr>
      <w:r>
        <w:rPr>
          <w:rFonts w:ascii="黑体" w:eastAsia="黑体"/>
          <w:spacing w:val="17"/>
          <w:w w:val="95"/>
          <w:sz w:val="32"/>
          <w:szCs w:val="32"/>
        </w:rPr>
        <w:t>二、建立双创支撑平台</w:t>
      </w:r>
    </w:p>
    <w:p w14:paraId="45B64B94">
      <w:pPr>
        <w:spacing w:before="166" w:line="338" w:lineRule="auto"/>
        <w:ind w:left="113" w:right="100" w:firstLine="684"/>
        <w:rPr>
          <w:sz w:val="32"/>
          <w:szCs w:val="32"/>
        </w:rPr>
      </w:pPr>
      <w:r>
        <w:rPr>
          <w:spacing w:val="20"/>
          <w:w w:val="99"/>
          <w:sz w:val="32"/>
          <w:szCs w:val="32"/>
        </w:rPr>
        <w:t>依托阅海湾中央商务区</w:t>
      </w:r>
      <w:r>
        <w:rPr>
          <w:spacing w:val="24"/>
          <w:w w:val="99"/>
          <w:sz w:val="32"/>
          <w:szCs w:val="32"/>
        </w:rPr>
        <w:t>（</w:t>
      </w:r>
      <w:r>
        <w:rPr>
          <w:spacing w:val="21"/>
          <w:w w:val="99"/>
          <w:sz w:val="32"/>
          <w:szCs w:val="32"/>
        </w:rPr>
        <w:t>丝路经济园</w:t>
      </w:r>
      <w:r>
        <w:rPr>
          <w:spacing w:val="14"/>
          <w:w w:val="99"/>
          <w:sz w:val="32"/>
          <w:szCs w:val="32"/>
        </w:rPr>
        <w:t>）</w:t>
      </w:r>
      <w:r>
        <w:rPr>
          <w:w w:val="99"/>
          <w:sz w:val="32"/>
          <w:szCs w:val="32"/>
        </w:rPr>
        <w:t>和</w:t>
      </w:r>
      <w:r>
        <w:rPr>
          <w:spacing w:val="-52"/>
          <w:sz w:val="32"/>
          <w:szCs w:val="32"/>
        </w:rPr>
        <w:t xml:space="preserve"> </w:t>
      </w:r>
      <w:r>
        <w:rPr>
          <w:rFonts w:ascii="Times New Roman" w:hAnsi="Times New Roman" w:eastAsia="Times New Roman"/>
          <w:spacing w:val="7"/>
          <w:w w:val="99"/>
          <w:sz w:val="32"/>
          <w:szCs w:val="32"/>
        </w:rPr>
        <w:t>i</w:t>
      </w:r>
      <w:r>
        <w:rPr>
          <w:rFonts w:ascii="Times New Roman" w:hAnsi="Times New Roman" w:eastAsia="Times New Roman"/>
          <w:spacing w:val="12"/>
          <w:w w:val="99"/>
          <w:sz w:val="32"/>
          <w:szCs w:val="32"/>
        </w:rPr>
        <w:t>B</w:t>
      </w:r>
      <w:r>
        <w:rPr>
          <w:rFonts w:ascii="Times New Roman" w:hAnsi="Times New Roman" w:eastAsia="Times New Roman"/>
          <w:w w:val="99"/>
          <w:sz w:val="32"/>
          <w:szCs w:val="32"/>
        </w:rPr>
        <w:t>i</w:t>
      </w:r>
      <w:r>
        <w:rPr>
          <w:rFonts w:ascii="Times New Roman" w:hAnsi="Times New Roman" w:eastAsia="Times New Roman"/>
          <w:spacing w:val="20"/>
          <w:sz w:val="32"/>
          <w:szCs w:val="32"/>
        </w:rPr>
        <w:t xml:space="preserve"> </w:t>
      </w:r>
      <w:r>
        <w:rPr>
          <w:spacing w:val="16"/>
          <w:w w:val="99"/>
          <w:sz w:val="32"/>
          <w:szCs w:val="32"/>
        </w:rPr>
        <w:t>育成中心，</w:t>
      </w:r>
      <w:r>
        <w:rPr>
          <w:spacing w:val="23"/>
          <w:w w:val="99"/>
          <w:sz w:val="32"/>
          <w:szCs w:val="32"/>
        </w:rPr>
        <w:t>加快聚集科技孵化器中介机构，构筑“苗圃—孵化器—加速</w:t>
      </w:r>
      <w:r>
        <w:rPr>
          <w:spacing w:val="12"/>
          <w:w w:val="99"/>
          <w:sz w:val="32"/>
          <w:szCs w:val="32"/>
        </w:rPr>
        <w:t>器—产业园”完整创业孵化链，建设创投加速器、“互联网+</w:t>
      </w:r>
      <w:r>
        <w:rPr>
          <w:spacing w:val="9"/>
          <w:w w:val="99"/>
          <w:sz w:val="32"/>
          <w:szCs w:val="32"/>
        </w:rPr>
        <w:t>开放创新+研发协同+智能制造”的开放创新和联合创业平台、</w:t>
      </w:r>
      <w:r>
        <w:rPr>
          <w:spacing w:val="23"/>
          <w:w w:val="99"/>
          <w:sz w:val="32"/>
          <w:szCs w:val="32"/>
        </w:rPr>
        <w:t>众扶支撑平台、创意、创新、创业实践平台等各具特色的创</w:t>
      </w:r>
      <w:r>
        <w:rPr>
          <w:spacing w:val="15"/>
          <w:w w:val="99"/>
          <w:sz w:val="32"/>
          <w:szCs w:val="32"/>
        </w:rPr>
        <w:t>新型孵化器或创业服务平台。到</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02</w:t>
      </w:r>
      <w:r>
        <w:rPr>
          <w:rFonts w:ascii="Times New Roman" w:hAnsi="Times New Roman" w:eastAsia="Times New Roman"/>
          <w:w w:val="99"/>
          <w:sz w:val="32"/>
          <w:szCs w:val="32"/>
        </w:rPr>
        <w:t>5</w:t>
      </w:r>
      <w:r>
        <w:rPr>
          <w:rFonts w:ascii="Times New Roman" w:hAnsi="Times New Roman" w:eastAsia="Times New Roman"/>
          <w:spacing w:val="22"/>
          <w:sz w:val="32"/>
          <w:szCs w:val="32"/>
        </w:rPr>
        <w:t xml:space="preserve"> </w:t>
      </w:r>
      <w:r>
        <w:rPr>
          <w:spacing w:val="13"/>
          <w:w w:val="99"/>
          <w:sz w:val="32"/>
          <w:szCs w:val="32"/>
        </w:rPr>
        <w:t>年，培育国家级众创空</w:t>
      </w:r>
    </w:p>
    <w:p w14:paraId="7D7E4B8C">
      <w:pPr>
        <w:spacing w:before="11"/>
        <w:ind w:left="113"/>
        <w:rPr>
          <w:sz w:val="32"/>
          <w:szCs w:val="32"/>
        </w:rPr>
      </w:pPr>
      <w:r>
        <w:rPr>
          <w:w w:val="95"/>
          <w:sz w:val="32"/>
          <w:szCs w:val="32"/>
        </w:rPr>
        <w:t>间</w:t>
      </w:r>
      <w:r>
        <w:rPr>
          <w:spacing w:val="31"/>
          <w:sz w:val="32"/>
          <w:szCs w:val="32"/>
        </w:rPr>
        <w:t xml:space="preserve"> </w:t>
      </w:r>
      <w:r>
        <w:rPr>
          <w:rFonts w:ascii="Times New Roman" w:eastAsia="Times New Roman"/>
          <w:w w:val="95"/>
          <w:sz w:val="32"/>
          <w:szCs w:val="32"/>
        </w:rPr>
        <w:t>10</w:t>
      </w:r>
      <w:r>
        <w:rPr>
          <w:rFonts w:ascii="Times New Roman" w:eastAsia="Times New Roman"/>
          <w:spacing w:val="56"/>
          <w:w w:val="150"/>
          <w:sz w:val="32"/>
          <w:szCs w:val="32"/>
        </w:rPr>
        <w:t xml:space="preserve"> </w:t>
      </w:r>
      <w:r>
        <w:rPr>
          <w:spacing w:val="18"/>
          <w:w w:val="95"/>
          <w:sz w:val="32"/>
          <w:szCs w:val="32"/>
        </w:rPr>
        <w:t>家，自治区级众创空间</w:t>
      </w:r>
      <w:r>
        <w:rPr>
          <w:spacing w:val="32"/>
          <w:sz w:val="32"/>
          <w:szCs w:val="32"/>
        </w:rPr>
        <w:t xml:space="preserve"> </w:t>
      </w:r>
      <w:r>
        <w:rPr>
          <w:rFonts w:ascii="Times New Roman" w:eastAsia="Times New Roman"/>
          <w:w w:val="95"/>
          <w:sz w:val="32"/>
          <w:szCs w:val="32"/>
        </w:rPr>
        <w:t>15</w:t>
      </w:r>
      <w:r>
        <w:rPr>
          <w:rFonts w:ascii="Times New Roman" w:eastAsia="Times New Roman"/>
          <w:spacing w:val="61"/>
          <w:w w:val="150"/>
          <w:sz w:val="32"/>
          <w:szCs w:val="32"/>
        </w:rPr>
        <w:t xml:space="preserve"> </w:t>
      </w:r>
      <w:r>
        <w:rPr>
          <w:spacing w:val="21"/>
          <w:w w:val="95"/>
          <w:sz w:val="32"/>
          <w:szCs w:val="32"/>
        </w:rPr>
        <w:t>家；国家级科技企业孵化</w:t>
      </w:r>
      <w:r>
        <w:rPr>
          <w:spacing w:val="-10"/>
          <w:w w:val="95"/>
          <w:sz w:val="32"/>
          <w:szCs w:val="32"/>
        </w:rPr>
        <w:t>器</w:t>
      </w:r>
    </w:p>
    <w:p w14:paraId="71253171">
      <w:pPr>
        <w:spacing w:before="171"/>
        <w:ind w:left="113"/>
        <w:rPr>
          <w:sz w:val="32"/>
          <w:szCs w:val="32"/>
        </w:rPr>
      </w:pPr>
      <w:r>
        <w:rPr>
          <w:rFonts w:ascii="Times New Roman" w:eastAsia="Times New Roman"/>
          <w:sz w:val="32"/>
          <w:szCs w:val="32"/>
        </w:rPr>
        <w:t>2</w:t>
      </w:r>
      <w:r>
        <w:rPr>
          <w:rFonts w:ascii="Times New Roman" w:eastAsia="Times New Roman"/>
          <w:spacing w:val="-17"/>
          <w:sz w:val="32"/>
          <w:szCs w:val="32"/>
        </w:rPr>
        <w:t xml:space="preserve"> </w:t>
      </w:r>
      <w:r>
        <w:rPr>
          <w:spacing w:val="13"/>
          <w:sz w:val="32"/>
          <w:szCs w:val="32"/>
        </w:rPr>
        <w:t xml:space="preserve">家，自治区级科技企业孵化器 </w:t>
      </w:r>
      <w:r>
        <w:rPr>
          <w:rFonts w:ascii="Times New Roman" w:eastAsia="Times New Roman"/>
          <w:sz w:val="32"/>
          <w:szCs w:val="32"/>
        </w:rPr>
        <w:t>5</w:t>
      </w:r>
      <w:r>
        <w:rPr>
          <w:rFonts w:ascii="Times New Roman" w:eastAsia="Times New Roman"/>
          <w:spacing w:val="-6"/>
          <w:sz w:val="32"/>
          <w:szCs w:val="32"/>
        </w:rPr>
        <w:t xml:space="preserve"> </w:t>
      </w:r>
      <w:r>
        <w:rPr>
          <w:spacing w:val="7"/>
          <w:sz w:val="32"/>
          <w:szCs w:val="32"/>
        </w:rPr>
        <w:t xml:space="preserve">家；星创天地 </w:t>
      </w:r>
      <w:r>
        <w:rPr>
          <w:rFonts w:ascii="Times New Roman" w:eastAsia="Times New Roman"/>
          <w:sz w:val="32"/>
          <w:szCs w:val="32"/>
        </w:rPr>
        <w:t>4</w:t>
      </w:r>
      <w:r>
        <w:rPr>
          <w:rFonts w:ascii="Times New Roman" w:eastAsia="Times New Roman"/>
          <w:spacing w:val="2"/>
          <w:sz w:val="32"/>
          <w:szCs w:val="32"/>
        </w:rPr>
        <w:t xml:space="preserve"> </w:t>
      </w:r>
      <w:r>
        <w:rPr>
          <w:spacing w:val="5"/>
          <w:sz w:val="32"/>
          <w:szCs w:val="32"/>
        </w:rPr>
        <w:t>家。</w:t>
      </w:r>
    </w:p>
    <w:p w14:paraId="3AE6B85C">
      <w:pPr>
        <w:spacing w:before="154"/>
        <w:ind w:left="797"/>
        <w:rPr>
          <w:rFonts w:ascii="黑体" w:eastAsia="黑体"/>
          <w:sz w:val="32"/>
          <w:szCs w:val="32"/>
        </w:rPr>
      </w:pPr>
      <w:r>
        <w:rPr>
          <w:rFonts w:ascii="黑体" w:eastAsia="黑体"/>
          <w:spacing w:val="17"/>
          <w:w w:val="95"/>
          <w:sz w:val="32"/>
          <w:szCs w:val="32"/>
        </w:rPr>
        <w:t>三、壮大创新人才队伍</w:t>
      </w:r>
    </w:p>
    <w:p w14:paraId="403B6216">
      <w:pPr>
        <w:spacing w:before="166" w:line="338" w:lineRule="auto"/>
        <w:ind w:left="113" w:right="270" w:firstLine="684"/>
        <w:jc w:val="both"/>
        <w:rPr>
          <w:sz w:val="32"/>
          <w:szCs w:val="32"/>
        </w:rPr>
      </w:pPr>
      <w:r>
        <w:rPr>
          <w:b/>
          <w:spacing w:val="20"/>
          <w:w w:val="99"/>
          <w:sz w:val="32"/>
          <w:szCs w:val="32"/>
        </w:rPr>
        <w:t>实施人才培育重点工程。</w:t>
      </w:r>
      <w:r>
        <w:rPr>
          <w:spacing w:val="16"/>
          <w:w w:val="99"/>
          <w:sz w:val="32"/>
          <w:szCs w:val="32"/>
        </w:rPr>
        <w:t>通过“人才小高地</w:t>
      </w:r>
      <w:r>
        <w:rPr>
          <w:spacing w:val="-17"/>
          <w:w w:val="99"/>
          <w:sz w:val="32"/>
          <w:szCs w:val="32"/>
        </w:rPr>
        <w:t>”“学科技术</w:t>
      </w:r>
      <w:r>
        <w:rPr>
          <w:spacing w:val="23"/>
          <w:w w:val="99"/>
          <w:sz w:val="32"/>
          <w:szCs w:val="32"/>
        </w:rPr>
        <w:t>带头人”等重点人才工程，加快培育一批经济社会发展急需的紧缺型人才。大力实施“本土人才回流”工程和“引凤创梦”行动，落实创新型大学生宜居工程，引进各类“高精尖</w:t>
      </w:r>
      <w:r>
        <w:rPr>
          <w:spacing w:val="16"/>
          <w:w w:val="99"/>
          <w:sz w:val="32"/>
          <w:szCs w:val="32"/>
        </w:rPr>
        <w:t>缺”人才。</w:t>
      </w:r>
    </w:p>
    <w:p w14:paraId="412EB677">
      <w:pPr>
        <w:spacing w:before="8" w:line="338" w:lineRule="auto"/>
        <w:ind w:left="113" w:right="106" w:firstLine="684"/>
        <w:rPr>
          <w:sz w:val="32"/>
          <w:szCs w:val="32"/>
        </w:rPr>
      </w:pPr>
      <w:r>
        <w:rPr>
          <w:b/>
          <w:spacing w:val="26"/>
          <w:w w:val="99"/>
          <w:sz w:val="32"/>
          <w:szCs w:val="32"/>
        </w:rPr>
        <w:t>优化人才引进制度环境。</w:t>
      </w:r>
      <w:r>
        <w:rPr>
          <w:spacing w:val="22"/>
          <w:w w:val="99"/>
          <w:sz w:val="32"/>
          <w:szCs w:val="32"/>
        </w:rPr>
        <w:t>落实自治区、银川市在教育、</w:t>
      </w:r>
      <w:r>
        <w:rPr>
          <w:spacing w:val="14"/>
          <w:w w:val="99"/>
          <w:sz w:val="32"/>
          <w:szCs w:val="32"/>
        </w:rPr>
        <w:t>医疗、科技等领域的人才激励制度，持续完善“</w:t>
      </w:r>
      <w:r>
        <w:rPr>
          <w:spacing w:val="6"/>
          <w:w w:val="99"/>
          <w:sz w:val="32"/>
          <w:szCs w:val="32"/>
        </w:rPr>
        <w:t>1</w:t>
      </w:r>
      <w:r>
        <w:rPr>
          <w:spacing w:val="13"/>
          <w:w w:val="99"/>
          <w:sz w:val="32"/>
          <w:szCs w:val="32"/>
        </w:rPr>
        <w:t>+N</w:t>
      </w:r>
      <w:r>
        <w:rPr>
          <w:spacing w:val="9"/>
          <w:w w:val="99"/>
          <w:sz w:val="32"/>
          <w:szCs w:val="32"/>
        </w:rPr>
        <w:t>”人才政</w:t>
      </w:r>
      <w:r>
        <w:rPr>
          <w:spacing w:val="23"/>
          <w:w w:val="99"/>
          <w:sz w:val="32"/>
          <w:szCs w:val="32"/>
        </w:rPr>
        <w:t>策体系，健全以创新能力、质量、实质、贡献为导向的科技</w:t>
      </w:r>
      <w:r>
        <w:rPr>
          <w:spacing w:val="10"/>
          <w:w w:val="99"/>
          <w:sz w:val="32"/>
          <w:szCs w:val="32"/>
        </w:rPr>
        <w:t>人才评价体系。围绕编制、薪酬、职称等细化相关政策措施，</w:t>
      </w:r>
      <w:r>
        <w:rPr>
          <w:spacing w:val="23"/>
          <w:w w:val="99"/>
          <w:sz w:val="32"/>
          <w:szCs w:val="32"/>
        </w:rPr>
        <w:t>完善基层和急需紧缺专业岗位人才收入分配激励机制。将引</w:t>
      </w:r>
      <w:r>
        <w:rPr>
          <w:spacing w:val="36"/>
          <w:w w:val="99"/>
          <w:sz w:val="32"/>
          <w:szCs w:val="32"/>
        </w:rPr>
        <w:t>进的高层次科技人才推荐纳入自治区和银川市相关人才计</w:t>
      </w:r>
      <w:r>
        <w:rPr>
          <w:spacing w:val="23"/>
          <w:w w:val="99"/>
          <w:sz w:val="32"/>
          <w:szCs w:val="32"/>
        </w:rPr>
        <w:t>划，积极争取创新创业方面的经费支持。提高一线工作人员</w:t>
      </w:r>
    </w:p>
    <w:p w14:paraId="11D34E62">
      <w:pPr>
        <w:spacing w:line="338" w:lineRule="auto"/>
        <w:sectPr>
          <w:pgSz w:w="11910" w:h="16840"/>
          <w:pgMar w:top="1800" w:right="1220" w:bottom="1160" w:left="1360" w:header="0" w:footer="975" w:gutter="0"/>
          <w:cols w:space="720" w:num="1"/>
        </w:sectPr>
      </w:pPr>
    </w:p>
    <w:p w14:paraId="77B2B7C7">
      <w:pPr>
        <w:spacing w:before="28" w:line="338" w:lineRule="auto"/>
        <w:ind w:left="113" w:right="106"/>
        <w:rPr>
          <w:sz w:val="32"/>
          <w:szCs w:val="32"/>
        </w:rPr>
      </w:pPr>
      <w:r>
        <w:rPr>
          <w:spacing w:val="24"/>
          <w:sz w:val="32"/>
          <w:szCs w:val="32"/>
        </w:rPr>
        <w:t>待遇，吸引一批高层次专业技术人才、管理人才、</w:t>
      </w:r>
      <w:r>
        <w:rPr>
          <w:spacing w:val="17"/>
          <w:sz w:val="32"/>
          <w:szCs w:val="32"/>
        </w:rPr>
        <w:t>国际化人</w:t>
      </w:r>
      <w:r>
        <w:rPr>
          <w:spacing w:val="14"/>
          <w:w w:val="95"/>
          <w:sz w:val="32"/>
          <w:szCs w:val="32"/>
        </w:rPr>
        <w:t>才到重点园区、重点产业一线工作。积极推广“周末工程师”</w:t>
      </w:r>
      <w:r>
        <w:rPr>
          <w:spacing w:val="80"/>
          <w:sz w:val="32"/>
          <w:szCs w:val="32"/>
        </w:rPr>
        <w:t xml:space="preserve"> </w:t>
      </w:r>
      <w:r>
        <w:rPr>
          <w:spacing w:val="24"/>
          <w:sz w:val="32"/>
          <w:szCs w:val="32"/>
        </w:rPr>
        <w:t>“假日专家</w:t>
      </w:r>
      <w:r>
        <w:rPr>
          <w:spacing w:val="-6"/>
          <w:sz w:val="32"/>
          <w:szCs w:val="32"/>
        </w:rPr>
        <w:t>”“候鸟式专</w:t>
      </w:r>
      <w:r>
        <w:rPr>
          <w:spacing w:val="24"/>
          <w:sz w:val="32"/>
          <w:szCs w:val="32"/>
        </w:rPr>
        <w:t>家”等</w:t>
      </w:r>
      <w:r>
        <w:rPr>
          <w:spacing w:val="19"/>
          <w:sz w:val="32"/>
          <w:szCs w:val="32"/>
        </w:rPr>
        <w:t>形式,实现柔性引才、精准引</w:t>
      </w:r>
      <w:r>
        <w:rPr>
          <w:spacing w:val="5"/>
          <w:sz w:val="32"/>
          <w:szCs w:val="32"/>
        </w:rPr>
        <w:t>才。</w:t>
      </w:r>
    </w:p>
    <w:p w14:paraId="1E41396B">
      <w:pPr>
        <w:spacing w:before="8" w:line="338" w:lineRule="auto"/>
        <w:ind w:left="113" w:right="273" w:firstLine="684"/>
        <w:jc w:val="both"/>
        <w:rPr>
          <w:sz w:val="32"/>
          <w:szCs w:val="32"/>
        </w:rPr>
      </w:pPr>
      <w:r>
        <w:rPr>
          <w:b/>
          <w:spacing w:val="26"/>
          <w:w w:val="99"/>
          <w:sz w:val="32"/>
          <w:szCs w:val="32"/>
        </w:rPr>
        <w:t>加强各类人才培养力度。</w:t>
      </w:r>
      <w:r>
        <w:rPr>
          <w:spacing w:val="22"/>
          <w:w w:val="99"/>
          <w:sz w:val="32"/>
          <w:szCs w:val="32"/>
        </w:rPr>
        <w:t>围绕区委、政府确定的高新技</w:t>
      </w:r>
      <w:r>
        <w:rPr>
          <w:spacing w:val="23"/>
          <w:w w:val="99"/>
          <w:sz w:val="32"/>
          <w:szCs w:val="32"/>
        </w:rPr>
        <w:t>术产业、现代服务业、全域旅游“三篇文章”和防范化解重</w:t>
      </w:r>
      <w:r>
        <w:rPr>
          <w:spacing w:val="2"/>
          <w:w w:val="99"/>
          <w:sz w:val="32"/>
          <w:szCs w:val="32"/>
        </w:rPr>
        <w:t>大风险、脱贫攻坚、污染防治“三大攻坚战”，加强对党政人</w:t>
      </w:r>
      <w:r>
        <w:rPr>
          <w:spacing w:val="23"/>
          <w:w w:val="99"/>
          <w:sz w:val="32"/>
          <w:szCs w:val="32"/>
        </w:rPr>
        <w:t>才、产业领军型人才、农村实用人才、紧缺专业技术人才等各类人才选拔培养力度。密切校企合作，鼓励企业与国内外知名高校建立校企联合培养高技能人才、工匠人才新机制。建立常态化企业家、人才培训机制，提升其经营管理、研发</w:t>
      </w:r>
      <w:r>
        <w:rPr>
          <w:spacing w:val="17"/>
          <w:w w:val="99"/>
          <w:sz w:val="32"/>
          <w:szCs w:val="32"/>
        </w:rPr>
        <w:t>创新等能力。</w:t>
      </w:r>
    </w:p>
    <w:p w14:paraId="4744758B">
      <w:pPr>
        <w:spacing w:before="14" w:line="338" w:lineRule="auto"/>
        <w:ind w:left="113" w:right="273" w:firstLine="684"/>
        <w:jc w:val="both"/>
        <w:rPr>
          <w:sz w:val="32"/>
          <w:szCs w:val="32"/>
        </w:rPr>
      </w:pPr>
      <w:r>
        <w:rPr>
          <w:b/>
          <w:spacing w:val="26"/>
          <w:w w:val="99"/>
          <w:sz w:val="32"/>
          <w:szCs w:val="32"/>
        </w:rPr>
        <w:t>发挥创新资源磁聚效应。</w:t>
      </w:r>
      <w:r>
        <w:rPr>
          <w:spacing w:val="22"/>
          <w:w w:val="99"/>
          <w:sz w:val="32"/>
          <w:szCs w:val="32"/>
        </w:rPr>
        <w:t>积极响应自治区要求，重点遴</w:t>
      </w:r>
      <w:r>
        <w:rPr>
          <w:spacing w:val="23"/>
          <w:w w:val="99"/>
          <w:sz w:val="32"/>
          <w:szCs w:val="32"/>
        </w:rPr>
        <w:t>选支持全区确定的创新性产业、创新性项目、创新性工程、</w:t>
      </w:r>
      <w:r>
        <w:rPr>
          <w:spacing w:val="5"/>
          <w:w w:val="99"/>
          <w:sz w:val="32"/>
          <w:szCs w:val="32"/>
        </w:rPr>
        <w:t>创新性学科，成立“科技创新团队”“博士后流动站”“专家</w:t>
      </w:r>
      <w:r>
        <w:rPr>
          <w:spacing w:val="23"/>
          <w:w w:val="99"/>
          <w:sz w:val="32"/>
          <w:szCs w:val="32"/>
        </w:rPr>
        <w:t>服务基地”等组织，推动形成一批各领域创新成果，撬动地区创新发展对人才的巨大引力，形成人才引进的良性循环，</w:t>
      </w:r>
      <w:r>
        <w:rPr>
          <w:spacing w:val="19"/>
          <w:w w:val="99"/>
          <w:sz w:val="32"/>
          <w:szCs w:val="32"/>
        </w:rPr>
        <w:t>努力将金凤区打造成聚集人才的高地。</w:t>
      </w:r>
    </w:p>
    <w:p w14:paraId="642D5101">
      <w:pPr>
        <w:spacing w:line="338" w:lineRule="auto"/>
        <w:jc w:val="both"/>
        <w:sectPr>
          <w:pgSz w:w="11910" w:h="16840"/>
          <w:pgMar w:top="1800" w:right="1220" w:bottom="1160" w:left="1360" w:header="0" w:footer="975" w:gutter="0"/>
          <w:cols w:space="720" w:num="1"/>
        </w:sectPr>
      </w:pPr>
    </w:p>
    <w:p w14:paraId="400E6AA1">
      <w:pPr>
        <w:rPr>
          <w:sz w:val="20"/>
          <w:szCs w:val="32"/>
        </w:rPr>
      </w:pPr>
    </w:p>
    <w:p w14:paraId="041D85B3">
      <w:pPr>
        <w:rPr>
          <w:sz w:val="20"/>
          <w:szCs w:val="32"/>
        </w:rPr>
      </w:pPr>
    </w:p>
    <w:p w14:paraId="7B9EC405">
      <w:pPr>
        <w:rPr>
          <w:sz w:val="20"/>
          <w:szCs w:val="32"/>
        </w:rPr>
      </w:pPr>
    </w:p>
    <w:p w14:paraId="14D2E32A">
      <w:pPr>
        <w:rPr>
          <w:sz w:val="20"/>
          <w:szCs w:val="32"/>
        </w:rPr>
      </w:pPr>
    </w:p>
    <w:p w14:paraId="796172BC">
      <w:pPr>
        <w:rPr>
          <w:sz w:val="20"/>
          <w:szCs w:val="32"/>
        </w:rPr>
      </w:pPr>
    </w:p>
    <w:p w14:paraId="2A7B8425">
      <w:pPr>
        <w:spacing w:before="3"/>
        <w:rPr>
          <w:sz w:val="19"/>
          <w:szCs w:val="32"/>
        </w:rPr>
      </w:pPr>
    </w:p>
    <w:p w14:paraId="5F893E01">
      <w:pPr>
        <w:tabs>
          <w:tab w:val="left" w:pos="1552"/>
        </w:tabs>
        <w:spacing w:line="634" w:lineRule="exact"/>
        <w:ind w:right="156"/>
        <w:jc w:val="center"/>
        <w:rPr>
          <w:rFonts w:ascii="方正小标宋简体" w:eastAsia="方正小标宋简体"/>
          <w:b/>
          <w:sz w:val="36"/>
        </w:rPr>
      </w:pPr>
      <w:r>
        <w:rPr>
          <w:rFonts w:hint="eastAsia" w:ascii="方正小标宋简体" w:eastAsia="方正小标宋简体"/>
          <w:b/>
          <w:spacing w:val="24"/>
          <w:w w:val="95"/>
          <w:sz w:val="36"/>
        </w:rPr>
        <w:t>第四</w:t>
      </w:r>
      <w:r>
        <w:rPr>
          <w:rFonts w:hint="eastAsia" w:ascii="方正小标宋简体" w:eastAsia="方正小标宋简体"/>
          <w:b/>
          <w:spacing w:val="-10"/>
          <w:w w:val="95"/>
          <w:sz w:val="36"/>
        </w:rPr>
        <w:t>篇</w:t>
      </w:r>
      <w:r>
        <w:rPr>
          <w:rFonts w:hint="eastAsia" w:ascii="方正小标宋简体" w:eastAsia="方正小标宋简体"/>
          <w:b/>
          <w:sz w:val="36"/>
        </w:rPr>
        <w:tab/>
      </w:r>
      <w:r>
        <w:rPr>
          <w:rFonts w:hint="eastAsia" w:ascii="方正小标宋简体" w:eastAsia="方正小标宋简体"/>
          <w:b/>
          <w:spacing w:val="24"/>
          <w:w w:val="95"/>
          <w:sz w:val="36"/>
        </w:rPr>
        <w:t>践行</w:t>
      </w:r>
      <w:r>
        <w:rPr>
          <w:rFonts w:hint="eastAsia" w:ascii="方正小标宋简体" w:eastAsia="方正小标宋简体"/>
          <w:b/>
          <w:spacing w:val="21"/>
          <w:w w:val="95"/>
          <w:sz w:val="36"/>
        </w:rPr>
        <w:t>金</w:t>
      </w:r>
      <w:r>
        <w:rPr>
          <w:rFonts w:hint="eastAsia" w:ascii="方正小标宋简体" w:eastAsia="方正小标宋简体"/>
          <w:b/>
          <w:spacing w:val="24"/>
          <w:w w:val="95"/>
          <w:sz w:val="36"/>
        </w:rPr>
        <w:t>凤担当</w:t>
      </w:r>
      <w:r>
        <w:rPr>
          <w:rFonts w:hint="eastAsia" w:ascii="方正小标宋简体" w:eastAsia="方正小标宋简体"/>
          <w:b/>
          <w:spacing w:val="21"/>
          <w:w w:val="95"/>
          <w:sz w:val="36"/>
        </w:rPr>
        <w:t>，</w:t>
      </w:r>
      <w:r>
        <w:rPr>
          <w:rFonts w:hint="eastAsia" w:ascii="方正小标宋简体" w:eastAsia="方正小标宋简体"/>
          <w:b/>
          <w:spacing w:val="24"/>
          <w:w w:val="95"/>
          <w:sz w:val="36"/>
        </w:rPr>
        <w:t>塑造协</w:t>
      </w:r>
      <w:r>
        <w:rPr>
          <w:rFonts w:hint="eastAsia" w:ascii="方正小标宋简体" w:eastAsia="方正小标宋简体"/>
          <w:b/>
          <w:spacing w:val="21"/>
          <w:w w:val="95"/>
          <w:sz w:val="36"/>
        </w:rPr>
        <w:t>调</w:t>
      </w:r>
      <w:r>
        <w:rPr>
          <w:rFonts w:hint="eastAsia" w:ascii="方正小标宋简体" w:eastAsia="方正小标宋简体"/>
          <w:b/>
          <w:spacing w:val="24"/>
          <w:w w:val="95"/>
          <w:sz w:val="36"/>
        </w:rPr>
        <w:t>发展新</w:t>
      </w:r>
      <w:r>
        <w:rPr>
          <w:rFonts w:hint="eastAsia" w:ascii="方正小标宋简体" w:eastAsia="方正小标宋简体"/>
          <w:b/>
          <w:spacing w:val="21"/>
          <w:w w:val="95"/>
          <w:sz w:val="36"/>
        </w:rPr>
        <w:t>格</w:t>
      </w:r>
      <w:r>
        <w:rPr>
          <w:rFonts w:hint="eastAsia" w:ascii="方正小标宋简体" w:eastAsia="方正小标宋简体"/>
          <w:b/>
          <w:spacing w:val="-10"/>
          <w:w w:val="95"/>
          <w:sz w:val="36"/>
        </w:rPr>
        <w:t>局</w:t>
      </w:r>
    </w:p>
    <w:p w14:paraId="2F1C9FE7">
      <w:pPr>
        <w:spacing w:before="7"/>
        <w:rPr>
          <w:rFonts w:ascii="方正小标宋简体"/>
          <w:b/>
          <w:sz w:val="35"/>
          <w:szCs w:val="32"/>
        </w:rPr>
      </w:pPr>
    </w:p>
    <w:p w14:paraId="782F3E33">
      <w:pPr>
        <w:ind w:left="953"/>
        <w:rPr>
          <w:rFonts w:ascii="宋体" w:eastAsia="宋体"/>
          <w:b/>
          <w:sz w:val="30"/>
        </w:rPr>
      </w:pPr>
      <w:r>
        <w:rPr>
          <w:rFonts w:hint="eastAsia" w:ascii="宋体" w:eastAsia="宋体"/>
          <w:b/>
          <w:sz w:val="30"/>
        </w:rPr>
        <w:t>第五章</w:t>
      </w:r>
      <w:r>
        <w:rPr>
          <w:rFonts w:hint="eastAsia" w:ascii="宋体" w:eastAsia="宋体"/>
          <w:b/>
          <w:spacing w:val="46"/>
          <w:w w:val="150"/>
          <w:sz w:val="30"/>
        </w:rPr>
        <w:t xml:space="preserve"> </w:t>
      </w:r>
      <w:r>
        <w:rPr>
          <w:rFonts w:hint="eastAsia" w:ascii="宋体" w:eastAsia="宋体"/>
          <w:b/>
          <w:sz w:val="30"/>
        </w:rPr>
        <w:t>加快推进城乡融合发</w:t>
      </w:r>
      <w:r>
        <w:rPr>
          <w:rFonts w:hint="eastAsia" w:ascii="宋体" w:eastAsia="宋体"/>
          <w:b/>
          <w:spacing w:val="-10"/>
          <w:sz w:val="30"/>
        </w:rPr>
        <w:t>展</w:t>
      </w:r>
    </w:p>
    <w:p w14:paraId="47723033">
      <w:pPr>
        <w:spacing w:before="266" w:line="338" w:lineRule="auto"/>
        <w:ind w:left="113" w:right="270" w:firstLine="684"/>
        <w:jc w:val="both"/>
        <w:rPr>
          <w:sz w:val="32"/>
          <w:szCs w:val="32"/>
        </w:rPr>
      </w:pPr>
      <w:r>
        <w:rPr>
          <w:spacing w:val="23"/>
          <w:w w:val="99"/>
          <w:sz w:val="32"/>
          <w:szCs w:val="32"/>
        </w:rPr>
        <w:t>以国际化现代化为方向，坚持乡村振兴和新型城镇化双轮驱动，全方位提升城区综合承载力和现代化水平，加快完善“中心城区—特色小城镇—美丽乡村”三级城乡融合发展</w:t>
      </w:r>
      <w:r>
        <w:rPr>
          <w:spacing w:val="14"/>
          <w:w w:val="99"/>
          <w:sz w:val="32"/>
          <w:szCs w:val="32"/>
        </w:rPr>
        <w:t>格局，紧盯近期、</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02</w:t>
      </w:r>
      <w:r>
        <w:rPr>
          <w:rFonts w:ascii="Times New Roman" w:hAnsi="Times New Roman" w:eastAsia="Times New Roman"/>
          <w:w w:val="99"/>
          <w:sz w:val="32"/>
          <w:szCs w:val="32"/>
        </w:rPr>
        <w:t>5</w:t>
      </w:r>
      <w:r>
        <w:rPr>
          <w:rFonts w:ascii="Times New Roman" w:hAnsi="Times New Roman" w:eastAsia="Times New Roman"/>
          <w:spacing w:val="22"/>
          <w:sz w:val="32"/>
          <w:szCs w:val="32"/>
        </w:rPr>
        <w:t xml:space="preserve"> </w:t>
      </w:r>
      <w:r>
        <w:rPr>
          <w:spacing w:val="9"/>
          <w:w w:val="99"/>
          <w:sz w:val="32"/>
          <w:szCs w:val="32"/>
        </w:rPr>
        <w:t>年、</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03</w:t>
      </w:r>
      <w:r>
        <w:rPr>
          <w:rFonts w:ascii="Times New Roman" w:hAnsi="Times New Roman" w:eastAsia="Times New Roman"/>
          <w:w w:val="99"/>
          <w:sz w:val="32"/>
          <w:szCs w:val="32"/>
        </w:rPr>
        <w:t>5</w:t>
      </w:r>
      <w:r>
        <w:rPr>
          <w:rFonts w:ascii="Times New Roman" w:hAnsi="Times New Roman" w:eastAsia="Times New Roman"/>
          <w:spacing w:val="22"/>
          <w:sz w:val="32"/>
          <w:szCs w:val="32"/>
        </w:rPr>
        <w:t xml:space="preserve"> </w:t>
      </w:r>
      <w:r>
        <w:rPr>
          <w:spacing w:val="16"/>
          <w:w w:val="99"/>
          <w:sz w:val="32"/>
          <w:szCs w:val="32"/>
        </w:rPr>
        <w:t>年三个时间节点，统筹考虑</w:t>
      </w:r>
      <w:r>
        <w:rPr>
          <w:spacing w:val="23"/>
          <w:w w:val="99"/>
          <w:sz w:val="32"/>
          <w:szCs w:val="32"/>
        </w:rPr>
        <w:t>两镇城镇化进程，细化“多规合一”村庄实用性规划，逐步形成定位清晰、功能互补、城乡均衡的空间体系，构建城乡融合、特色鲜明的城乡发展新格局，使更多人民群众享有更</w:t>
      </w:r>
      <w:r>
        <w:rPr>
          <w:spacing w:val="18"/>
          <w:w w:val="99"/>
          <w:sz w:val="32"/>
          <w:szCs w:val="32"/>
        </w:rPr>
        <w:t>高品质的城市生活。</w:t>
      </w:r>
    </w:p>
    <w:p w14:paraId="02AFF02B">
      <w:pPr>
        <w:spacing w:before="156"/>
        <w:ind w:right="161"/>
        <w:jc w:val="center"/>
        <w:outlineLvl w:val="0"/>
        <w:rPr>
          <w:rFonts w:ascii="宋体" w:hAnsi="宋体" w:eastAsia="宋体" w:cs="宋体"/>
          <w:b/>
          <w:bCs/>
          <w:sz w:val="32"/>
          <w:szCs w:val="32"/>
        </w:rPr>
      </w:pPr>
      <w:r>
        <w:rPr>
          <w:rFonts w:ascii="宋体" w:hAnsi="宋体" w:eastAsia="宋体" w:cs="宋体"/>
          <w:b/>
          <w:bCs/>
          <w:spacing w:val="24"/>
          <w:sz w:val="32"/>
          <w:szCs w:val="32"/>
        </w:rPr>
        <w:t>第一</w:t>
      </w:r>
      <w:r>
        <w:rPr>
          <w:rFonts w:ascii="宋体" w:hAnsi="宋体" w:eastAsia="宋体" w:cs="宋体"/>
          <w:b/>
          <w:bCs/>
          <w:spacing w:val="72"/>
          <w:sz w:val="32"/>
          <w:szCs w:val="32"/>
        </w:rPr>
        <w:t>节 建</w:t>
      </w:r>
      <w:r>
        <w:rPr>
          <w:rFonts w:ascii="宋体" w:hAnsi="宋体" w:eastAsia="宋体" w:cs="宋体"/>
          <w:b/>
          <w:bCs/>
          <w:spacing w:val="24"/>
          <w:sz w:val="32"/>
          <w:szCs w:val="32"/>
        </w:rPr>
        <w:t>设国际品质城</w:t>
      </w:r>
      <w:r>
        <w:rPr>
          <w:rFonts w:ascii="宋体" w:hAnsi="宋体" w:eastAsia="宋体" w:cs="宋体"/>
          <w:b/>
          <w:bCs/>
          <w:spacing w:val="-10"/>
          <w:sz w:val="32"/>
          <w:szCs w:val="32"/>
        </w:rPr>
        <w:t>区</w:t>
      </w:r>
    </w:p>
    <w:p w14:paraId="329D5AB8">
      <w:pPr>
        <w:spacing w:before="283" w:line="364" w:lineRule="auto"/>
        <w:ind w:left="113" w:right="275" w:firstLine="684"/>
        <w:jc w:val="both"/>
        <w:rPr>
          <w:sz w:val="32"/>
          <w:szCs w:val="32"/>
        </w:rPr>
      </w:pPr>
      <w:r>
        <w:rPr>
          <w:spacing w:val="23"/>
          <w:w w:val="99"/>
          <w:sz w:val="32"/>
          <w:szCs w:val="32"/>
        </w:rPr>
        <w:t>以城市修补理念开展城市更新、高水平开发，核心功能加快集聚，非核心功能有序疏解，现代化智慧城区形态初步形成，城市功能品质更多元、更优越，基本实现精明增长和</w:t>
      </w:r>
      <w:r>
        <w:rPr>
          <w:spacing w:val="16"/>
          <w:w w:val="99"/>
          <w:sz w:val="32"/>
          <w:szCs w:val="32"/>
        </w:rPr>
        <w:t>全域协调。</w:t>
      </w:r>
    </w:p>
    <w:p w14:paraId="59AE080E">
      <w:pPr>
        <w:spacing w:before="25"/>
        <w:ind w:left="797"/>
        <w:rPr>
          <w:rFonts w:ascii="黑体" w:eastAsia="黑体"/>
          <w:sz w:val="32"/>
          <w:szCs w:val="32"/>
        </w:rPr>
      </w:pPr>
      <w:r>
        <w:rPr>
          <w:rFonts w:ascii="黑体" w:eastAsia="黑体"/>
          <w:spacing w:val="17"/>
          <w:w w:val="95"/>
          <w:sz w:val="32"/>
          <w:szCs w:val="32"/>
        </w:rPr>
        <w:t>一、加快城市更新步伐</w:t>
      </w:r>
    </w:p>
    <w:p w14:paraId="0477EF4F">
      <w:pPr>
        <w:spacing w:before="166" w:line="340" w:lineRule="auto"/>
        <w:ind w:left="113" w:right="273" w:firstLine="684"/>
        <w:rPr>
          <w:sz w:val="32"/>
          <w:szCs w:val="32"/>
        </w:rPr>
      </w:pPr>
      <w:r>
        <w:rPr>
          <w:b/>
          <w:spacing w:val="26"/>
          <w:w w:val="99"/>
          <w:sz w:val="32"/>
          <w:szCs w:val="32"/>
        </w:rPr>
        <w:t>高效利用土地资源。</w:t>
      </w:r>
      <w:r>
        <w:rPr>
          <w:spacing w:val="22"/>
          <w:w w:val="99"/>
          <w:sz w:val="32"/>
          <w:szCs w:val="32"/>
        </w:rPr>
        <w:t>积极对接市级自然资源部门，优化</w:t>
      </w:r>
      <w:r>
        <w:rPr>
          <w:spacing w:val="23"/>
          <w:w w:val="99"/>
          <w:sz w:val="32"/>
          <w:szCs w:val="32"/>
        </w:rPr>
        <w:t>土地利用结构，合理增加生态用地、保障住宅和公共服务设</w:t>
      </w:r>
    </w:p>
    <w:p w14:paraId="0978396C">
      <w:pPr>
        <w:spacing w:line="340" w:lineRule="auto"/>
        <w:sectPr>
          <w:pgSz w:w="11910" w:h="16840"/>
          <w:pgMar w:top="1920" w:right="1220" w:bottom="1160" w:left="1360" w:header="0" w:footer="975" w:gutter="0"/>
          <w:cols w:space="720" w:num="1"/>
        </w:sectPr>
      </w:pPr>
    </w:p>
    <w:p w14:paraId="7733EC37">
      <w:pPr>
        <w:spacing w:before="28" w:line="338" w:lineRule="auto"/>
        <w:ind w:left="113" w:right="275"/>
        <w:jc w:val="both"/>
        <w:rPr>
          <w:sz w:val="32"/>
          <w:szCs w:val="32"/>
        </w:rPr>
      </w:pPr>
      <w:r>
        <w:rPr>
          <w:spacing w:val="23"/>
          <w:w w:val="99"/>
          <w:sz w:val="32"/>
          <w:szCs w:val="32"/>
        </w:rPr>
        <w:t>施、农业配套发展等生活、生产用地。坚持综合整治、功能改变、拆除重建和保护性开发等多种模式并举，预留城区发展储备空间，提高对未来的适应性。加强政策引导，提高存量楼宇资源的集约利用效率，结合招商引资优先开发环阅海片区。注重以人为本，整合区域商业商务楼宇和公共活动空间，满足工作生活和消费方式的多元需求，进一步促进产城融合。针对低效用地，细化楼宇提升计划，盘活存量土地资</w:t>
      </w:r>
      <w:r>
        <w:rPr>
          <w:spacing w:val="10"/>
          <w:w w:val="99"/>
          <w:sz w:val="32"/>
          <w:szCs w:val="32"/>
        </w:rPr>
        <w:t>源。</w:t>
      </w:r>
    </w:p>
    <w:p w14:paraId="1DF9E162">
      <w:pPr>
        <w:spacing w:before="14" w:line="340" w:lineRule="auto"/>
        <w:ind w:left="113" w:right="106" w:firstLine="684"/>
        <w:rPr>
          <w:sz w:val="32"/>
          <w:szCs w:val="32"/>
        </w:rPr>
      </w:pPr>
      <w:r>
        <w:rPr>
          <w:b/>
          <w:spacing w:val="26"/>
          <w:w w:val="99"/>
          <w:sz w:val="32"/>
          <w:szCs w:val="32"/>
        </w:rPr>
        <w:t>改造提升中心城区。</w:t>
      </w:r>
      <w:r>
        <w:rPr>
          <w:spacing w:val="22"/>
          <w:w w:val="99"/>
          <w:sz w:val="32"/>
          <w:szCs w:val="32"/>
        </w:rPr>
        <w:t>高标准推进城区有机更新，推动非</w:t>
      </w:r>
      <w:r>
        <w:rPr>
          <w:spacing w:val="23"/>
          <w:w w:val="99"/>
          <w:sz w:val="32"/>
          <w:szCs w:val="32"/>
        </w:rPr>
        <w:t>核心功能疏解，优化城市空间形态和功能，促进新旧城区功</w:t>
      </w:r>
      <w:r>
        <w:rPr>
          <w:spacing w:val="4"/>
          <w:w w:val="99"/>
          <w:sz w:val="32"/>
          <w:szCs w:val="32"/>
        </w:rPr>
        <w:t>能融合，以环境改善、设施配套及业态优化为重点，推进“</w:t>
      </w:r>
      <w:r>
        <w:rPr>
          <w:rFonts w:ascii="Calibri" w:hAnsi="Calibri" w:eastAsia="Calibri"/>
          <w:spacing w:val="11"/>
          <w:w w:val="99"/>
          <w:sz w:val="32"/>
          <w:szCs w:val="32"/>
        </w:rPr>
        <w:t>1</w:t>
      </w:r>
      <w:r>
        <w:rPr>
          <w:rFonts w:ascii="Calibri" w:hAnsi="Calibri" w:eastAsia="Calibri"/>
          <w:w w:val="99"/>
          <w:sz w:val="32"/>
          <w:szCs w:val="32"/>
        </w:rPr>
        <w:t>5</w:t>
      </w:r>
      <w:r>
        <w:rPr>
          <w:spacing w:val="11"/>
          <w:w w:val="99"/>
          <w:sz w:val="32"/>
          <w:szCs w:val="32"/>
        </w:rPr>
        <w:t>分钟社区生活圈”建设。统筹考虑中南部老旧小区连片区域，</w:t>
      </w:r>
      <w:r>
        <w:rPr>
          <w:spacing w:val="18"/>
          <w:w w:val="99"/>
          <w:sz w:val="32"/>
          <w:szCs w:val="32"/>
        </w:rPr>
        <w:t>分批次全面完成</w:t>
      </w:r>
      <w:r>
        <w:rPr>
          <w:spacing w:val="-52"/>
          <w:sz w:val="32"/>
          <w:szCs w:val="32"/>
        </w:rPr>
        <w:t xml:space="preserve"> </w:t>
      </w:r>
      <w:r>
        <w:rPr>
          <w:rFonts w:ascii="Calibri" w:hAnsi="Calibri" w:eastAsia="Calibri"/>
          <w:spacing w:val="8"/>
          <w:w w:val="99"/>
          <w:sz w:val="32"/>
          <w:szCs w:val="32"/>
        </w:rPr>
        <w:t>1</w:t>
      </w:r>
      <w:r>
        <w:rPr>
          <w:rFonts w:ascii="Calibri" w:hAnsi="Calibri" w:eastAsia="Calibri"/>
          <w:spacing w:val="11"/>
          <w:w w:val="99"/>
          <w:sz w:val="32"/>
          <w:szCs w:val="32"/>
        </w:rPr>
        <w:t>1</w:t>
      </w:r>
      <w:r>
        <w:rPr>
          <w:rFonts w:ascii="Calibri" w:hAnsi="Calibri" w:eastAsia="Calibri"/>
          <w:w w:val="99"/>
          <w:sz w:val="32"/>
          <w:szCs w:val="32"/>
        </w:rPr>
        <w:t>4</w:t>
      </w:r>
      <w:r>
        <w:rPr>
          <w:rFonts w:ascii="Calibri" w:hAnsi="Calibri" w:eastAsia="Calibri"/>
          <w:spacing w:val="29"/>
          <w:sz w:val="32"/>
          <w:szCs w:val="32"/>
        </w:rPr>
        <w:t xml:space="preserve"> </w:t>
      </w:r>
      <w:r>
        <w:rPr>
          <w:w w:val="99"/>
          <w:sz w:val="32"/>
          <w:szCs w:val="32"/>
        </w:rPr>
        <w:t>个</w:t>
      </w:r>
      <w:r>
        <w:rPr>
          <w:spacing w:val="-52"/>
          <w:sz w:val="32"/>
          <w:szCs w:val="32"/>
        </w:rPr>
        <w:t xml:space="preserve"> </w:t>
      </w:r>
      <w:r>
        <w:rPr>
          <w:rFonts w:ascii="Calibri" w:hAnsi="Calibri" w:eastAsia="Calibri"/>
          <w:spacing w:val="8"/>
          <w:w w:val="99"/>
          <w:sz w:val="32"/>
          <w:szCs w:val="32"/>
        </w:rPr>
        <w:t>2</w:t>
      </w:r>
      <w:r>
        <w:rPr>
          <w:rFonts w:ascii="Calibri" w:hAnsi="Calibri" w:eastAsia="Calibri"/>
          <w:spacing w:val="11"/>
          <w:w w:val="99"/>
          <w:sz w:val="32"/>
          <w:szCs w:val="32"/>
        </w:rPr>
        <w:t>00</w:t>
      </w:r>
      <w:r>
        <w:rPr>
          <w:rFonts w:ascii="Calibri" w:hAnsi="Calibri" w:eastAsia="Calibri"/>
          <w:w w:val="99"/>
          <w:sz w:val="32"/>
          <w:szCs w:val="32"/>
        </w:rPr>
        <w:t>0</w:t>
      </w:r>
      <w:r>
        <w:rPr>
          <w:rFonts w:ascii="Calibri" w:hAnsi="Calibri" w:eastAsia="Calibri"/>
          <w:spacing w:val="27"/>
          <w:sz w:val="32"/>
          <w:szCs w:val="32"/>
        </w:rPr>
        <w:t xml:space="preserve"> </w:t>
      </w:r>
      <w:r>
        <w:rPr>
          <w:spacing w:val="19"/>
          <w:w w:val="99"/>
          <w:sz w:val="32"/>
          <w:szCs w:val="32"/>
        </w:rPr>
        <w:t>年前建成的老旧小区综合改造，</w:t>
      </w:r>
    </w:p>
    <w:p w14:paraId="1648398E">
      <w:pPr>
        <w:spacing w:line="338" w:lineRule="auto"/>
        <w:ind w:left="113" w:right="102"/>
        <w:rPr>
          <w:sz w:val="32"/>
          <w:szCs w:val="32"/>
        </w:rPr>
      </w:pPr>
      <w:r>
        <w:rPr>
          <w:rFonts w:ascii="Calibri" w:hAnsi="Calibri" w:eastAsia="Calibri"/>
          <w:spacing w:val="8"/>
          <w:w w:val="99"/>
          <w:sz w:val="32"/>
          <w:szCs w:val="32"/>
        </w:rPr>
        <w:t>2</w:t>
      </w:r>
      <w:r>
        <w:rPr>
          <w:rFonts w:ascii="Calibri" w:hAnsi="Calibri" w:eastAsia="Calibri"/>
          <w:spacing w:val="11"/>
          <w:w w:val="99"/>
          <w:sz w:val="32"/>
          <w:szCs w:val="32"/>
        </w:rPr>
        <w:t>02</w:t>
      </w:r>
      <w:r>
        <w:rPr>
          <w:rFonts w:ascii="Calibri" w:hAnsi="Calibri" w:eastAsia="Calibri"/>
          <w:w w:val="99"/>
          <w:sz w:val="32"/>
          <w:szCs w:val="32"/>
        </w:rPr>
        <w:t>5</w:t>
      </w:r>
      <w:r>
        <w:rPr>
          <w:rFonts w:ascii="Calibri" w:hAnsi="Calibri" w:eastAsia="Calibri"/>
          <w:spacing w:val="34"/>
          <w:sz w:val="32"/>
          <w:szCs w:val="32"/>
        </w:rPr>
        <w:t xml:space="preserve"> </w:t>
      </w:r>
      <w:r>
        <w:rPr>
          <w:spacing w:val="19"/>
          <w:w w:val="99"/>
          <w:sz w:val="32"/>
          <w:szCs w:val="32"/>
        </w:rPr>
        <w:t>年前将</w:t>
      </w:r>
      <w:r>
        <w:rPr>
          <w:spacing w:val="-45"/>
          <w:sz w:val="32"/>
          <w:szCs w:val="32"/>
        </w:rPr>
        <w:t xml:space="preserve"> </w:t>
      </w:r>
      <w:r>
        <w:rPr>
          <w:rFonts w:ascii="Calibri" w:hAnsi="Calibri" w:eastAsia="Calibri"/>
          <w:spacing w:val="6"/>
          <w:w w:val="99"/>
          <w:sz w:val="32"/>
          <w:szCs w:val="32"/>
        </w:rPr>
        <w:t>2</w:t>
      </w:r>
      <w:r>
        <w:rPr>
          <w:rFonts w:ascii="Calibri" w:hAnsi="Calibri" w:eastAsia="Calibri"/>
          <w:spacing w:val="11"/>
          <w:w w:val="99"/>
          <w:sz w:val="32"/>
          <w:szCs w:val="32"/>
        </w:rPr>
        <w:t>0</w:t>
      </w:r>
      <w:r>
        <w:rPr>
          <w:rFonts w:ascii="Calibri" w:hAnsi="Calibri" w:eastAsia="Calibri"/>
          <w:spacing w:val="13"/>
          <w:w w:val="99"/>
          <w:sz w:val="32"/>
          <w:szCs w:val="32"/>
        </w:rPr>
        <w:t>0</w:t>
      </w:r>
      <w:r>
        <w:rPr>
          <w:rFonts w:ascii="Calibri" w:hAnsi="Calibri" w:eastAsia="Calibri"/>
          <w:w w:val="99"/>
          <w:sz w:val="32"/>
          <w:szCs w:val="32"/>
        </w:rPr>
        <w:t>5</w:t>
      </w:r>
      <w:r>
        <w:rPr>
          <w:rFonts w:ascii="Calibri" w:hAnsi="Calibri" w:eastAsia="Calibri"/>
          <w:spacing w:val="34"/>
          <w:sz w:val="32"/>
          <w:szCs w:val="32"/>
        </w:rPr>
        <w:t xml:space="preserve"> </w:t>
      </w:r>
      <w:r>
        <w:rPr>
          <w:spacing w:val="27"/>
          <w:w w:val="99"/>
          <w:sz w:val="32"/>
          <w:szCs w:val="32"/>
        </w:rPr>
        <w:t>年前建成的老旧小区全部纳入改造范围，</w:t>
      </w:r>
      <w:r>
        <w:rPr>
          <w:spacing w:val="11"/>
          <w:w w:val="99"/>
          <w:sz w:val="32"/>
          <w:szCs w:val="32"/>
        </w:rPr>
        <w:t>改善老旧小区面貌、提升小区居住品质、提高居民生活质量，</w:t>
      </w:r>
      <w:r>
        <w:rPr>
          <w:spacing w:val="23"/>
          <w:w w:val="99"/>
          <w:sz w:val="32"/>
          <w:szCs w:val="32"/>
        </w:rPr>
        <w:t>实现“排水通、路面平、路灯亮、停车有序、功能全、环境美、管理优”的目标。完善旧改矛盾纠纷化解机制，建立健全诉求调解平台和重大项目社会稳定风险评估机制。加快创</w:t>
      </w:r>
      <w:r>
        <w:rPr>
          <w:spacing w:val="11"/>
          <w:w w:val="99"/>
          <w:sz w:val="32"/>
          <w:szCs w:val="32"/>
        </w:rPr>
        <w:t>建绿色、智能、低碳、健康的现代化未来小区，打造人本化、</w:t>
      </w:r>
      <w:r>
        <w:rPr>
          <w:spacing w:val="14"/>
          <w:w w:val="99"/>
          <w:sz w:val="32"/>
          <w:szCs w:val="32"/>
        </w:rPr>
        <w:t>生态化和数字化的新型城市功能单元，到</w:t>
      </w:r>
      <w:r>
        <w:rPr>
          <w:spacing w:val="-50"/>
          <w:sz w:val="32"/>
          <w:szCs w:val="32"/>
        </w:rPr>
        <w:t xml:space="preserve"> </w:t>
      </w:r>
      <w:r>
        <w:rPr>
          <w:rFonts w:ascii="Calibri" w:hAnsi="Calibri" w:eastAsia="Calibri"/>
          <w:spacing w:val="6"/>
          <w:w w:val="99"/>
          <w:sz w:val="32"/>
          <w:szCs w:val="32"/>
        </w:rPr>
        <w:t>2</w:t>
      </w:r>
      <w:r>
        <w:rPr>
          <w:rFonts w:ascii="Calibri" w:hAnsi="Calibri" w:eastAsia="Calibri"/>
          <w:spacing w:val="13"/>
          <w:w w:val="99"/>
          <w:sz w:val="32"/>
          <w:szCs w:val="32"/>
        </w:rPr>
        <w:t>0</w:t>
      </w:r>
      <w:r>
        <w:rPr>
          <w:rFonts w:ascii="Calibri" w:hAnsi="Calibri" w:eastAsia="Calibri"/>
          <w:spacing w:val="11"/>
          <w:w w:val="99"/>
          <w:sz w:val="32"/>
          <w:szCs w:val="32"/>
        </w:rPr>
        <w:t>2</w:t>
      </w:r>
      <w:r>
        <w:rPr>
          <w:rFonts w:ascii="Calibri" w:hAnsi="Calibri" w:eastAsia="Calibri"/>
          <w:w w:val="99"/>
          <w:sz w:val="32"/>
          <w:szCs w:val="32"/>
        </w:rPr>
        <w:t>5</w:t>
      </w:r>
      <w:r>
        <w:rPr>
          <w:rFonts w:ascii="Calibri" w:hAnsi="Calibri" w:eastAsia="Calibri"/>
          <w:spacing w:val="27"/>
          <w:sz w:val="32"/>
          <w:szCs w:val="32"/>
        </w:rPr>
        <w:t xml:space="preserve"> </w:t>
      </w:r>
      <w:r>
        <w:rPr>
          <w:spacing w:val="14"/>
          <w:w w:val="99"/>
          <w:sz w:val="32"/>
          <w:szCs w:val="32"/>
        </w:rPr>
        <w:t>年实现</w:t>
      </w:r>
      <w:r>
        <w:rPr>
          <w:spacing w:val="-52"/>
          <w:sz w:val="32"/>
          <w:szCs w:val="32"/>
        </w:rPr>
        <w:t xml:space="preserve"> </w:t>
      </w:r>
      <w:r>
        <w:rPr>
          <w:rFonts w:ascii="Calibri" w:hAnsi="Calibri" w:eastAsia="Calibri"/>
          <w:spacing w:val="8"/>
          <w:w w:val="99"/>
          <w:sz w:val="32"/>
          <w:szCs w:val="32"/>
        </w:rPr>
        <w:t>8</w:t>
      </w:r>
      <w:r>
        <w:rPr>
          <w:rFonts w:ascii="Calibri" w:hAnsi="Calibri" w:eastAsia="Calibri"/>
          <w:spacing w:val="11"/>
          <w:w w:val="99"/>
          <w:sz w:val="32"/>
          <w:szCs w:val="32"/>
        </w:rPr>
        <w:t>0</w:t>
      </w:r>
      <w:r>
        <w:rPr>
          <w:rFonts w:ascii="Calibri" w:hAnsi="Calibri" w:eastAsia="Calibri"/>
          <w:spacing w:val="14"/>
          <w:w w:val="99"/>
          <w:sz w:val="32"/>
          <w:szCs w:val="32"/>
        </w:rPr>
        <w:t>%</w:t>
      </w:r>
      <w:r>
        <w:rPr>
          <w:w w:val="99"/>
          <w:sz w:val="32"/>
          <w:szCs w:val="32"/>
        </w:rPr>
        <w:t>以</w:t>
      </w:r>
      <w:r>
        <w:rPr>
          <w:spacing w:val="19"/>
          <w:w w:val="99"/>
          <w:sz w:val="32"/>
          <w:szCs w:val="32"/>
        </w:rPr>
        <w:t>上小区完成“数字社区”建设。</w:t>
      </w:r>
    </w:p>
    <w:p w14:paraId="6BD4C4F7">
      <w:pPr>
        <w:spacing w:before="5" w:line="340" w:lineRule="auto"/>
        <w:ind w:left="113" w:right="106" w:firstLine="684"/>
        <w:rPr>
          <w:sz w:val="32"/>
          <w:szCs w:val="32"/>
        </w:rPr>
      </w:pPr>
      <w:r>
        <w:rPr>
          <w:b/>
          <w:spacing w:val="24"/>
          <w:sz w:val="32"/>
          <w:szCs w:val="32"/>
        </w:rPr>
        <w:t>加快精品城区建设。</w:t>
      </w:r>
      <w:r>
        <w:rPr>
          <w:spacing w:val="22"/>
          <w:sz w:val="32"/>
          <w:szCs w:val="32"/>
        </w:rPr>
        <w:t>坚持精品城区发展导向，紧密结合</w:t>
      </w:r>
      <w:r>
        <w:rPr>
          <w:spacing w:val="2"/>
          <w:w w:val="95"/>
          <w:sz w:val="32"/>
          <w:szCs w:val="32"/>
        </w:rPr>
        <w:t>区域功能优化，摈弃“</w:t>
      </w:r>
      <w:r>
        <w:rPr>
          <w:spacing w:val="21"/>
          <w:w w:val="95"/>
          <w:sz w:val="32"/>
          <w:szCs w:val="32"/>
        </w:rPr>
        <w:t>大</w:t>
      </w:r>
      <w:r>
        <w:rPr>
          <w:w w:val="95"/>
          <w:sz w:val="32"/>
          <w:szCs w:val="32"/>
        </w:rPr>
        <w:t>拆大建”，开展城市修补和生态修复，</w:t>
      </w:r>
    </w:p>
    <w:p w14:paraId="185E4FA5">
      <w:pPr>
        <w:spacing w:line="340" w:lineRule="auto"/>
        <w:sectPr>
          <w:pgSz w:w="11910" w:h="16840"/>
          <w:pgMar w:top="1800" w:right="1220" w:bottom="1160" w:left="1360" w:header="0" w:footer="975" w:gutter="0"/>
          <w:cols w:space="720" w:num="1"/>
        </w:sectPr>
      </w:pPr>
    </w:p>
    <w:p w14:paraId="607C0101">
      <w:pPr>
        <w:spacing w:before="28" w:line="338" w:lineRule="auto"/>
        <w:ind w:left="113" w:right="273"/>
        <w:jc w:val="both"/>
        <w:rPr>
          <w:sz w:val="32"/>
          <w:szCs w:val="32"/>
        </w:rPr>
      </w:pPr>
      <w:r>
        <w:rPr>
          <w:spacing w:val="23"/>
          <w:w w:val="99"/>
          <w:sz w:val="32"/>
          <w:szCs w:val="32"/>
        </w:rPr>
        <w:t>打造一批具有景观效果和文化元素的精品街区、精品社区，逐步恢复老城区功能和活力。开展城市空间微改造，利用好</w:t>
      </w:r>
      <w:r>
        <w:rPr>
          <w:spacing w:val="17"/>
          <w:w w:val="99"/>
          <w:sz w:val="32"/>
          <w:szCs w:val="32"/>
        </w:rPr>
        <w:t>城市空间的“边角料</w:t>
      </w:r>
      <w:r>
        <w:rPr>
          <w:spacing w:val="-16"/>
          <w:w w:val="99"/>
          <w:sz w:val="32"/>
          <w:szCs w:val="32"/>
        </w:rPr>
        <w:t>”“夹心地”“插花地”，实现狭义的“城</w:t>
      </w:r>
      <w:r>
        <w:rPr>
          <w:spacing w:val="23"/>
          <w:w w:val="99"/>
          <w:sz w:val="32"/>
          <w:szCs w:val="32"/>
        </w:rPr>
        <w:t>市建设管理”向广义的“公共艺术管理”的转型。将城市街角、建筑侧墙等“灰色空间”通过“针灸”式改造，变为供</w:t>
      </w:r>
      <w:r>
        <w:rPr>
          <w:spacing w:val="3"/>
          <w:w w:val="99"/>
          <w:sz w:val="32"/>
          <w:szCs w:val="32"/>
        </w:rPr>
        <w:t>市民休闲、活动、交流的“城市客厅”。积极推进智能管理系</w:t>
      </w:r>
      <w:r>
        <w:rPr>
          <w:spacing w:val="23"/>
          <w:w w:val="99"/>
          <w:sz w:val="32"/>
          <w:szCs w:val="32"/>
        </w:rPr>
        <w:t>统、智慧社区、绿色能源设施等系统建设，打造符合“国际</w:t>
      </w:r>
      <w:r>
        <w:rPr>
          <w:spacing w:val="19"/>
          <w:w w:val="99"/>
          <w:sz w:val="32"/>
          <w:szCs w:val="32"/>
        </w:rPr>
        <w:t>化金凤”标准的精品城区。</w:t>
      </w:r>
    </w:p>
    <w:p w14:paraId="103F745C">
      <w:pPr>
        <w:spacing w:before="14" w:line="338" w:lineRule="auto"/>
        <w:ind w:left="113" w:right="100" w:firstLine="684"/>
        <w:rPr>
          <w:sz w:val="32"/>
          <w:szCs w:val="32"/>
        </w:rPr>
      </w:pPr>
      <w:r>
        <w:rPr>
          <w:b/>
          <w:spacing w:val="22"/>
          <w:w w:val="95"/>
          <w:sz w:val="32"/>
          <w:szCs w:val="32"/>
        </w:rPr>
        <w:t>彰显城市特色</w:t>
      </w:r>
      <w:r>
        <w:rPr>
          <w:b/>
          <w:spacing w:val="14"/>
          <w:w w:val="95"/>
          <w:sz w:val="32"/>
          <w:szCs w:val="32"/>
        </w:rPr>
        <w:t>文态。</w:t>
      </w:r>
      <w:r>
        <w:rPr>
          <w:spacing w:val="21"/>
          <w:w w:val="95"/>
          <w:sz w:val="32"/>
          <w:szCs w:val="32"/>
        </w:rPr>
        <w:t>深入挖掘文化</w:t>
      </w:r>
      <w:r>
        <w:rPr>
          <w:spacing w:val="22"/>
          <w:w w:val="95"/>
          <w:sz w:val="32"/>
          <w:szCs w:val="32"/>
        </w:rPr>
        <w:t>内涵</w:t>
      </w:r>
      <w:r>
        <w:rPr>
          <w:spacing w:val="17"/>
          <w:w w:val="95"/>
          <w:sz w:val="32"/>
          <w:szCs w:val="32"/>
        </w:rPr>
        <w:t>、打造文化</w:t>
      </w:r>
      <w:r>
        <w:rPr>
          <w:spacing w:val="22"/>
          <w:w w:val="95"/>
          <w:sz w:val="32"/>
          <w:szCs w:val="32"/>
        </w:rPr>
        <w:t>特色</w:t>
      </w:r>
      <w:r>
        <w:rPr>
          <w:w w:val="95"/>
          <w:sz w:val="32"/>
          <w:szCs w:val="32"/>
        </w:rPr>
        <w:t>，</w:t>
      </w:r>
      <w:r>
        <w:rPr>
          <w:spacing w:val="24"/>
          <w:sz w:val="32"/>
          <w:szCs w:val="32"/>
        </w:rPr>
        <w:t>加强遗址保护、传承文化记忆，建设文化载体、</w:t>
      </w:r>
      <w:r>
        <w:rPr>
          <w:spacing w:val="19"/>
          <w:sz w:val="32"/>
          <w:szCs w:val="32"/>
        </w:rPr>
        <w:t>彰显城市文</w:t>
      </w:r>
      <w:r>
        <w:rPr>
          <w:spacing w:val="24"/>
          <w:sz w:val="32"/>
          <w:szCs w:val="32"/>
        </w:rPr>
        <w:t>脉，让城市更具文化底蕴，给城市留住文化记忆。深化</w:t>
      </w:r>
      <w:r>
        <w:rPr>
          <w:spacing w:val="12"/>
          <w:sz w:val="32"/>
          <w:szCs w:val="32"/>
        </w:rPr>
        <w:t>打造</w:t>
      </w:r>
      <w:r>
        <w:rPr>
          <w:sz w:val="32"/>
          <w:szCs w:val="32"/>
        </w:rPr>
        <w:t xml:space="preserve"> </w:t>
      </w:r>
      <w:r>
        <w:rPr>
          <w:spacing w:val="24"/>
          <w:sz w:val="32"/>
          <w:szCs w:val="32"/>
        </w:rPr>
        <w:t>“魅力金凤·休闲之都”品牌，推动文化与经济社会各</w:t>
      </w:r>
      <w:r>
        <w:rPr>
          <w:spacing w:val="12"/>
          <w:sz w:val="32"/>
          <w:szCs w:val="32"/>
        </w:rPr>
        <w:t>领域</w:t>
      </w:r>
      <w:r>
        <w:rPr>
          <w:spacing w:val="24"/>
          <w:sz w:val="32"/>
          <w:szCs w:val="32"/>
        </w:rPr>
        <w:t>深度融合，建设黄河流域城市交往中心，承载银</w:t>
      </w:r>
      <w:r>
        <w:rPr>
          <w:spacing w:val="19"/>
          <w:sz w:val="32"/>
          <w:szCs w:val="32"/>
        </w:rPr>
        <w:t>川市与黄河</w:t>
      </w:r>
      <w:r>
        <w:rPr>
          <w:spacing w:val="24"/>
          <w:sz w:val="32"/>
          <w:szCs w:val="32"/>
        </w:rPr>
        <w:t>流域城市经济生态文化交流的会客厅功能。挖掘</w:t>
      </w:r>
      <w:r>
        <w:rPr>
          <w:spacing w:val="19"/>
          <w:sz w:val="32"/>
          <w:szCs w:val="32"/>
        </w:rPr>
        <w:t>现代创意文</w:t>
      </w:r>
      <w:r>
        <w:rPr>
          <w:spacing w:val="24"/>
          <w:sz w:val="32"/>
          <w:szCs w:val="32"/>
        </w:rPr>
        <w:t>化的吸引力，增强文化的凝聚力，丰富黄河文化</w:t>
      </w:r>
      <w:r>
        <w:rPr>
          <w:spacing w:val="19"/>
          <w:sz w:val="32"/>
          <w:szCs w:val="32"/>
        </w:rPr>
        <w:t>交流、开放</w:t>
      </w:r>
      <w:r>
        <w:rPr>
          <w:spacing w:val="24"/>
          <w:sz w:val="32"/>
          <w:szCs w:val="32"/>
        </w:rPr>
        <w:t>文化展示的空间。加强城区形象营销推广，持续</w:t>
      </w:r>
      <w:r>
        <w:rPr>
          <w:spacing w:val="19"/>
          <w:sz w:val="32"/>
          <w:szCs w:val="32"/>
        </w:rPr>
        <w:t>拓展城区品</w:t>
      </w:r>
      <w:r>
        <w:rPr>
          <w:spacing w:val="24"/>
          <w:sz w:val="32"/>
          <w:szCs w:val="32"/>
        </w:rPr>
        <w:t>牌内</w:t>
      </w:r>
      <w:r>
        <w:rPr>
          <w:spacing w:val="25"/>
          <w:sz w:val="32"/>
          <w:szCs w:val="32"/>
        </w:rPr>
        <w:t>涵，</w:t>
      </w:r>
      <w:r>
        <w:rPr>
          <w:spacing w:val="24"/>
          <w:sz w:val="32"/>
          <w:szCs w:val="32"/>
        </w:rPr>
        <w:t>提升城区竞争力和活力，打</w:t>
      </w:r>
      <w:r>
        <w:rPr>
          <w:spacing w:val="25"/>
          <w:sz w:val="32"/>
          <w:szCs w:val="32"/>
        </w:rPr>
        <w:t>造易</w:t>
      </w:r>
      <w:r>
        <w:rPr>
          <w:spacing w:val="24"/>
          <w:sz w:val="32"/>
          <w:szCs w:val="32"/>
        </w:rPr>
        <w:t>于公众</w:t>
      </w:r>
      <w:r>
        <w:rPr>
          <w:spacing w:val="25"/>
          <w:sz w:val="32"/>
          <w:szCs w:val="32"/>
        </w:rPr>
        <w:t>接受</w:t>
      </w:r>
      <w:r>
        <w:rPr>
          <w:spacing w:val="16"/>
          <w:sz w:val="32"/>
          <w:szCs w:val="32"/>
        </w:rPr>
        <w:t>的“金</w:t>
      </w:r>
      <w:r>
        <w:rPr>
          <w:spacing w:val="24"/>
          <w:sz w:val="32"/>
          <w:szCs w:val="32"/>
        </w:rPr>
        <w:t>凤”品牌。参考宜居巷经验，在基础设施整修的基</w:t>
      </w:r>
      <w:r>
        <w:rPr>
          <w:spacing w:val="17"/>
          <w:sz w:val="32"/>
          <w:szCs w:val="32"/>
        </w:rPr>
        <w:t>础上，充</w:t>
      </w:r>
      <w:r>
        <w:rPr>
          <w:spacing w:val="20"/>
          <w:sz w:val="32"/>
          <w:szCs w:val="32"/>
        </w:rPr>
        <w:t>分挖掘历史底蕴和人文故事，打造街巷文化品牌。</w:t>
      </w:r>
    </w:p>
    <w:p w14:paraId="6D5F9D99">
      <w:pPr>
        <w:spacing w:before="6"/>
        <w:ind w:left="797"/>
        <w:rPr>
          <w:rFonts w:ascii="黑体" w:eastAsia="黑体"/>
          <w:sz w:val="32"/>
          <w:szCs w:val="32"/>
        </w:rPr>
      </w:pPr>
      <w:r>
        <w:rPr>
          <w:rFonts w:ascii="黑体" w:eastAsia="黑体"/>
          <w:spacing w:val="17"/>
          <w:w w:val="95"/>
          <w:sz w:val="32"/>
          <w:szCs w:val="32"/>
        </w:rPr>
        <w:t>二、提升市容环境品质</w:t>
      </w:r>
    </w:p>
    <w:p w14:paraId="082DEEEC">
      <w:pPr>
        <w:spacing w:before="166" w:line="338" w:lineRule="auto"/>
        <w:ind w:left="113" w:right="100" w:firstLine="684"/>
        <w:jc w:val="both"/>
        <w:rPr>
          <w:sz w:val="32"/>
          <w:szCs w:val="32"/>
        </w:rPr>
      </w:pPr>
      <w:r>
        <w:rPr>
          <w:b/>
          <w:spacing w:val="13"/>
          <w:w w:val="99"/>
          <w:sz w:val="32"/>
          <w:szCs w:val="32"/>
        </w:rPr>
        <w:t>开展市容环境综合整治。</w:t>
      </w:r>
      <w:r>
        <w:rPr>
          <w:spacing w:val="19"/>
          <w:w w:val="99"/>
          <w:sz w:val="32"/>
          <w:szCs w:val="32"/>
        </w:rPr>
        <w:t>建立联动管理和长效监管机制，</w:t>
      </w:r>
      <w:r>
        <w:rPr>
          <w:spacing w:val="10"/>
          <w:w w:val="99"/>
          <w:sz w:val="32"/>
          <w:szCs w:val="32"/>
        </w:rPr>
        <w:t>加强公交场站、商业街区等重点公共场所市容秩序整治维护。</w:t>
      </w:r>
      <w:r>
        <w:rPr>
          <w:spacing w:val="23"/>
          <w:w w:val="99"/>
          <w:sz w:val="32"/>
          <w:szCs w:val="32"/>
        </w:rPr>
        <w:t>全面开展生活垃圾分类，实现小型生活垃圾转运站全覆盖，</w:t>
      </w:r>
    </w:p>
    <w:p w14:paraId="042BF6A7">
      <w:pPr>
        <w:spacing w:line="338" w:lineRule="auto"/>
        <w:jc w:val="both"/>
        <w:sectPr>
          <w:pgSz w:w="11910" w:h="16840"/>
          <w:pgMar w:top="1800" w:right="1220" w:bottom="1160" w:left="1360" w:header="0" w:footer="975" w:gutter="0"/>
          <w:cols w:space="720" w:num="1"/>
        </w:sectPr>
      </w:pPr>
    </w:p>
    <w:p w14:paraId="033906EA">
      <w:pPr>
        <w:spacing w:before="28" w:line="338" w:lineRule="auto"/>
        <w:ind w:left="113" w:right="274"/>
        <w:jc w:val="right"/>
        <w:rPr>
          <w:sz w:val="32"/>
          <w:szCs w:val="32"/>
        </w:rPr>
      </w:pPr>
      <w:r>
        <w:rPr>
          <w:spacing w:val="23"/>
          <w:w w:val="99"/>
          <w:sz w:val="32"/>
          <w:szCs w:val="32"/>
        </w:rPr>
        <w:t>完善综合收运处置体系。推动公共厕所密度达标建设，鼓励公共厕所向旅游厕所升级，完善公共厕所市场化管理机制。深化城郊结合部环境“脏乱差”治理攻坚，全面实施背街小</w:t>
      </w:r>
      <w:r>
        <w:rPr>
          <w:spacing w:val="3"/>
          <w:w w:val="99"/>
          <w:sz w:val="32"/>
          <w:szCs w:val="32"/>
        </w:rPr>
        <w:t>巷“五整治、五提升、五打造”。实施户外广告、沿街店招牌</w:t>
      </w:r>
      <w:r>
        <w:rPr>
          <w:spacing w:val="23"/>
          <w:w w:val="99"/>
          <w:sz w:val="32"/>
          <w:szCs w:val="32"/>
        </w:rPr>
        <w:t>及建筑立面的综合整治，拆除违法建筑。加快实施市政设施治理，加强对占用、挖掘城市道路的监管，加快城市道路维修整治、路面“白加黑”改造，开展城市道路检查井盖病害</w:t>
      </w:r>
      <w:r>
        <w:rPr>
          <w:spacing w:val="20"/>
          <w:w w:val="99"/>
          <w:sz w:val="32"/>
          <w:szCs w:val="32"/>
        </w:rPr>
        <w:t>治理，加快架空管线下地改造，强化供排水管网病害治理。</w:t>
      </w:r>
      <w:r>
        <w:rPr>
          <w:b/>
          <w:spacing w:val="26"/>
          <w:w w:val="99"/>
          <w:sz w:val="32"/>
          <w:szCs w:val="32"/>
        </w:rPr>
        <w:t>推进生态绿化项目建设。</w:t>
      </w:r>
      <w:r>
        <w:rPr>
          <w:spacing w:val="22"/>
          <w:w w:val="99"/>
          <w:sz w:val="32"/>
          <w:szCs w:val="32"/>
        </w:rPr>
        <w:t>创建样板示范道路，实施“亮</w:t>
      </w:r>
    </w:p>
    <w:p w14:paraId="3DCB0404">
      <w:pPr>
        <w:spacing w:before="17" w:line="338" w:lineRule="auto"/>
        <w:ind w:left="113" w:right="106"/>
        <w:rPr>
          <w:sz w:val="32"/>
          <w:szCs w:val="32"/>
        </w:rPr>
      </w:pPr>
      <w:r>
        <w:rPr>
          <w:spacing w:val="2"/>
          <w:w w:val="99"/>
          <w:sz w:val="32"/>
          <w:szCs w:val="32"/>
        </w:rPr>
        <w:t>化”“美化”工程，充分利用边角地，大力发展口袋公园、小</w:t>
      </w:r>
      <w:r>
        <w:rPr>
          <w:spacing w:val="23"/>
          <w:w w:val="99"/>
          <w:sz w:val="32"/>
          <w:szCs w:val="32"/>
        </w:rPr>
        <w:t>微公园，推进综合性特色林荫道、景观灯光和街景建设，提升道路和区域景观品质。积极推进林荫道创建，增设街道景观小品。加快实施景观立面改造，清理整治违法户外广告，</w:t>
      </w:r>
      <w:r>
        <w:rPr>
          <w:spacing w:val="14"/>
          <w:w w:val="99"/>
          <w:sz w:val="32"/>
          <w:szCs w:val="32"/>
        </w:rPr>
        <w:t>改造提升卖场户外广告及各类招牌档次，强化夜景灯饰管理，</w:t>
      </w:r>
      <w:r>
        <w:rPr>
          <w:spacing w:val="23"/>
          <w:w w:val="99"/>
          <w:sz w:val="32"/>
          <w:szCs w:val="32"/>
        </w:rPr>
        <w:t>确保城市空间整洁、美观、清爽。建立健全快速、可靠、高</w:t>
      </w:r>
      <w:r>
        <w:rPr>
          <w:spacing w:val="20"/>
          <w:w w:val="99"/>
          <w:sz w:val="32"/>
          <w:szCs w:val="32"/>
        </w:rPr>
        <w:t>效的景观设施日常维护机制，加强日常巡查和安全检查。</w:t>
      </w:r>
    </w:p>
    <w:p w14:paraId="3065F276">
      <w:pPr>
        <w:spacing w:before="14" w:line="338" w:lineRule="auto"/>
        <w:ind w:left="113" w:right="106" w:firstLine="684"/>
        <w:rPr>
          <w:sz w:val="32"/>
          <w:szCs w:val="32"/>
        </w:rPr>
      </w:pPr>
      <w:r>
        <w:rPr>
          <w:b/>
          <w:spacing w:val="26"/>
          <w:w w:val="99"/>
          <w:sz w:val="32"/>
          <w:szCs w:val="32"/>
        </w:rPr>
        <w:t>提高城市精细管理水平。</w:t>
      </w:r>
      <w:r>
        <w:rPr>
          <w:spacing w:val="22"/>
          <w:w w:val="99"/>
          <w:sz w:val="32"/>
          <w:szCs w:val="32"/>
        </w:rPr>
        <w:t>推行网格化、精细化管理，加</w:t>
      </w:r>
      <w:r>
        <w:rPr>
          <w:spacing w:val="23"/>
          <w:w w:val="99"/>
          <w:sz w:val="32"/>
          <w:szCs w:val="32"/>
        </w:rPr>
        <w:t>强街景立面、户外广告、环境卫生、静态交通、违法建设管理，有效提升市容市貌。以“精细化”管理为主线，推进环境保护与环卫工作统一规划、同步实施、统筹管理，实现环</w:t>
      </w:r>
      <w:r>
        <w:rPr>
          <w:spacing w:val="12"/>
          <w:w w:val="99"/>
          <w:sz w:val="32"/>
          <w:szCs w:val="32"/>
        </w:rPr>
        <w:t>保环卫宣传发动一体化、设施建设一体化、执法联动一体化。</w:t>
      </w:r>
      <w:r>
        <w:rPr>
          <w:spacing w:val="10"/>
          <w:w w:val="99"/>
          <w:sz w:val="32"/>
          <w:szCs w:val="32"/>
        </w:rPr>
        <w:t>大力实施“互联网+城市”行动，构建智能化城市基础设施运</w:t>
      </w:r>
      <w:r>
        <w:rPr>
          <w:spacing w:val="23"/>
          <w:w w:val="99"/>
          <w:sz w:val="32"/>
          <w:szCs w:val="32"/>
        </w:rPr>
        <w:t>行管理体系，形成联防联控、智能高效的城市联动机制。推</w:t>
      </w:r>
    </w:p>
    <w:p w14:paraId="3D17FE08">
      <w:pPr>
        <w:spacing w:line="338" w:lineRule="auto"/>
        <w:sectPr>
          <w:pgSz w:w="11910" w:h="16840"/>
          <w:pgMar w:top="1800" w:right="1220" w:bottom="1160" w:left="1360" w:header="0" w:footer="975" w:gutter="0"/>
          <w:cols w:space="720" w:num="1"/>
        </w:sectPr>
      </w:pPr>
    </w:p>
    <w:p w14:paraId="4BFC9FC4">
      <w:pPr>
        <w:spacing w:before="28" w:line="338" w:lineRule="auto"/>
        <w:ind w:left="113" w:right="106"/>
        <w:rPr>
          <w:sz w:val="32"/>
          <w:szCs w:val="32"/>
        </w:rPr>
      </w:pPr>
      <w:r>
        <w:rPr>
          <w:spacing w:val="23"/>
          <w:w w:val="99"/>
          <w:sz w:val="32"/>
          <w:szCs w:val="32"/>
        </w:rPr>
        <w:t>动智能管理，探索推动人工智能、云计算、大数据、物联网技术在城市管理场景的运用，推进城市管理智能感知体系建</w:t>
      </w:r>
      <w:r>
        <w:rPr>
          <w:spacing w:val="20"/>
          <w:w w:val="99"/>
          <w:sz w:val="32"/>
          <w:szCs w:val="32"/>
        </w:rPr>
        <w:t>设，建设车辆</w:t>
      </w:r>
      <w:r>
        <w:rPr>
          <w:spacing w:val="-50"/>
          <w:sz w:val="32"/>
          <w:szCs w:val="32"/>
        </w:rPr>
        <w:t xml:space="preserve"> </w:t>
      </w:r>
      <w:r>
        <w:rPr>
          <w:rFonts w:ascii="Calibri" w:hAnsi="Calibri" w:eastAsia="Calibri"/>
          <w:spacing w:val="7"/>
          <w:w w:val="99"/>
          <w:sz w:val="32"/>
          <w:szCs w:val="32"/>
        </w:rPr>
        <w:t>G</w:t>
      </w:r>
      <w:r>
        <w:rPr>
          <w:rFonts w:ascii="Calibri" w:hAnsi="Calibri" w:eastAsia="Calibri"/>
          <w:spacing w:val="12"/>
          <w:w w:val="99"/>
          <w:sz w:val="32"/>
          <w:szCs w:val="32"/>
        </w:rPr>
        <w:t>P</w:t>
      </w:r>
      <w:r>
        <w:rPr>
          <w:rFonts w:ascii="Calibri" w:hAnsi="Calibri" w:eastAsia="Calibri"/>
          <w:w w:val="99"/>
          <w:sz w:val="32"/>
          <w:szCs w:val="32"/>
        </w:rPr>
        <w:t>S</w:t>
      </w:r>
      <w:r>
        <w:rPr>
          <w:rFonts w:ascii="Calibri" w:hAnsi="Calibri" w:eastAsia="Calibri"/>
          <w:spacing w:val="28"/>
          <w:sz w:val="32"/>
          <w:szCs w:val="32"/>
        </w:rPr>
        <w:t xml:space="preserve"> </w:t>
      </w:r>
      <w:r>
        <w:rPr>
          <w:spacing w:val="22"/>
          <w:w w:val="99"/>
          <w:sz w:val="32"/>
          <w:szCs w:val="32"/>
        </w:rPr>
        <w:t>卫星定位、垃圾收运物联网智能化管理、</w:t>
      </w:r>
      <w:r>
        <w:rPr>
          <w:spacing w:val="11"/>
          <w:w w:val="99"/>
          <w:sz w:val="32"/>
          <w:szCs w:val="32"/>
        </w:rPr>
        <w:t>环卫作业远程调度、垃圾智能分类等智能系统，建成集感知、</w:t>
      </w:r>
      <w:r>
        <w:rPr>
          <w:spacing w:val="23"/>
          <w:w w:val="99"/>
          <w:sz w:val="32"/>
          <w:szCs w:val="32"/>
        </w:rPr>
        <w:t>分析、服务、指挥、监察“五位一体”的城市管理中枢。通过云计算、物联网、区块链技术的应用，全面创建“城市、街道、社区、居民”四级联动的未来社区，打造未来社区先</w:t>
      </w:r>
      <w:r>
        <w:rPr>
          <w:spacing w:val="1"/>
          <w:w w:val="99"/>
          <w:sz w:val="32"/>
          <w:szCs w:val="32"/>
        </w:rPr>
        <w:t>行先试的“样板间”。</w:t>
      </w:r>
    </w:p>
    <w:p w14:paraId="358A02B6">
      <w:pPr>
        <w:ind w:left="797"/>
        <w:rPr>
          <w:rFonts w:ascii="黑体" w:eastAsia="黑体"/>
          <w:sz w:val="32"/>
          <w:szCs w:val="32"/>
        </w:rPr>
      </w:pPr>
      <w:r>
        <w:rPr>
          <w:rFonts w:ascii="黑体" w:eastAsia="黑体"/>
          <w:spacing w:val="17"/>
          <w:w w:val="95"/>
          <w:sz w:val="32"/>
          <w:szCs w:val="32"/>
        </w:rPr>
        <w:t>三、凸显城区特色风貌</w:t>
      </w:r>
    </w:p>
    <w:p w14:paraId="0A96D829">
      <w:pPr>
        <w:spacing w:before="165" w:line="338" w:lineRule="auto"/>
        <w:ind w:left="113" w:right="106" w:firstLine="684"/>
        <w:rPr>
          <w:sz w:val="32"/>
          <w:szCs w:val="32"/>
        </w:rPr>
      </w:pPr>
      <w:r>
        <w:rPr>
          <w:spacing w:val="23"/>
          <w:w w:val="99"/>
          <w:sz w:val="32"/>
          <w:szCs w:val="32"/>
        </w:rPr>
        <w:t>启动并实施金凤区城市形象设计，打造城市客厅、城市</w:t>
      </w:r>
      <w:r>
        <w:rPr>
          <w:spacing w:val="11"/>
          <w:w w:val="99"/>
          <w:sz w:val="32"/>
          <w:szCs w:val="32"/>
        </w:rPr>
        <w:t>阳台、景观环线、城市绿廊等城市形象工程，聚合多元功能，</w:t>
      </w:r>
      <w:r>
        <w:rPr>
          <w:spacing w:val="23"/>
          <w:w w:val="99"/>
          <w:sz w:val="32"/>
          <w:szCs w:val="32"/>
        </w:rPr>
        <w:t>塑造多样化城市空间，强化金凤区特色，打造国际化精品新</w:t>
      </w:r>
      <w:r>
        <w:rPr>
          <w:spacing w:val="19"/>
          <w:w w:val="99"/>
          <w:sz w:val="32"/>
          <w:szCs w:val="32"/>
        </w:rPr>
        <w:t>城区和生态园林化样板区。</w:t>
      </w:r>
    </w:p>
    <w:p w14:paraId="57EF60C7">
      <w:pPr>
        <w:spacing w:before="7" w:line="340" w:lineRule="auto"/>
        <w:ind w:left="113" w:right="169" w:firstLine="684"/>
        <w:jc w:val="both"/>
        <w:rPr>
          <w:sz w:val="32"/>
          <w:szCs w:val="32"/>
        </w:rPr>
      </w:pPr>
      <w:r>
        <w:rPr>
          <w:b/>
          <w:spacing w:val="25"/>
          <w:sz w:val="32"/>
          <w:szCs w:val="32"/>
        </w:rPr>
        <w:t>打造公园城</w:t>
      </w:r>
      <w:r>
        <w:rPr>
          <w:b/>
          <w:spacing w:val="24"/>
          <w:sz w:val="32"/>
          <w:szCs w:val="32"/>
        </w:rPr>
        <w:t>市。</w:t>
      </w:r>
      <w:r>
        <w:rPr>
          <w:spacing w:val="24"/>
          <w:sz w:val="32"/>
          <w:szCs w:val="32"/>
        </w:rPr>
        <w:t>依托良好生态</w:t>
      </w:r>
      <w:r>
        <w:rPr>
          <w:spacing w:val="25"/>
          <w:sz w:val="32"/>
          <w:szCs w:val="32"/>
        </w:rPr>
        <w:t>本底</w:t>
      </w:r>
      <w:r>
        <w:rPr>
          <w:spacing w:val="24"/>
          <w:sz w:val="32"/>
          <w:szCs w:val="32"/>
        </w:rPr>
        <w:t>，加快</w:t>
      </w:r>
      <w:r>
        <w:rPr>
          <w:spacing w:val="25"/>
          <w:sz w:val="32"/>
          <w:szCs w:val="32"/>
        </w:rPr>
        <w:t>建设</w:t>
      </w:r>
      <w:r>
        <w:rPr>
          <w:spacing w:val="18"/>
          <w:sz w:val="32"/>
          <w:szCs w:val="32"/>
        </w:rPr>
        <w:t>“园中建</w:t>
      </w:r>
      <w:r>
        <w:rPr>
          <w:spacing w:val="7"/>
          <w:sz w:val="32"/>
          <w:szCs w:val="32"/>
        </w:rPr>
        <w:t>城、城中有园、城园相融、人城和谐”的公园城市，形成“透</w:t>
      </w:r>
      <w:r>
        <w:rPr>
          <w:spacing w:val="24"/>
          <w:sz w:val="32"/>
          <w:szCs w:val="32"/>
        </w:rPr>
        <w:t>风见绿、开合有致”的公园城市空间形态。坚持以绿道为</w:t>
      </w:r>
      <w:r>
        <w:rPr>
          <w:sz w:val="32"/>
          <w:szCs w:val="32"/>
        </w:rPr>
        <w:t>核</w:t>
      </w:r>
      <w:r>
        <w:rPr>
          <w:spacing w:val="24"/>
          <w:sz w:val="32"/>
          <w:szCs w:val="32"/>
        </w:rPr>
        <w:t>心骨架、公园为关键节点、小游园微绿地为生态</w:t>
      </w:r>
      <w:r>
        <w:rPr>
          <w:spacing w:val="19"/>
          <w:sz w:val="32"/>
          <w:szCs w:val="32"/>
        </w:rPr>
        <w:t>脉络，完善</w:t>
      </w:r>
      <w:r>
        <w:rPr>
          <w:spacing w:val="24"/>
          <w:sz w:val="32"/>
          <w:szCs w:val="32"/>
        </w:rPr>
        <w:t>公园城市肌理。按照“集中化、特色化、多样化</w:t>
      </w:r>
      <w:r>
        <w:rPr>
          <w:spacing w:val="19"/>
          <w:sz w:val="32"/>
          <w:szCs w:val="32"/>
        </w:rPr>
        <w:t>”的原则，</w:t>
      </w:r>
      <w:r>
        <w:rPr>
          <w:spacing w:val="21"/>
          <w:w w:val="95"/>
          <w:sz w:val="32"/>
          <w:szCs w:val="32"/>
        </w:rPr>
        <w:t>在重要景观片（</w:t>
      </w:r>
      <w:r>
        <w:rPr>
          <w:spacing w:val="22"/>
          <w:w w:val="95"/>
          <w:sz w:val="32"/>
          <w:szCs w:val="32"/>
        </w:rPr>
        <w:t>节点</w:t>
      </w:r>
      <w:r>
        <w:rPr>
          <w:spacing w:val="-149"/>
          <w:w w:val="95"/>
          <w:sz w:val="32"/>
          <w:szCs w:val="32"/>
        </w:rPr>
        <w:t>）</w:t>
      </w:r>
      <w:r>
        <w:rPr>
          <w:spacing w:val="19"/>
          <w:w w:val="95"/>
          <w:sz w:val="32"/>
          <w:szCs w:val="32"/>
        </w:rPr>
        <w:t>、特色街巷实施增花添彩、绿化提升。</w:t>
      </w:r>
    </w:p>
    <w:p w14:paraId="1560A1DD">
      <w:pPr>
        <w:spacing w:line="397" w:lineRule="exact"/>
        <w:ind w:left="797"/>
        <w:rPr>
          <w:sz w:val="32"/>
        </w:rPr>
      </w:pPr>
      <w:r>
        <w:rPr>
          <w:b/>
          <w:spacing w:val="24"/>
          <w:w w:val="95"/>
          <w:sz w:val="32"/>
        </w:rPr>
        <w:t>打造城市花园</w:t>
      </w:r>
      <w:r>
        <w:rPr>
          <w:b/>
          <w:w w:val="95"/>
          <w:sz w:val="32"/>
        </w:rPr>
        <w:t>。</w:t>
      </w:r>
      <w:r>
        <w:rPr>
          <w:spacing w:val="17"/>
          <w:w w:val="95"/>
          <w:sz w:val="32"/>
        </w:rPr>
        <w:t>高水平开展公园城区顶层设计，坚持人、</w:t>
      </w:r>
    </w:p>
    <w:p w14:paraId="372E6085">
      <w:pPr>
        <w:spacing w:before="170" w:line="338" w:lineRule="auto"/>
        <w:ind w:left="113" w:right="106"/>
        <w:rPr>
          <w:sz w:val="32"/>
          <w:szCs w:val="32"/>
        </w:rPr>
      </w:pPr>
      <w:r>
        <w:rPr>
          <w:spacing w:val="23"/>
          <w:w w:val="99"/>
          <w:sz w:val="32"/>
          <w:szCs w:val="32"/>
        </w:rPr>
        <w:t>城、境、业和谐统一，提升城市生态价值、文化价值、生活</w:t>
      </w:r>
      <w:r>
        <w:rPr>
          <w:spacing w:val="11"/>
          <w:w w:val="99"/>
          <w:sz w:val="32"/>
          <w:szCs w:val="32"/>
        </w:rPr>
        <w:t>价值，把风貌设计与产业植入、历史文化、城市精神相结合，</w:t>
      </w:r>
      <w:r>
        <w:rPr>
          <w:spacing w:val="23"/>
          <w:w w:val="99"/>
          <w:sz w:val="32"/>
          <w:szCs w:val="32"/>
        </w:rPr>
        <w:t>立足“师法自然、传承文脉、科技支撑、国际品质”开展特</w:t>
      </w:r>
    </w:p>
    <w:p w14:paraId="38D3D211">
      <w:pPr>
        <w:spacing w:before="63"/>
        <w:ind w:left="153"/>
        <w:rPr>
          <w:rFonts w:ascii="Calibri"/>
          <w:sz w:val="18"/>
        </w:rPr>
        <w:sectPr>
          <w:footerReference r:id="rId24" w:type="even"/>
          <w:pgSz w:w="16840" w:h="11910" w:orient="landscape"/>
          <w:pgMar w:top="1340" w:right="500" w:bottom="1380" w:left="200" w:header="0" w:footer="1196" w:gutter="0"/>
          <w:pgNumType w:start="12"/>
          <w:cols w:space="720" w:num="1"/>
        </w:sectPr>
      </w:pPr>
    </w:p>
    <w:p w14:paraId="0739ADCE">
      <w:pPr>
        <w:spacing w:before="28" w:line="340" w:lineRule="auto"/>
        <w:ind w:left="213" w:right="295"/>
        <w:rPr>
          <w:sz w:val="32"/>
          <w:szCs w:val="32"/>
        </w:rPr>
      </w:pPr>
      <w:r>
        <w:rPr>
          <w:spacing w:val="23"/>
          <w:w w:val="99"/>
          <w:sz w:val="32"/>
          <w:szCs w:val="32"/>
        </w:rPr>
        <w:t>色风貌塑造，打造具有跳跃式、渐变感的城市风貌，实现四</w:t>
      </w:r>
      <w:r>
        <w:rPr>
          <w:spacing w:val="19"/>
          <w:w w:val="99"/>
          <w:sz w:val="32"/>
          <w:szCs w:val="32"/>
        </w:rPr>
        <w:t>季有花、疏密相间、移步换景。</w:t>
      </w:r>
    </w:p>
    <w:p w14:paraId="4ACD5E20">
      <w:pPr>
        <w:spacing w:line="340" w:lineRule="auto"/>
        <w:ind w:left="213" w:right="122" w:firstLine="684"/>
        <w:rPr>
          <w:sz w:val="32"/>
          <w:szCs w:val="32"/>
        </w:rPr>
      </w:pPr>
      <w:r>
        <w:rPr>
          <w:b/>
          <w:spacing w:val="16"/>
          <w:w w:val="99"/>
          <w:sz w:val="32"/>
          <w:szCs w:val="32"/>
        </w:rPr>
        <w:t>打造城市客厅。</w:t>
      </w:r>
      <w:r>
        <w:rPr>
          <w:spacing w:val="15"/>
          <w:w w:val="99"/>
          <w:sz w:val="32"/>
          <w:szCs w:val="32"/>
        </w:rPr>
        <w:t>以中阿博览会永久会址、宁夏国际会堂、</w:t>
      </w:r>
      <w:r>
        <w:rPr>
          <w:spacing w:val="23"/>
          <w:w w:val="99"/>
          <w:sz w:val="32"/>
          <w:szCs w:val="32"/>
        </w:rPr>
        <w:t>阅海湾中央商务区、览山剧场、银川国际会展中心等重大公</w:t>
      </w:r>
      <w:r>
        <w:rPr>
          <w:spacing w:val="11"/>
          <w:w w:val="99"/>
          <w:sz w:val="32"/>
          <w:szCs w:val="32"/>
        </w:rPr>
        <w:t>共文化交流设施群为核心，以中阿博览会等重大节会为平台，</w:t>
      </w:r>
      <w:r>
        <w:rPr>
          <w:spacing w:val="23"/>
          <w:w w:val="99"/>
          <w:sz w:val="32"/>
          <w:szCs w:val="32"/>
        </w:rPr>
        <w:t>以国际金凤为形象定位，开展一系列国际化科技、文化、休闲娱乐等重大品牌节庆活动。全面打造开放型街区，规划设置功能复合化、布局分散化、规模小型化的各类创意场所、互动艺术广场、主题雕塑街道、景观盒子，打造成为银川的城市客厅，形成能代表中国最先进的具有国际化水平的银川</w:t>
      </w:r>
      <w:r>
        <w:rPr>
          <w:spacing w:val="16"/>
          <w:w w:val="99"/>
          <w:sz w:val="32"/>
          <w:szCs w:val="32"/>
        </w:rPr>
        <w:t>窗口形象。</w:t>
      </w:r>
    </w:p>
    <w:p w14:paraId="43A0C47F">
      <w:pPr>
        <w:spacing w:line="390" w:lineRule="exact"/>
        <w:ind w:left="897"/>
        <w:rPr>
          <w:sz w:val="32"/>
        </w:rPr>
      </w:pPr>
      <w:r>
        <w:rPr>
          <w:b/>
          <w:spacing w:val="26"/>
          <w:w w:val="95"/>
          <w:sz w:val="32"/>
        </w:rPr>
        <w:t>打造城市阳台。</w:t>
      </w:r>
      <w:r>
        <w:rPr>
          <w:spacing w:val="24"/>
          <w:w w:val="95"/>
          <w:sz w:val="32"/>
        </w:rPr>
        <w:t>以丝路明珠塔</w:t>
      </w:r>
      <w:r>
        <w:rPr>
          <w:spacing w:val="26"/>
          <w:w w:val="95"/>
          <w:sz w:val="32"/>
        </w:rPr>
        <w:t>、绿</w:t>
      </w:r>
      <w:r>
        <w:rPr>
          <w:spacing w:val="24"/>
          <w:w w:val="95"/>
          <w:sz w:val="32"/>
        </w:rPr>
        <w:t>地中心双子</w:t>
      </w:r>
      <w:r>
        <w:rPr>
          <w:spacing w:val="26"/>
          <w:w w:val="95"/>
          <w:sz w:val="32"/>
        </w:rPr>
        <w:t>塔、</w:t>
      </w:r>
      <w:r>
        <w:rPr>
          <w:spacing w:val="7"/>
          <w:w w:val="95"/>
          <w:sz w:val="32"/>
        </w:rPr>
        <w:t>亘元</w:t>
      </w:r>
    </w:p>
    <w:p w14:paraId="099F11EF">
      <w:pPr>
        <w:spacing w:before="165" w:line="340" w:lineRule="auto"/>
        <w:ind w:left="213" w:right="295"/>
        <w:jc w:val="both"/>
        <w:rPr>
          <w:sz w:val="32"/>
          <w:szCs w:val="32"/>
        </w:rPr>
      </w:pPr>
      <w:r>
        <w:rPr>
          <w:spacing w:val="23"/>
          <w:w w:val="99"/>
          <w:sz w:val="32"/>
          <w:szCs w:val="32"/>
        </w:rPr>
        <w:t>万豪大厦、德丰大厦为主城市阳台，打造多层次开放和充满活力的观景空间，融合文化、游乐、展览等休闲游览功能，每种类型根据自身区位、自然条件，形成不同的景观游憩特色，打造环阅海湖和人民广场组团的城市天际线群，成为全</w:t>
      </w:r>
      <w:r>
        <w:rPr>
          <w:spacing w:val="18"/>
          <w:w w:val="99"/>
          <w:sz w:val="32"/>
          <w:szCs w:val="32"/>
        </w:rPr>
        <w:t>区的城市观景平台。</w:t>
      </w:r>
    </w:p>
    <w:p w14:paraId="367FB07A">
      <w:pPr>
        <w:spacing w:before="130"/>
        <w:ind w:left="2618" w:right="2699"/>
        <w:jc w:val="center"/>
        <w:outlineLvl w:val="0"/>
        <w:rPr>
          <w:rFonts w:ascii="宋体" w:hAnsi="宋体" w:eastAsia="宋体" w:cs="宋体"/>
          <w:b/>
          <w:bCs/>
          <w:sz w:val="32"/>
          <w:szCs w:val="32"/>
        </w:rPr>
      </w:pPr>
      <w:r>
        <w:rPr>
          <w:rFonts w:ascii="宋体" w:hAnsi="宋体" w:eastAsia="宋体" w:cs="宋体"/>
          <w:b/>
          <w:bCs/>
          <w:spacing w:val="24"/>
          <w:sz w:val="32"/>
          <w:szCs w:val="32"/>
        </w:rPr>
        <w:t>第二</w:t>
      </w:r>
      <w:r>
        <w:rPr>
          <w:rFonts w:ascii="宋体" w:hAnsi="宋体" w:eastAsia="宋体" w:cs="宋体"/>
          <w:b/>
          <w:bCs/>
          <w:spacing w:val="72"/>
          <w:sz w:val="32"/>
          <w:szCs w:val="32"/>
        </w:rPr>
        <w:t>节 提</w:t>
      </w:r>
      <w:r>
        <w:rPr>
          <w:rFonts w:ascii="宋体" w:hAnsi="宋体" w:eastAsia="宋体" w:cs="宋体"/>
          <w:b/>
          <w:bCs/>
          <w:spacing w:val="24"/>
          <w:sz w:val="32"/>
          <w:szCs w:val="32"/>
        </w:rPr>
        <w:t>升重点城镇功</w:t>
      </w:r>
      <w:r>
        <w:rPr>
          <w:rFonts w:ascii="宋体" w:hAnsi="宋体" w:eastAsia="宋体" w:cs="宋体"/>
          <w:b/>
          <w:bCs/>
          <w:spacing w:val="-10"/>
          <w:sz w:val="32"/>
          <w:szCs w:val="32"/>
        </w:rPr>
        <w:t>能</w:t>
      </w:r>
    </w:p>
    <w:p w14:paraId="5BA20A11">
      <w:pPr>
        <w:spacing w:before="1"/>
        <w:rPr>
          <w:rFonts w:ascii="宋体"/>
          <w:b/>
          <w:sz w:val="25"/>
          <w:szCs w:val="32"/>
        </w:rPr>
      </w:pPr>
    </w:p>
    <w:p w14:paraId="72690E88">
      <w:pPr>
        <w:spacing w:before="1" w:line="338" w:lineRule="auto"/>
        <w:ind w:left="213" w:right="295" w:firstLine="684"/>
        <w:jc w:val="both"/>
        <w:rPr>
          <w:sz w:val="32"/>
          <w:szCs w:val="32"/>
        </w:rPr>
      </w:pPr>
      <w:r>
        <w:rPr>
          <w:spacing w:val="23"/>
          <w:w w:val="99"/>
          <w:sz w:val="32"/>
          <w:szCs w:val="32"/>
        </w:rPr>
        <w:t>以“突出特色、错位发展、集聚提升”为思路，提升城镇综合服务能力，补齐城镇化基础设施短板，完善小城镇服务功能，因地制宜发展集镇特色产业，促进土地节约集约利用和人口有序聚集，促进产城融合，实现“经济—人口—资</w:t>
      </w:r>
      <w:r>
        <w:rPr>
          <w:spacing w:val="18"/>
          <w:w w:val="99"/>
          <w:sz w:val="32"/>
          <w:szCs w:val="32"/>
        </w:rPr>
        <w:t>源—环境”空间匹配。</w:t>
      </w:r>
    </w:p>
    <w:p w14:paraId="4A0EECCB">
      <w:pPr>
        <w:spacing w:line="338" w:lineRule="auto"/>
        <w:jc w:val="both"/>
        <w:sectPr>
          <w:footerReference r:id="rId25" w:type="default"/>
          <w:footerReference r:id="rId26" w:type="even"/>
          <w:pgSz w:w="11910" w:h="16840"/>
          <w:pgMar w:top="1800" w:right="1200" w:bottom="1160" w:left="1260" w:header="0" w:footer="975" w:gutter="0"/>
          <w:pgNumType w:start="73"/>
          <w:cols w:space="720" w:num="1"/>
        </w:sectPr>
      </w:pPr>
    </w:p>
    <w:p w14:paraId="3E20C894">
      <w:pPr>
        <w:spacing w:before="28" w:line="338" w:lineRule="auto"/>
        <w:ind w:left="213" w:right="293" w:firstLine="684"/>
        <w:jc w:val="both"/>
        <w:rPr>
          <w:sz w:val="32"/>
          <w:szCs w:val="32"/>
        </w:rPr>
      </w:pPr>
      <w:r>
        <w:rPr>
          <w:b/>
          <w:spacing w:val="26"/>
          <w:w w:val="99"/>
          <w:sz w:val="32"/>
          <w:szCs w:val="32"/>
        </w:rPr>
        <w:t>良田镇。</w:t>
      </w:r>
      <w:r>
        <w:rPr>
          <w:spacing w:val="22"/>
          <w:w w:val="99"/>
          <w:sz w:val="32"/>
          <w:szCs w:val="32"/>
        </w:rPr>
        <w:t>加快推进城乡融合发展，全面提升基础设施、</w:t>
      </w:r>
      <w:r>
        <w:rPr>
          <w:spacing w:val="23"/>
          <w:w w:val="99"/>
          <w:sz w:val="32"/>
          <w:szCs w:val="32"/>
        </w:rPr>
        <w:t>公共服务、乡风文明和乡村治理水平，整合资金、人才、技</w:t>
      </w:r>
      <w:r>
        <w:rPr>
          <w:spacing w:val="21"/>
          <w:w w:val="99"/>
          <w:sz w:val="32"/>
          <w:szCs w:val="32"/>
        </w:rPr>
        <w:t>术等资源，全面建成</w:t>
      </w:r>
      <w:r>
        <w:rPr>
          <w:spacing w:val="-50"/>
          <w:sz w:val="32"/>
          <w:szCs w:val="32"/>
        </w:rPr>
        <w:t xml:space="preserve"> </w:t>
      </w:r>
      <w:r>
        <w:rPr>
          <w:rFonts w:ascii="Calibri" w:eastAsia="Calibri"/>
          <w:w w:val="99"/>
          <w:sz w:val="32"/>
          <w:szCs w:val="32"/>
        </w:rPr>
        <w:t>1</w:t>
      </w:r>
      <w:r>
        <w:rPr>
          <w:rFonts w:ascii="Calibri" w:eastAsia="Calibri"/>
          <w:spacing w:val="27"/>
          <w:sz w:val="32"/>
          <w:szCs w:val="32"/>
        </w:rPr>
        <w:t xml:space="preserve"> </w:t>
      </w:r>
      <w:r>
        <w:rPr>
          <w:spacing w:val="22"/>
          <w:w w:val="99"/>
          <w:sz w:val="32"/>
          <w:szCs w:val="32"/>
        </w:rPr>
        <w:t>个城镇社区和植物园、泾龙、园林、</w:t>
      </w:r>
    </w:p>
    <w:p w14:paraId="0ABBA531">
      <w:pPr>
        <w:spacing w:before="5" w:line="338" w:lineRule="auto"/>
        <w:ind w:left="213" w:right="204"/>
        <w:jc w:val="both"/>
        <w:rPr>
          <w:sz w:val="32"/>
          <w:szCs w:val="32"/>
        </w:rPr>
      </w:pPr>
      <w:r>
        <w:rPr>
          <w:spacing w:val="12"/>
          <w:sz w:val="32"/>
          <w:szCs w:val="32"/>
        </w:rPr>
        <w:t xml:space="preserve">金星、光明、园子等 </w:t>
      </w:r>
      <w:r>
        <w:rPr>
          <w:rFonts w:ascii="Calibri" w:hAnsi="Calibri" w:eastAsia="Calibri"/>
          <w:sz w:val="32"/>
          <w:szCs w:val="32"/>
        </w:rPr>
        <w:t>6</w:t>
      </w:r>
      <w:r>
        <w:rPr>
          <w:rFonts w:ascii="Calibri" w:hAnsi="Calibri" w:eastAsia="Calibri"/>
          <w:spacing w:val="-19"/>
          <w:sz w:val="32"/>
          <w:szCs w:val="32"/>
        </w:rPr>
        <w:t xml:space="preserve"> </w:t>
      </w:r>
      <w:r>
        <w:rPr>
          <w:spacing w:val="19"/>
          <w:sz w:val="32"/>
          <w:szCs w:val="32"/>
        </w:rPr>
        <w:t>个新型农村社区的“</w:t>
      </w:r>
      <w:r>
        <w:rPr>
          <w:rFonts w:ascii="Calibri" w:hAnsi="Calibri" w:eastAsia="Calibri"/>
          <w:spacing w:val="11"/>
          <w:sz w:val="32"/>
          <w:szCs w:val="32"/>
        </w:rPr>
        <w:t>1+6</w:t>
      </w:r>
      <w:r>
        <w:rPr>
          <w:spacing w:val="15"/>
          <w:sz w:val="32"/>
          <w:szCs w:val="32"/>
        </w:rPr>
        <w:t>”发展模式，</w:t>
      </w:r>
      <w:r>
        <w:rPr>
          <w:spacing w:val="24"/>
          <w:sz w:val="32"/>
          <w:szCs w:val="32"/>
        </w:rPr>
        <w:t>保存乡村特色，彰显乡村内涵，留住乡愁，留住</w:t>
      </w:r>
      <w:r>
        <w:rPr>
          <w:spacing w:val="19"/>
          <w:sz w:val="32"/>
          <w:szCs w:val="32"/>
        </w:rPr>
        <w:t>乡村记忆。</w:t>
      </w:r>
      <w:r>
        <w:rPr>
          <w:spacing w:val="24"/>
          <w:sz w:val="32"/>
          <w:szCs w:val="32"/>
        </w:rPr>
        <w:t>重点发展集现代农业、休闲观光、农事体验为一</w:t>
      </w:r>
      <w:r>
        <w:rPr>
          <w:spacing w:val="19"/>
          <w:sz w:val="32"/>
          <w:szCs w:val="32"/>
        </w:rPr>
        <w:t>体的乡村田</w:t>
      </w:r>
      <w:r>
        <w:rPr>
          <w:spacing w:val="21"/>
          <w:sz w:val="32"/>
          <w:szCs w:val="32"/>
        </w:rPr>
        <w:t>园综合体，将良田镇</w:t>
      </w:r>
      <w:r>
        <w:rPr>
          <w:spacing w:val="22"/>
          <w:sz w:val="32"/>
          <w:szCs w:val="32"/>
        </w:rPr>
        <w:t>打造</w:t>
      </w:r>
      <w:r>
        <w:rPr>
          <w:spacing w:val="19"/>
          <w:sz w:val="32"/>
          <w:szCs w:val="32"/>
        </w:rPr>
        <w:t>成为黄河流域乡村振兴示范镇。</w:t>
      </w:r>
    </w:p>
    <w:p w14:paraId="5BBD10F5">
      <w:pPr>
        <w:spacing w:before="9" w:line="338" w:lineRule="auto"/>
        <w:ind w:left="213" w:right="120" w:firstLine="684"/>
        <w:rPr>
          <w:sz w:val="32"/>
          <w:szCs w:val="32"/>
        </w:rPr>
      </w:pPr>
      <w:r>
        <w:rPr>
          <w:b/>
          <w:spacing w:val="26"/>
          <w:w w:val="99"/>
          <w:sz w:val="32"/>
          <w:szCs w:val="32"/>
        </w:rPr>
        <w:t>丰登镇。</w:t>
      </w:r>
      <w:r>
        <w:rPr>
          <w:spacing w:val="22"/>
          <w:w w:val="99"/>
          <w:sz w:val="32"/>
          <w:szCs w:val="32"/>
        </w:rPr>
        <w:t>以镇区为核心，完善生活居住区配套设施改造</w:t>
      </w:r>
      <w:r>
        <w:rPr>
          <w:spacing w:val="23"/>
          <w:w w:val="99"/>
          <w:sz w:val="32"/>
          <w:szCs w:val="32"/>
        </w:rPr>
        <w:t>提升，加快建设润丰、和丰民俗村庄，彰显乡村民俗风貌，</w:t>
      </w:r>
      <w:r>
        <w:rPr>
          <w:spacing w:val="9"/>
          <w:w w:val="99"/>
          <w:sz w:val="32"/>
          <w:szCs w:val="32"/>
        </w:rPr>
        <w:t>保留乡村景观特色，注重融入时代感、新元素，强化生活空间</w:t>
      </w:r>
      <w:r>
        <w:rPr>
          <w:spacing w:val="8"/>
          <w:w w:val="99"/>
          <w:sz w:val="32"/>
          <w:szCs w:val="32"/>
        </w:rPr>
        <w:t>的人性化、多样化、现代化，构建“一公里生活圈”“十分钟</w:t>
      </w:r>
      <w:r>
        <w:rPr>
          <w:spacing w:val="-12"/>
          <w:w w:val="99"/>
          <w:sz w:val="32"/>
          <w:szCs w:val="32"/>
        </w:rPr>
        <w:t>服务圈”“快速便捷商业圈”。依托阅海公园、典农河、元宝湖，</w:t>
      </w:r>
      <w:r>
        <w:rPr>
          <w:spacing w:val="10"/>
          <w:w w:val="99"/>
          <w:sz w:val="32"/>
          <w:szCs w:val="32"/>
        </w:rPr>
        <w:t>在丰登镇建设城郊型休闲旅游产业带，把丰登镇打造成为“居</w:t>
      </w:r>
      <w:r>
        <w:rPr>
          <w:spacing w:val="9"/>
          <w:w w:val="99"/>
          <w:sz w:val="32"/>
          <w:szCs w:val="32"/>
        </w:rPr>
        <w:t>住安定放心、环境优美舒心、生活方便称心”的市民休闲旅游</w:t>
      </w:r>
      <w:r>
        <w:rPr>
          <w:spacing w:val="10"/>
          <w:w w:val="99"/>
          <w:sz w:val="32"/>
          <w:szCs w:val="32"/>
        </w:rPr>
        <w:t>小镇，创新创业活跃、产城有机融合的特色小镇，加速乡村振兴目标实现。</w:t>
      </w:r>
    </w:p>
    <w:p w14:paraId="7F405DC4">
      <w:pPr>
        <w:spacing w:before="156"/>
        <w:ind w:left="2618" w:right="2690"/>
        <w:jc w:val="center"/>
        <w:outlineLvl w:val="0"/>
        <w:rPr>
          <w:rFonts w:ascii="宋体" w:hAnsi="宋体" w:eastAsia="宋体" w:cs="宋体"/>
          <w:b/>
          <w:bCs/>
          <w:sz w:val="32"/>
          <w:szCs w:val="32"/>
        </w:rPr>
      </w:pPr>
      <w:r>
        <w:rPr>
          <w:rFonts w:ascii="宋体" w:hAnsi="宋体" w:eastAsia="宋体" w:cs="宋体"/>
          <w:b/>
          <w:bCs/>
          <w:spacing w:val="14"/>
          <w:sz w:val="32"/>
          <w:szCs w:val="32"/>
        </w:rPr>
        <w:t>第三</w:t>
      </w:r>
      <w:r>
        <w:rPr>
          <w:rFonts w:ascii="宋体" w:hAnsi="宋体" w:eastAsia="宋体" w:cs="宋体"/>
          <w:b/>
          <w:bCs/>
          <w:spacing w:val="58"/>
          <w:sz w:val="32"/>
          <w:szCs w:val="32"/>
        </w:rPr>
        <w:t>节 实</w:t>
      </w:r>
      <w:r>
        <w:rPr>
          <w:rFonts w:ascii="宋体" w:hAnsi="宋体" w:eastAsia="宋体" w:cs="宋体"/>
          <w:b/>
          <w:bCs/>
          <w:spacing w:val="14"/>
          <w:sz w:val="32"/>
          <w:szCs w:val="32"/>
        </w:rPr>
        <w:t>施乡</w:t>
      </w:r>
      <w:r>
        <w:rPr>
          <w:rFonts w:ascii="宋体" w:hAnsi="宋体" w:eastAsia="宋体" w:cs="宋体"/>
          <w:b/>
          <w:bCs/>
          <w:spacing w:val="12"/>
          <w:sz w:val="32"/>
          <w:szCs w:val="32"/>
        </w:rPr>
        <w:t>村</w:t>
      </w:r>
      <w:r>
        <w:rPr>
          <w:rFonts w:ascii="宋体" w:hAnsi="宋体" w:eastAsia="宋体" w:cs="宋体"/>
          <w:b/>
          <w:bCs/>
          <w:spacing w:val="14"/>
          <w:sz w:val="32"/>
          <w:szCs w:val="32"/>
        </w:rPr>
        <w:t>振兴战</w:t>
      </w:r>
      <w:r>
        <w:rPr>
          <w:rFonts w:ascii="宋体" w:hAnsi="宋体" w:eastAsia="宋体" w:cs="宋体"/>
          <w:b/>
          <w:bCs/>
          <w:spacing w:val="-10"/>
          <w:sz w:val="32"/>
          <w:szCs w:val="32"/>
        </w:rPr>
        <w:t>略</w:t>
      </w:r>
    </w:p>
    <w:p w14:paraId="635A3571">
      <w:pPr>
        <w:spacing w:before="286" w:line="364" w:lineRule="auto"/>
        <w:ind w:left="213" w:right="115" w:firstLine="664"/>
        <w:rPr>
          <w:sz w:val="32"/>
          <w:szCs w:val="32"/>
        </w:rPr>
      </w:pPr>
      <w:r>
        <w:rPr>
          <w:spacing w:val="12"/>
          <w:sz w:val="32"/>
          <w:szCs w:val="32"/>
        </w:rPr>
        <w:t>坚持把解</w:t>
      </w:r>
      <w:r>
        <w:rPr>
          <w:spacing w:val="7"/>
          <w:sz w:val="32"/>
          <w:szCs w:val="32"/>
        </w:rPr>
        <w:t>决好“</w:t>
      </w:r>
      <w:r>
        <w:rPr>
          <w:spacing w:val="12"/>
          <w:sz w:val="32"/>
          <w:szCs w:val="32"/>
        </w:rPr>
        <w:t>三农”问题作为重中之重，按照“产</w:t>
      </w:r>
      <w:r>
        <w:rPr>
          <w:spacing w:val="6"/>
          <w:sz w:val="32"/>
          <w:szCs w:val="32"/>
        </w:rPr>
        <w:t>业兴</w:t>
      </w:r>
      <w:r>
        <w:rPr>
          <w:spacing w:val="5"/>
          <w:sz w:val="32"/>
          <w:szCs w:val="32"/>
        </w:rPr>
        <w:t>旺、 生态宜居、乡风文明、治理有效、生活</w:t>
      </w:r>
      <w:r>
        <w:rPr>
          <w:spacing w:val="12"/>
          <w:sz w:val="32"/>
          <w:szCs w:val="32"/>
        </w:rPr>
        <w:t>富裕”的</w:t>
      </w:r>
      <w:r>
        <w:rPr>
          <w:spacing w:val="9"/>
          <w:sz w:val="32"/>
          <w:szCs w:val="32"/>
        </w:rPr>
        <w:t>总要求，</w:t>
      </w:r>
      <w:r>
        <w:rPr>
          <w:spacing w:val="12"/>
          <w:sz w:val="32"/>
          <w:szCs w:val="32"/>
        </w:rPr>
        <w:t>优先发展农业农</w:t>
      </w:r>
      <w:r>
        <w:rPr>
          <w:spacing w:val="8"/>
          <w:sz w:val="32"/>
          <w:szCs w:val="32"/>
        </w:rPr>
        <w:t>村，实施</w:t>
      </w:r>
      <w:r>
        <w:rPr>
          <w:spacing w:val="12"/>
          <w:sz w:val="32"/>
          <w:szCs w:val="32"/>
        </w:rPr>
        <w:t>乡村建设行</w:t>
      </w:r>
      <w:r>
        <w:rPr>
          <w:spacing w:val="9"/>
          <w:sz w:val="32"/>
          <w:szCs w:val="32"/>
        </w:rPr>
        <w:t>动，巩固</w:t>
      </w:r>
      <w:r>
        <w:rPr>
          <w:spacing w:val="12"/>
          <w:sz w:val="32"/>
          <w:szCs w:val="32"/>
        </w:rPr>
        <w:t>拓展脱贫攻</w:t>
      </w:r>
      <w:r>
        <w:rPr>
          <w:spacing w:val="6"/>
          <w:sz w:val="32"/>
          <w:szCs w:val="32"/>
        </w:rPr>
        <w:t>坚成</w:t>
      </w:r>
      <w:r>
        <w:rPr>
          <w:spacing w:val="12"/>
          <w:sz w:val="32"/>
          <w:szCs w:val="32"/>
        </w:rPr>
        <w:t>果，加快农业农村现</w:t>
      </w:r>
      <w:r>
        <w:rPr>
          <w:spacing w:val="8"/>
          <w:sz w:val="32"/>
          <w:szCs w:val="32"/>
        </w:rPr>
        <w:t>代化，谱写</w:t>
      </w:r>
      <w:r>
        <w:rPr>
          <w:spacing w:val="12"/>
          <w:sz w:val="32"/>
          <w:szCs w:val="32"/>
        </w:rPr>
        <w:t>乡村发展新篇章，打造黄河</w:t>
      </w:r>
      <w:r>
        <w:rPr>
          <w:sz w:val="32"/>
          <w:szCs w:val="32"/>
        </w:rPr>
        <w:t>流</w:t>
      </w:r>
      <w:r>
        <w:rPr>
          <w:spacing w:val="10"/>
          <w:sz w:val="32"/>
          <w:szCs w:val="32"/>
        </w:rPr>
        <w:t>域乡村振兴样板</w:t>
      </w:r>
      <w:r>
        <w:rPr>
          <w:sz w:val="32"/>
          <w:szCs w:val="32"/>
        </w:rPr>
        <w:t>。</w:t>
      </w:r>
    </w:p>
    <w:p w14:paraId="225B00DE">
      <w:pPr>
        <w:spacing w:line="364" w:lineRule="auto"/>
        <w:sectPr>
          <w:pgSz w:w="11910" w:h="16840"/>
          <w:pgMar w:top="1800" w:right="1200" w:bottom="1160" w:left="1260" w:header="0" w:footer="975" w:gutter="0"/>
          <w:cols w:space="720" w:num="1"/>
        </w:sectPr>
      </w:pPr>
    </w:p>
    <w:p w14:paraId="08E9E761">
      <w:pPr>
        <w:spacing w:before="31"/>
        <w:ind w:left="878"/>
        <w:rPr>
          <w:rFonts w:ascii="黑体" w:eastAsia="黑体"/>
          <w:sz w:val="32"/>
          <w:szCs w:val="32"/>
        </w:rPr>
      </w:pPr>
      <w:r>
        <w:rPr>
          <w:rFonts w:ascii="黑体" w:eastAsia="黑体"/>
          <w:spacing w:val="12"/>
          <w:w w:val="95"/>
          <w:sz w:val="32"/>
          <w:szCs w:val="32"/>
        </w:rPr>
        <w:t>一、集聚</w:t>
      </w:r>
      <w:r>
        <w:rPr>
          <w:rFonts w:ascii="黑体" w:eastAsia="黑体"/>
          <w:spacing w:val="14"/>
          <w:w w:val="95"/>
          <w:sz w:val="32"/>
          <w:szCs w:val="32"/>
        </w:rPr>
        <w:t>乡</w:t>
      </w:r>
      <w:r>
        <w:rPr>
          <w:rFonts w:ascii="黑体" w:eastAsia="黑体"/>
          <w:spacing w:val="12"/>
          <w:w w:val="95"/>
          <w:sz w:val="32"/>
          <w:szCs w:val="32"/>
        </w:rPr>
        <w:t>村发</w:t>
      </w:r>
      <w:r>
        <w:rPr>
          <w:rFonts w:ascii="黑体" w:eastAsia="黑体"/>
          <w:spacing w:val="5"/>
          <w:w w:val="95"/>
          <w:sz w:val="32"/>
          <w:szCs w:val="32"/>
        </w:rPr>
        <w:t>展要素</w:t>
      </w:r>
    </w:p>
    <w:p w14:paraId="105E32CF">
      <w:pPr>
        <w:spacing w:before="166" w:line="340" w:lineRule="auto"/>
        <w:ind w:left="213" w:right="285" w:firstLine="664"/>
        <w:rPr>
          <w:sz w:val="32"/>
          <w:szCs w:val="32"/>
        </w:rPr>
      </w:pPr>
      <w:r>
        <w:rPr>
          <w:spacing w:val="10"/>
          <w:w w:val="99"/>
          <w:sz w:val="32"/>
          <w:szCs w:val="32"/>
        </w:rPr>
        <w:t>围绕农业发展人才、资金、土地等要素需求，实施农业发</w:t>
      </w:r>
      <w:r>
        <w:rPr>
          <w:spacing w:val="11"/>
          <w:w w:val="99"/>
          <w:sz w:val="32"/>
          <w:szCs w:val="32"/>
        </w:rPr>
        <w:t>展要素集聚提升工程，引导各类要素向农业农村流动。</w:t>
      </w:r>
    </w:p>
    <w:p w14:paraId="08CFD604">
      <w:pPr>
        <w:spacing w:line="338" w:lineRule="auto"/>
        <w:ind w:left="213" w:right="115" w:firstLine="664"/>
        <w:rPr>
          <w:sz w:val="32"/>
          <w:szCs w:val="32"/>
        </w:rPr>
      </w:pPr>
      <w:r>
        <w:rPr>
          <w:b/>
          <w:w w:val="99"/>
          <w:sz w:val="32"/>
          <w:szCs w:val="32"/>
        </w:rPr>
        <w:t>引育乡村人才。</w:t>
      </w:r>
      <w:r>
        <w:rPr>
          <w:spacing w:val="3"/>
          <w:w w:val="99"/>
          <w:sz w:val="32"/>
          <w:szCs w:val="32"/>
        </w:rPr>
        <w:t>实施高素质农民培育工程，建设农民学校，</w:t>
      </w:r>
      <w:r>
        <w:rPr>
          <w:spacing w:val="11"/>
          <w:w w:val="99"/>
          <w:sz w:val="32"/>
          <w:szCs w:val="32"/>
        </w:rPr>
        <w:t>加快农业经理人、专业技术人才等培育，建设农民田间学校、</w:t>
      </w:r>
      <w:r>
        <w:rPr>
          <w:spacing w:val="18"/>
          <w:w w:val="99"/>
          <w:sz w:val="32"/>
          <w:szCs w:val="32"/>
        </w:rPr>
        <w:t>高素质农民培训基地，年开展高素质农民培训</w:t>
      </w:r>
      <w:r>
        <w:rPr>
          <w:spacing w:val="-57"/>
          <w:sz w:val="32"/>
          <w:szCs w:val="32"/>
        </w:rPr>
        <w:t xml:space="preserve"> </w:t>
      </w:r>
      <w:r>
        <w:rPr>
          <w:rFonts w:ascii="Times New Roman" w:hAnsi="Times New Roman" w:eastAsia="Times New Roman"/>
          <w:spacing w:val="3"/>
          <w:w w:val="99"/>
          <w:sz w:val="32"/>
          <w:szCs w:val="32"/>
        </w:rPr>
        <w:t>3</w:t>
      </w:r>
      <w:r>
        <w:rPr>
          <w:rFonts w:ascii="Times New Roman" w:hAnsi="Times New Roman" w:eastAsia="Times New Roman"/>
          <w:spacing w:val="6"/>
          <w:w w:val="99"/>
          <w:sz w:val="32"/>
          <w:szCs w:val="32"/>
        </w:rPr>
        <w:t>00</w:t>
      </w:r>
      <w:r>
        <w:rPr>
          <w:rFonts w:ascii="Times New Roman" w:hAnsi="Times New Roman" w:eastAsia="Times New Roman"/>
          <w:w w:val="99"/>
          <w:sz w:val="32"/>
          <w:szCs w:val="32"/>
        </w:rPr>
        <w:t>0</w:t>
      </w:r>
      <w:r>
        <w:rPr>
          <w:rFonts w:ascii="Times New Roman" w:hAnsi="Times New Roman" w:eastAsia="Times New Roman"/>
          <w:spacing w:val="19"/>
          <w:sz w:val="32"/>
          <w:szCs w:val="32"/>
        </w:rPr>
        <w:t xml:space="preserve"> </w:t>
      </w:r>
      <w:r>
        <w:rPr>
          <w:spacing w:val="14"/>
          <w:w w:val="99"/>
          <w:sz w:val="32"/>
          <w:szCs w:val="32"/>
        </w:rPr>
        <w:t>人次，培</w:t>
      </w:r>
      <w:r>
        <w:rPr>
          <w:spacing w:val="9"/>
          <w:w w:val="99"/>
          <w:sz w:val="32"/>
          <w:szCs w:val="32"/>
        </w:rPr>
        <w:t>育百名“田秀才”“土专家</w:t>
      </w:r>
      <w:r>
        <w:rPr>
          <w:spacing w:val="-13"/>
          <w:w w:val="99"/>
          <w:sz w:val="32"/>
          <w:szCs w:val="32"/>
        </w:rPr>
        <w:t>”“能工巧匠”，提高农民科技文化</w:t>
      </w:r>
      <w:r>
        <w:rPr>
          <w:spacing w:val="8"/>
          <w:w w:val="99"/>
          <w:sz w:val="32"/>
          <w:szCs w:val="32"/>
        </w:rPr>
        <w:t>素质，推进乡村人才振兴；引导银川籍成功人士回银创业，发</w:t>
      </w:r>
      <w:r>
        <w:rPr>
          <w:spacing w:val="14"/>
          <w:w w:val="99"/>
          <w:sz w:val="32"/>
          <w:szCs w:val="32"/>
        </w:rPr>
        <w:t>展“互联网+创新创业”“生鲜电商+冷链宅配”“中央厨房+</w:t>
      </w:r>
      <w:r>
        <w:rPr>
          <w:spacing w:val="10"/>
          <w:w w:val="99"/>
          <w:sz w:val="32"/>
          <w:szCs w:val="32"/>
        </w:rPr>
        <w:t>食材冷链配送”“休闲农业乡村旅游”等创新项目，培育乡村产业的“生力军”。</w:t>
      </w:r>
    </w:p>
    <w:p w14:paraId="28520E61">
      <w:pPr>
        <w:spacing w:before="11" w:line="340" w:lineRule="auto"/>
        <w:ind w:left="213" w:right="282" w:firstLine="664"/>
        <w:jc w:val="both"/>
        <w:rPr>
          <w:sz w:val="32"/>
          <w:szCs w:val="32"/>
        </w:rPr>
      </w:pPr>
      <w:r>
        <w:rPr>
          <w:b/>
          <w:spacing w:val="3"/>
          <w:w w:val="99"/>
          <w:sz w:val="32"/>
          <w:szCs w:val="32"/>
        </w:rPr>
        <w:t>强化多元投入。</w:t>
      </w:r>
      <w:r>
        <w:rPr>
          <w:spacing w:val="-6"/>
          <w:w w:val="99"/>
          <w:sz w:val="32"/>
          <w:szCs w:val="32"/>
        </w:rPr>
        <w:t>健全“三农”投入保障机制，优先保障“三</w:t>
      </w:r>
      <w:r>
        <w:rPr>
          <w:spacing w:val="11"/>
          <w:w w:val="99"/>
          <w:sz w:val="32"/>
          <w:szCs w:val="32"/>
        </w:rPr>
        <w:t>农”资金投入，确保公共财政更大力度向“三农”倾斜，创新</w:t>
      </w:r>
      <w:r>
        <w:rPr>
          <w:spacing w:val="9"/>
          <w:w w:val="99"/>
          <w:sz w:val="32"/>
          <w:szCs w:val="32"/>
        </w:rPr>
        <w:t>金融服务乡村，鼓励金融机构为新型农业经营主体、妇女、返乡创业人员等提供小额贷款、多户联保信用贷款、支付结算和</w:t>
      </w:r>
      <w:r>
        <w:rPr>
          <w:spacing w:val="11"/>
          <w:w w:val="99"/>
          <w:sz w:val="32"/>
          <w:szCs w:val="32"/>
        </w:rPr>
        <w:t>保险等金融服务，引导城市工商资本下乡。</w:t>
      </w:r>
    </w:p>
    <w:p w14:paraId="6EFE582E">
      <w:pPr>
        <w:spacing w:line="340" w:lineRule="auto"/>
        <w:ind w:left="213" w:right="120" w:firstLine="664"/>
        <w:rPr>
          <w:sz w:val="32"/>
          <w:szCs w:val="32"/>
        </w:rPr>
      </w:pPr>
      <w:r>
        <w:rPr>
          <w:b/>
          <w:spacing w:val="12"/>
          <w:w w:val="99"/>
          <w:sz w:val="32"/>
          <w:szCs w:val="32"/>
        </w:rPr>
        <w:t>用活土地资源。</w:t>
      </w:r>
      <w:r>
        <w:rPr>
          <w:spacing w:val="10"/>
          <w:w w:val="99"/>
          <w:sz w:val="32"/>
          <w:szCs w:val="32"/>
        </w:rPr>
        <w:t>在符合国土空间规划的前提下，合理调整</w:t>
      </w:r>
      <w:r>
        <w:rPr>
          <w:spacing w:val="9"/>
          <w:w w:val="99"/>
          <w:sz w:val="32"/>
          <w:szCs w:val="32"/>
        </w:rPr>
        <w:t>农村建设用地，有效利用农村零星分散的存量建设用地；落实</w:t>
      </w:r>
      <w:r>
        <w:rPr>
          <w:spacing w:val="11"/>
          <w:w w:val="99"/>
          <w:sz w:val="32"/>
          <w:szCs w:val="32"/>
        </w:rPr>
        <w:t>最新的土地政策，通过“增存挂钩”、集体经营建设用地入市</w:t>
      </w:r>
      <w:r>
        <w:rPr>
          <w:spacing w:val="-2"/>
          <w:w w:val="99"/>
          <w:sz w:val="32"/>
          <w:szCs w:val="32"/>
        </w:rPr>
        <w:t>等方式，盘活乡村闲置集体建设用地、闲置宅基地等土地资源，</w:t>
      </w:r>
      <w:r>
        <w:rPr>
          <w:spacing w:val="9"/>
          <w:w w:val="99"/>
          <w:sz w:val="32"/>
          <w:szCs w:val="32"/>
        </w:rPr>
        <w:t>优先用于乡村旅游、田园康养、电商文创、三产融合等产业项</w:t>
      </w:r>
      <w:r>
        <w:rPr>
          <w:spacing w:val="11"/>
          <w:w w:val="99"/>
          <w:sz w:val="32"/>
          <w:szCs w:val="32"/>
        </w:rPr>
        <w:t>目建设，提高土地利用效率。</w:t>
      </w:r>
    </w:p>
    <w:p w14:paraId="2E89DEB7">
      <w:pPr>
        <w:spacing w:line="382" w:lineRule="exact"/>
        <w:ind w:left="878"/>
        <w:rPr>
          <w:rFonts w:ascii="黑体" w:eastAsia="黑体"/>
          <w:sz w:val="32"/>
          <w:szCs w:val="32"/>
        </w:rPr>
      </w:pPr>
      <w:r>
        <w:rPr>
          <w:rFonts w:ascii="黑体" w:eastAsia="黑体"/>
          <w:spacing w:val="12"/>
          <w:w w:val="95"/>
          <w:sz w:val="32"/>
          <w:szCs w:val="32"/>
        </w:rPr>
        <w:t>二、推动</w:t>
      </w:r>
      <w:r>
        <w:rPr>
          <w:rFonts w:ascii="黑体" w:eastAsia="黑体"/>
          <w:spacing w:val="14"/>
          <w:w w:val="95"/>
          <w:sz w:val="32"/>
          <w:szCs w:val="32"/>
        </w:rPr>
        <w:t>乡</w:t>
      </w:r>
      <w:r>
        <w:rPr>
          <w:rFonts w:ascii="黑体" w:eastAsia="黑体"/>
          <w:spacing w:val="12"/>
          <w:w w:val="95"/>
          <w:sz w:val="32"/>
          <w:szCs w:val="32"/>
        </w:rPr>
        <w:t>村建</w:t>
      </w:r>
      <w:r>
        <w:rPr>
          <w:rFonts w:ascii="黑体" w:eastAsia="黑体"/>
          <w:spacing w:val="5"/>
          <w:w w:val="95"/>
          <w:sz w:val="32"/>
          <w:szCs w:val="32"/>
        </w:rPr>
        <w:t>设行动</w:t>
      </w:r>
    </w:p>
    <w:p w14:paraId="7A15776A">
      <w:pPr>
        <w:spacing w:line="382" w:lineRule="exact"/>
        <w:rPr>
          <w:rFonts w:ascii="黑体" w:eastAsia="黑体"/>
        </w:rPr>
        <w:sectPr>
          <w:pgSz w:w="11910" w:h="16840"/>
          <w:pgMar w:top="1780" w:right="1200" w:bottom="1160" w:left="1260" w:header="0" w:footer="975" w:gutter="0"/>
          <w:cols w:space="720" w:num="1"/>
        </w:sectPr>
      </w:pPr>
    </w:p>
    <w:p w14:paraId="635E8FD8">
      <w:pPr>
        <w:spacing w:before="28" w:line="338" w:lineRule="auto"/>
        <w:ind w:left="213" w:right="117" w:firstLine="664"/>
        <w:rPr>
          <w:sz w:val="32"/>
          <w:szCs w:val="32"/>
        </w:rPr>
      </w:pPr>
      <w:r>
        <w:rPr>
          <w:b/>
          <w:spacing w:val="12"/>
          <w:sz w:val="32"/>
          <w:szCs w:val="32"/>
        </w:rPr>
        <w:t>均衡化配</w:t>
      </w:r>
      <w:r>
        <w:rPr>
          <w:b/>
          <w:spacing w:val="6"/>
          <w:sz w:val="32"/>
          <w:szCs w:val="32"/>
        </w:rPr>
        <w:t>置。</w:t>
      </w:r>
      <w:r>
        <w:rPr>
          <w:spacing w:val="12"/>
          <w:sz w:val="32"/>
          <w:szCs w:val="32"/>
        </w:rPr>
        <w:t>加强公共资源</w:t>
      </w:r>
      <w:r>
        <w:rPr>
          <w:spacing w:val="8"/>
          <w:sz w:val="32"/>
          <w:szCs w:val="32"/>
        </w:rPr>
        <w:t>配置，加快补齐</w:t>
      </w:r>
      <w:r>
        <w:rPr>
          <w:spacing w:val="12"/>
          <w:sz w:val="32"/>
          <w:szCs w:val="32"/>
        </w:rPr>
        <w:t>短板</w:t>
      </w:r>
      <w:r>
        <w:rPr>
          <w:spacing w:val="6"/>
          <w:sz w:val="32"/>
          <w:szCs w:val="32"/>
        </w:rPr>
        <w:t>弱项，围</w:t>
      </w:r>
      <w:r>
        <w:rPr>
          <w:spacing w:val="12"/>
          <w:sz w:val="32"/>
          <w:szCs w:val="32"/>
        </w:rPr>
        <w:t>绕城乡“五网”基础设施一体化</w:t>
      </w:r>
      <w:r>
        <w:rPr>
          <w:spacing w:val="8"/>
          <w:sz w:val="32"/>
          <w:szCs w:val="32"/>
        </w:rPr>
        <w:t>建设，实施</w:t>
      </w:r>
      <w:r>
        <w:rPr>
          <w:spacing w:val="12"/>
          <w:sz w:val="32"/>
          <w:szCs w:val="32"/>
        </w:rPr>
        <w:t>林场社区基</w:t>
      </w:r>
      <w:r>
        <w:rPr>
          <w:spacing w:val="8"/>
          <w:sz w:val="32"/>
          <w:szCs w:val="32"/>
        </w:rPr>
        <w:t>础设施</w:t>
      </w:r>
      <w:r>
        <w:rPr>
          <w:spacing w:val="12"/>
          <w:sz w:val="32"/>
          <w:szCs w:val="32"/>
        </w:rPr>
        <w:t>改造项目，拓展基础设施建设空间、完善基础设施网络，构</w:t>
      </w:r>
      <w:r>
        <w:rPr>
          <w:sz w:val="32"/>
          <w:szCs w:val="32"/>
        </w:rPr>
        <w:t>建</w:t>
      </w:r>
      <w:r>
        <w:rPr>
          <w:spacing w:val="12"/>
          <w:sz w:val="32"/>
          <w:szCs w:val="32"/>
        </w:rPr>
        <w:t>一体化的城乡基础设施网络体</w:t>
      </w:r>
      <w:r>
        <w:rPr>
          <w:spacing w:val="8"/>
          <w:sz w:val="32"/>
          <w:szCs w:val="32"/>
        </w:rPr>
        <w:t>系。强化</w:t>
      </w:r>
      <w:r>
        <w:rPr>
          <w:spacing w:val="12"/>
          <w:sz w:val="32"/>
          <w:szCs w:val="32"/>
        </w:rPr>
        <w:t>市政基础设施建设</w:t>
      </w:r>
      <w:r>
        <w:rPr>
          <w:sz w:val="32"/>
          <w:szCs w:val="32"/>
        </w:rPr>
        <w:t>，改</w:t>
      </w:r>
      <w:r>
        <w:rPr>
          <w:spacing w:val="12"/>
          <w:sz w:val="32"/>
          <w:szCs w:val="32"/>
        </w:rPr>
        <w:t>造提升城镇供水、污水、燃气等管网及环卫、消防设施</w:t>
      </w:r>
      <w:r>
        <w:rPr>
          <w:spacing w:val="3"/>
          <w:sz w:val="32"/>
          <w:szCs w:val="32"/>
        </w:rPr>
        <w:t>，完善</w:t>
      </w:r>
      <w:r>
        <w:rPr>
          <w:spacing w:val="12"/>
          <w:w w:val="95"/>
          <w:sz w:val="32"/>
          <w:szCs w:val="32"/>
        </w:rPr>
        <w:t>公共厕所</w:t>
      </w:r>
      <w:r>
        <w:rPr>
          <w:spacing w:val="7"/>
          <w:w w:val="95"/>
          <w:sz w:val="32"/>
          <w:szCs w:val="32"/>
        </w:rPr>
        <w:t>、公共</w:t>
      </w:r>
      <w:r>
        <w:rPr>
          <w:spacing w:val="12"/>
          <w:w w:val="95"/>
          <w:sz w:val="32"/>
          <w:szCs w:val="32"/>
        </w:rPr>
        <w:t>停车</w:t>
      </w:r>
      <w:r>
        <w:rPr>
          <w:spacing w:val="9"/>
          <w:w w:val="95"/>
          <w:sz w:val="32"/>
          <w:szCs w:val="32"/>
        </w:rPr>
        <w:t>场、新能</w:t>
      </w:r>
      <w:r>
        <w:rPr>
          <w:spacing w:val="12"/>
          <w:w w:val="95"/>
          <w:sz w:val="32"/>
          <w:szCs w:val="32"/>
        </w:rPr>
        <w:t>源充电桩等建设</w:t>
      </w:r>
      <w:r>
        <w:rPr>
          <w:spacing w:val="8"/>
          <w:w w:val="95"/>
          <w:sz w:val="32"/>
          <w:szCs w:val="32"/>
        </w:rPr>
        <w:t>，有序</w:t>
      </w:r>
      <w:r>
        <w:rPr>
          <w:spacing w:val="12"/>
          <w:w w:val="95"/>
          <w:sz w:val="32"/>
          <w:szCs w:val="32"/>
        </w:rPr>
        <w:t>推进</w:t>
      </w:r>
      <w:r>
        <w:rPr>
          <w:spacing w:val="8"/>
          <w:w w:val="95"/>
          <w:sz w:val="32"/>
          <w:szCs w:val="32"/>
        </w:rPr>
        <w:t>供水、</w:t>
      </w:r>
      <w:r>
        <w:rPr>
          <w:spacing w:val="12"/>
          <w:sz w:val="32"/>
          <w:szCs w:val="32"/>
        </w:rPr>
        <w:t>污水、燃气等管网向农村延伸。同步推进医疗、教育、治</w:t>
      </w:r>
      <w:r>
        <w:rPr>
          <w:spacing w:val="6"/>
          <w:sz w:val="32"/>
          <w:szCs w:val="32"/>
        </w:rPr>
        <w:t>安、</w:t>
      </w:r>
      <w:r>
        <w:rPr>
          <w:spacing w:val="8"/>
          <w:sz w:val="32"/>
          <w:szCs w:val="32"/>
        </w:rPr>
        <w:t>消防、文化</w:t>
      </w:r>
      <w:r>
        <w:rPr>
          <w:spacing w:val="12"/>
          <w:sz w:val="32"/>
          <w:szCs w:val="32"/>
        </w:rPr>
        <w:t>、体</w:t>
      </w:r>
      <w:r>
        <w:rPr>
          <w:spacing w:val="9"/>
          <w:sz w:val="32"/>
          <w:szCs w:val="32"/>
        </w:rPr>
        <w:t>育、商业</w:t>
      </w:r>
      <w:r>
        <w:rPr>
          <w:spacing w:val="12"/>
          <w:sz w:val="32"/>
          <w:szCs w:val="32"/>
        </w:rPr>
        <w:t>网点等公共服务设施</w:t>
      </w:r>
      <w:r>
        <w:rPr>
          <w:spacing w:val="8"/>
          <w:sz w:val="32"/>
          <w:szCs w:val="32"/>
        </w:rPr>
        <w:t>，推动</w:t>
      </w:r>
      <w:r>
        <w:rPr>
          <w:spacing w:val="12"/>
          <w:sz w:val="32"/>
          <w:szCs w:val="32"/>
        </w:rPr>
        <w:t>建立</w:t>
      </w:r>
      <w:r>
        <w:rPr>
          <w:spacing w:val="6"/>
          <w:sz w:val="32"/>
          <w:szCs w:val="32"/>
        </w:rPr>
        <w:t>城乡</w:t>
      </w:r>
      <w:r>
        <w:rPr>
          <w:spacing w:val="12"/>
          <w:sz w:val="32"/>
          <w:szCs w:val="32"/>
        </w:rPr>
        <w:t>有效衔接、上下畅通、分工合理、全面覆盖的公共服务体</w:t>
      </w:r>
      <w:r>
        <w:rPr>
          <w:spacing w:val="6"/>
          <w:sz w:val="32"/>
          <w:szCs w:val="32"/>
        </w:rPr>
        <w:t>系。</w:t>
      </w:r>
    </w:p>
    <w:p w14:paraId="3DC14B14">
      <w:pPr>
        <w:spacing w:before="17" w:line="338" w:lineRule="auto"/>
        <w:ind w:left="213" w:right="120" w:firstLine="664"/>
        <w:rPr>
          <w:sz w:val="32"/>
          <w:szCs w:val="32"/>
        </w:rPr>
      </w:pPr>
      <w:r>
        <w:rPr>
          <w:b/>
          <w:spacing w:val="12"/>
          <w:w w:val="99"/>
          <w:sz w:val="32"/>
          <w:szCs w:val="32"/>
        </w:rPr>
        <w:t>高质化建设。</w:t>
      </w:r>
      <w:r>
        <w:rPr>
          <w:spacing w:val="10"/>
          <w:w w:val="99"/>
          <w:sz w:val="32"/>
          <w:szCs w:val="32"/>
        </w:rPr>
        <w:t>推进新一轮农村电网改造升级，加快“气化</w:t>
      </w:r>
      <w:r>
        <w:rPr>
          <w:spacing w:val="8"/>
          <w:w w:val="99"/>
          <w:sz w:val="32"/>
          <w:szCs w:val="32"/>
        </w:rPr>
        <w:t>农村、宽带乡村”工程，提升道路桥梁安全防护能力和服务保</w:t>
      </w:r>
      <w:r>
        <w:rPr>
          <w:spacing w:val="9"/>
          <w:w w:val="99"/>
          <w:sz w:val="32"/>
          <w:szCs w:val="32"/>
        </w:rPr>
        <w:t>障水平。建立乡村生态环境保护和美丽乡村建设长效机制，加</w:t>
      </w:r>
      <w:r>
        <w:rPr>
          <w:spacing w:val="11"/>
          <w:w w:val="99"/>
          <w:sz w:val="32"/>
          <w:szCs w:val="32"/>
        </w:rPr>
        <w:t>大农村人居环境整治，持续推进“厕所革命”和村庄清洁、农</w:t>
      </w:r>
      <w:r>
        <w:rPr>
          <w:spacing w:val="2"/>
          <w:w w:val="99"/>
          <w:sz w:val="32"/>
          <w:szCs w:val="32"/>
        </w:rPr>
        <w:t>业产业园区环境提升行动，加快打造美丽乡村的“金凤样板”。</w:t>
      </w:r>
      <w:r>
        <w:rPr>
          <w:spacing w:val="9"/>
          <w:w w:val="99"/>
          <w:sz w:val="32"/>
          <w:szCs w:val="32"/>
        </w:rPr>
        <w:t>深入推进城乡环卫一体化，强化保洁员队伍，争取环卫人员人</w:t>
      </w:r>
      <w:r>
        <w:rPr>
          <w:spacing w:val="16"/>
          <w:w w:val="99"/>
          <w:sz w:val="32"/>
          <w:szCs w:val="32"/>
        </w:rPr>
        <w:t>均保洁面积小于</w:t>
      </w:r>
      <w:r>
        <w:rPr>
          <w:spacing w:val="-59"/>
          <w:sz w:val="32"/>
          <w:szCs w:val="32"/>
        </w:rPr>
        <w:t xml:space="preserve"> </w:t>
      </w:r>
      <w:r>
        <w:rPr>
          <w:rFonts w:ascii="Times New Roman" w:hAnsi="Times New Roman" w:eastAsia="Times New Roman"/>
          <w:spacing w:val="3"/>
          <w:w w:val="99"/>
          <w:sz w:val="32"/>
          <w:szCs w:val="32"/>
        </w:rPr>
        <w:t>3</w:t>
      </w:r>
      <w:r>
        <w:rPr>
          <w:rFonts w:ascii="Times New Roman" w:hAnsi="Times New Roman" w:eastAsia="Times New Roman"/>
          <w:spacing w:val="6"/>
          <w:w w:val="99"/>
          <w:sz w:val="32"/>
          <w:szCs w:val="32"/>
        </w:rPr>
        <w:t>00</w:t>
      </w:r>
      <w:r>
        <w:rPr>
          <w:rFonts w:ascii="Times New Roman" w:hAnsi="Times New Roman" w:eastAsia="Times New Roman"/>
          <w:w w:val="99"/>
          <w:sz w:val="32"/>
          <w:szCs w:val="32"/>
        </w:rPr>
        <w:t>0</w:t>
      </w:r>
      <w:r>
        <w:rPr>
          <w:rFonts w:ascii="Times New Roman" w:hAnsi="Times New Roman" w:eastAsia="Times New Roman"/>
          <w:spacing w:val="19"/>
          <w:sz w:val="32"/>
          <w:szCs w:val="32"/>
        </w:rPr>
        <w:t xml:space="preserve"> </w:t>
      </w:r>
      <w:r>
        <w:rPr>
          <w:spacing w:val="17"/>
          <w:w w:val="99"/>
          <w:sz w:val="32"/>
          <w:szCs w:val="32"/>
        </w:rPr>
        <w:t>平方米；实行垃圾分类收集统一运输，</w:t>
      </w:r>
      <w:r>
        <w:rPr>
          <w:spacing w:val="10"/>
          <w:w w:val="99"/>
          <w:sz w:val="32"/>
          <w:szCs w:val="32"/>
        </w:rPr>
        <w:t>引导群众养成科学健康的生活方式等。把整治村庄与经营村庄</w:t>
      </w:r>
      <w:r>
        <w:rPr>
          <w:spacing w:val="11"/>
          <w:w w:val="99"/>
          <w:sz w:val="32"/>
          <w:szCs w:val="32"/>
        </w:rPr>
        <w:t>结合起来，支持田园综合体、民宿集聚村落等项目建设，激活</w:t>
      </w:r>
      <w:r>
        <w:rPr>
          <w:spacing w:val="10"/>
          <w:w w:val="99"/>
          <w:sz w:val="32"/>
          <w:szCs w:val="32"/>
        </w:rPr>
        <w:t>农村经济新业态。</w:t>
      </w:r>
    </w:p>
    <w:p w14:paraId="3B6A108A">
      <w:pPr>
        <w:spacing w:before="19" w:line="338" w:lineRule="auto"/>
        <w:ind w:left="213" w:right="120" w:firstLine="664"/>
        <w:rPr>
          <w:sz w:val="32"/>
          <w:szCs w:val="32"/>
        </w:rPr>
      </w:pPr>
      <w:r>
        <w:rPr>
          <w:b/>
          <w:spacing w:val="12"/>
          <w:sz w:val="32"/>
          <w:szCs w:val="32"/>
        </w:rPr>
        <w:t>精细化管</w:t>
      </w:r>
      <w:r>
        <w:rPr>
          <w:b/>
          <w:spacing w:val="6"/>
          <w:sz w:val="32"/>
          <w:szCs w:val="32"/>
        </w:rPr>
        <w:t>理。</w:t>
      </w:r>
      <w:r>
        <w:rPr>
          <w:spacing w:val="12"/>
          <w:sz w:val="32"/>
          <w:szCs w:val="32"/>
        </w:rPr>
        <w:t>以人民为</w:t>
      </w:r>
      <w:r>
        <w:rPr>
          <w:spacing w:val="8"/>
          <w:sz w:val="32"/>
          <w:szCs w:val="32"/>
        </w:rPr>
        <w:t>中心，出台</w:t>
      </w:r>
      <w:r>
        <w:rPr>
          <w:spacing w:val="12"/>
          <w:sz w:val="32"/>
          <w:szCs w:val="32"/>
        </w:rPr>
        <w:t>村级公共服务设</w:t>
      </w:r>
      <w:r>
        <w:rPr>
          <w:spacing w:val="8"/>
          <w:sz w:val="32"/>
          <w:szCs w:val="32"/>
        </w:rPr>
        <w:t>施长效</w:t>
      </w:r>
      <w:r>
        <w:rPr>
          <w:spacing w:val="17"/>
          <w:sz w:val="32"/>
          <w:szCs w:val="32"/>
        </w:rPr>
        <w:t>管理政策，科学建立乡村长效管护“五有”机制</w:t>
      </w:r>
      <w:r>
        <w:rPr>
          <w:spacing w:val="-65"/>
          <w:sz w:val="32"/>
          <w:szCs w:val="32"/>
        </w:rPr>
        <w:t>。“</w:t>
      </w:r>
      <w:r>
        <w:rPr>
          <w:spacing w:val="17"/>
          <w:sz w:val="32"/>
          <w:szCs w:val="32"/>
        </w:rPr>
        <w:t>五有</w:t>
      </w:r>
      <w:r>
        <w:rPr>
          <w:spacing w:val="8"/>
          <w:sz w:val="32"/>
          <w:szCs w:val="32"/>
        </w:rPr>
        <w:t>”即</w:t>
      </w:r>
      <w:r>
        <w:rPr>
          <w:spacing w:val="8"/>
          <w:w w:val="95"/>
          <w:sz w:val="32"/>
          <w:szCs w:val="32"/>
        </w:rPr>
        <w:t>有制度，健全</w:t>
      </w:r>
      <w:r>
        <w:rPr>
          <w:spacing w:val="12"/>
          <w:w w:val="95"/>
          <w:sz w:val="32"/>
          <w:szCs w:val="32"/>
        </w:rPr>
        <w:t>民主</w:t>
      </w:r>
      <w:r>
        <w:rPr>
          <w:spacing w:val="9"/>
          <w:w w:val="95"/>
          <w:sz w:val="32"/>
          <w:szCs w:val="32"/>
        </w:rPr>
        <w:t>议事、建房</w:t>
      </w:r>
      <w:r>
        <w:rPr>
          <w:spacing w:val="12"/>
          <w:w w:val="95"/>
          <w:sz w:val="32"/>
          <w:szCs w:val="32"/>
        </w:rPr>
        <w:t>管理</w:t>
      </w:r>
      <w:r>
        <w:rPr>
          <w:spacing w:val="8"/>
          <w:w w:val="95"/>
          <w:sz w:val="32"/>
          <w:szCs w:val="32"/>
        </w:rPr>
        <w:t>、卫生</w:t>
      </w:r>
      <w:r>
        <w:rPr>
          <w:spacing w:val="12"/>
          <w:w w:val="95"/>
          <w:sz w:val="32"/>
          <w:szCs w:val="32"/>
        </w:rPr>
        <w:t>保洁等制度</w:t>
      </w:r>
      <w:r>
        <w:rPr>
          <w:spacing w:val="7"/>
          <w:w w:val="95"/>
          <w:sz w:val="32"/>
          <w:szCs w:val="32"/>
        </w:rPr>
        <w:t>；有标准，</w:t>
      </w:r>
      <w:r>
        <w:rPr>
          <w:spacing w:val="12"/>
          <w:sz w:val="32"/>
          <w:szCs w:val="32"/>
        </w:rPr>
        <w:t>将乡村各类基础</w:t>
      </w:r>
      <w:r>
        <w:rPr>
          <w:spacing w:val="8"/>
          <w:sz w:val="32"/>
          <w:szCs w:val="32"/>
        </w:rPr>
        <w:t>设施、服务</w:t>
      </w:r>
      <w:r>
        <w:rPr>
          <w:spacing w:val="12"/>
          <w:sz w:val="32"/>
          <w:szCs w:val="32"/>
        </w:rPr>
        <w:t>场所等纳入日常管</w:t>
      </w:r>
      <w:r>
        <w:rPr>
          <w:spacing w:val="7"/>
          <w:sz w:val="32"/>
          <w:szCs w:val="32"/>
        </w:rPr>
        <w:t>护范围，并明确</w:t>
      </w:r>
    </w:p>
    <w:p w14:paraId="5DB8DB7F">
      <w:pPr>
        <w:spacing w:line="338" w:lineRule="auto"/>
        <w:sectPr>
          <w:pgSz w:w="11910" w:h="16840"/>
          <w:pgMar w:top="1800" w:right="1200" w:bottom="1160" w:left="1260" w:header="0" w:footer="975" w:gutter="0"/>
          <w:cols w:space="720" w:num="1"/>
        </w:sectPr>
      </w:pPr>
    </w:p>
    <w:p w14:paraId="514AA21E">
      <w:pPr>
        <w:spacing w:before="28" w:line="338" w:lineRule="auto"/>
        <w:ind w:left="213" w:right="283"/>
        <w:jc w:val="both"/>
        <w:rPr>
          <w:sz w:val="32"/>
          <w:szCs w:val="32"/>
        </w:rPr>
      </w:pPr>
      <w:r>
        <w:rPr>
          <w:spacing w:val="9"/>
          <w:w w:val="99"/>
          <w:sz w:val="32"/>
          <w:szCs w:val="32"/>
        </w:rPr>
        <w:t>相应的具体管护要求；有队伍，通过乡村就地选聘、政府购买</w:t>
      </w:r>
      <w:r>
        <w:rPr>
          <w:spacing w:val="10"/>
          <w:w w:val="99"/>
          <w:sz w:val="32"/>
          <w:szCs w:val="32"/>
        </w:rPr>
        <w:t>服务等方式，配备精干高效、责任心强的乡村管护人员；有经</w:t>
      </w:r>
      <w:r>
        <w:rPr>
          <w:spacing w:val="9"/>
          <w:w w:val="99"/>
          <w:sz w:val="32"/>
          <w:szCs w:val="32"/>
        </w:rPr>
        <w:t>费，探索建立财政补助、村集体投入、农户适当付费相结合的</w:t>
      </w:r>
      <w:r>
        <w:rPr>
          <w:spacing w:val="10"/>
          <w:w w:val="99"/>
          <w:sz w:val="32"/>
          <w:szCs w:val="32"/>
        </w:rPr>
        <w:t>经费保障制度；有督查，通过聘请义务监督员、区镇不定期检</w:t>
      </w:r>
      <w:r>
        <w:rPr>
          <w:spacing w:val="9"/>
          <w:w w:val="99"/>
          <w:sz w:val="32"/>
          <w:szCs w:val="32"/>
        </w:rPr>
        <w:t>查和定期考核等方式，确保乡村长效管理机制运行有效、群众</w:t>
      </w:r>
      <w:r>
        <w:rPr>
          <w:spacing w:val="5"/>
          <w:w w:val="99"/>
          <w:sz w:val="32"/>
          <w:szCs w:val="32"/>
        </w:rPr>
        <w:t>满意。持续开展“最美家庭”“美丽庭院”等评比活动，涵育</w:t>
      </w:r>
      <w:r>
        <w:rPr>
          <w:spacing w:val="9"/>
          <w:w w:val="99"/>
          <w:sz w:val="32"/>
          <w:szCs w:val="32"/>
        </w:rPr>
        <w:t>文明乡风。</w:t>
      </w:r>
    </w:p>
    <w:p w14:paraId="373A27A6">
      <w:pPr>
        <w:spacing w:line="407" w:lineRule="exact"/>
        <w:ind w:left="878"/>
        <w:rPr>
          <w:rFonts w:ascii="黑体" w:eastAsia="黑体"/>
          <w:sz w:val="32"/>
          <w:szCs w:val="32"/>
        </w:rPr>
      </w:pPr>
      <w:r>
        <w:rPr>
          <w:rFonts w:ascii="黑体" w:eastAsia="黑体"/>
          <w:spacing w:val="12"/>
          <w:w w:val="95"/>
          <w:sz w:val="32"/>
          <w:szCs w:val="32"/>
        </w:rPr>
        <w:t>三、实</w:t>
      </w:r>
      <w:r>
        <w:rPr>
          <w:rFonts w:ascii="黑体" w:eastAsia="黑体"/>
          <w:spacing w:val="14"/>
          <w:w w:val="95"/>
          <w:sz w:val="32"/>
          <w:szCs w:val="32"/>
        </w:rPr>
        <w:t>现</w:t>
      </w:r>
      <w:r>
        <w:rPr>
          <w:rFonts w:ascii="黑体" w:eastAsia="黑体"/>
          <w:spacing w:val="12"/>
          <w:w w:val="95"/>
          <w:sz w:val="32"/>
          <w:szCs w:val="32"/>
        </w:rPr>
        <w:t>巩固</w:t>
      </w:r>
      <w:r>
        <w:rPr>
          <w:rFonts w:ascii="黑体" w:eastAsia="黑体"/>
          <w:spacing w:val="14"/>
          <w:w w:val="95"/>
          <w:sz w:val="32"/>
          <w:szCs w:val="32"/>
        </w:rPr>
        <w:t>拓</w:t>
      </w:r>
      <w:r>
        <w:rPr>
          <w:rFonts w:ascii="黑体" w:eastAsia="黑体"/>
          <w:spacing w:val="12"/>
          <w:w w:val="95"/>
          <w:sz w:val="32"/>
          <w:szCs w:val="32"/>
        </w:rPr>
        <w:t>展脱</w:t>
      </w:r>
      <w:r>
        <w:rPr>
          <w:rFonts w:ascii="黑体" w:eastAsia="黑体"/>
          <w:spacing w:val="14"/>
          <w:w w:val="95"/>
          <w:sz w:val="32"/>
          <w:szCs w:val="32"/>
        </w:rPr>
        <w:t>贫</w:t>
      </w:r>
      <w:r>
        <w:rPr>
          <w:rFonts w:ascii="黑体" w:eastAsia="黑体"/>
          <w:spacing w:val="12"/>
          <w:w w:val="95"/>
          <w:sz w:val="32"/>
          <w:szCs w:val="32"/>
        </w:rPr>
        <w:t>攻坚</w:t>
      </w:r>
      <w:r>
        <w:rPr>
          <w:rFonts w:ascii="黑体" w:eastAsia="黑体"/>
          <w:spacing w:val="14"/>
          <w:w w:val="95"/>
          <w:sz w:val="32"/>
          <w:szCs w:val="32"/>
        </w:rPr>
        <w:t>成</w:t>
      </w:r>
      <w:r>
        <w:rPr>
          <w:rFonts w:ascii="黑体" w:eastAsia="黑体"/>
          <w:spacing w:val="12"/>
          <w:w w:val="95"/>
          <w:sz w:val="32"/>
          <w:szCs w:val="32"/>
        </w:rPr>
        <w:t>果同</w:t>
      </w:r>
      <w:r>
        <w:rPr>
          <w:rFonts w:ascii="黑体" w:eastAsia="黑体"/>
          <w:spacing w:val="14"/>
          <w:w w:val="95"/>
          <w:sz w:val="32"/>
          <w:szCs w:val="32"/>
        </w:rPr>
        <w:t>乡</w:t>
      </w:r>
      <w:r>
        <w:rPr>
          <w:rFonts w:ascii="黑体" w:eastAsia="黑体"/>
          <w:spacing w:val="12"/>
          <w:w w:val="95"/>
          <w:sz w:val="32"/>
          <w:szCs w:val="32"/>
        </w:rPr>
        <w:t>村振</w:t>
      </w:r>
      <w:r>
        <w:rPr>
          <w:rFonts w:ascii="黑体" w:eastAsia="黑体"/>
          <w:spacing w:val="14"/>
          <w:w w:val="95"/>
          <w:sz w:val="32"/>
          <w:szCs w:val="32"/>
        </w:rPr>
        <w:t>兴</w:t>
      </w:r>
      <w:r>
        <w:rPr>
          <w:rFonts w:ascii="黑体" w:eastAsia="黑体"/>
          <w:spacing w:val="12"/>
          <w:w w:val="95"/>
          <w:sz w:val="32"/>
          <w:szCs w:val="32"/>
        </w:rPr>
        <w:t>有效</w:t>
      </w:r>
      <w:r>
        <w:rPr>
          <w:rFonts w:ascii="黑体" w:eastAsia="黑体"/>
          <w:spacing w:val="1"/>
          <w:w w:val="95"/>
          <w:sz w:val="32"/>
          <w:szCs w:val="32"/>
        </w:rPr>
        <w:t>衔接</w:t>
      </w:r>
    </w:p>
    <w:p w14:paraId="4D0FE179">
      <w:pPr>
        <w:spacing w:before="166" w:line="340" w:lineRule="auto"/>
        <w:ind w:left="213" w:right="285" w:firstLine="664"/>
        <w:jc w:val="both"/>
        <w:rPr>
          <w:sz w:val="32"/>
          <w:szCs w:val="32"/>
        </w:rPr>
      </w:pPr>
      <w:r>
        <w:rPr>
          <w:spacing w:val="10"/>
          <w:w w:val="99"/>
          <w:sz w:val="32"/>
          <w:szCs w:val="32"/>
        </w:rPr>
        <w:t>以消除绝对贫困为新起点，多措并举巩固提升脱贫攻坚成</w:t>
      </w:r>
      <w:r>
        <w:rPr>
          <w:spacing w:val="17"/>
          <w:w w:val="99"/>
          <w:sz w:val="32"/>
          <w:szCs w:val="32"/>
        </w:rPr>
        <w:t>果，围绕“两不愁、三保障”突出短板。到</w:t>
      </w:r>
      <w:r>
        <w:rPr>
          <w:spacing w:val="-59"/>
          <w:sz w:val="32"/>
          <w:szCs w:val="32"/>
        </w:rPr>
        <w:t xml:space="preserve"> </w:t>
      </w:r>
      <w:r>
        <w:rPr>
          <w:rFonts w:ascii="Calibri" w:hAnsi="Calibri" w:eastAsia="Calibri"/>
          <w:spacing w:val="3"/>
          <w:w w:val="99"/>
          <w:sz w:val="32"/>
          <w:szCs w:val="32"/>
        </w:rPr>
        <w:t>2</w:t>
      </w:r>
      <w:r>
        <w:rPr>
          <w:rFonts w:ascii="Calibri" w:hAnsi="Calibri" w:eastAsia="Calibri"/>
          <w:spacing w:val="6"/>
          <w:w w:val="99"/>
          <w:sz w:val="32"/>
          <w:szCs w:val="32"/>
        </w:rPr>
        <w:t>02</w:t>
      </w:r>
      <w:r>
        <w:rPr>
          <w:rFonts w:ascii="Calibri" w:hAnsi="Calibri" w:eastAsia="Calibri"/>
          <w:w w:val="99"/>
          <w:sz w:val="32"/>
          <w:szCs w:val="32"/>
        </w:rPr>
        <w:t>5</w:t>
      </w:r>
      <w:r>
        <w:rPr>
          <w:rFonts w:ascii="Calibri" w:hAnsi="Calibri" w:eastAsia="Calibri"/>
          <w:spacing w:val="27"/>
          <w:sz w:val="32"/>
          <w:szCs w:val="32"/>
        </w:rPr>
        <w:t xml:space="preserve"> </w:t>
      </w:r>
      <w:r>
        <w:rPr>
          <w:spacing w:val="14"/>
          <w:w w:val="99"/>
          <w:sz w:val="32"/>
          <w:szCs w:val="32"/>
        </w:rPr>
        <w:t>年，“两不</w:t>
      </w:r>
      <w:r>
        <w:rPr>
          <w:spacing w:val="9"/>
          <w:w w:val="99"/>
          <w:sz w:val="32"/>
          <w:szCs w:val="32"/>
        </w:rPr>
        <w:t>愁三保障”治理水平大幅提升，大面积消除各类致贫因素，将</w:t>
      </w:r>
      <w:r>
        <w:rPr>
          <w:spacing w:val="10"/>
          <w:w w:val="99"/>
          <w:sz w:val="32"/>
          <w:szCs w:val="32"/>
        </w:rPr>
        <w:t>金凤区打造成为黄河流域脱贫发展示范区，实现全面脱贫与乡村振兴的有机衔接。</w:t>
      </w:r>
    </w:p>
    <w:p w14:paraId="7549B473">
      <w:pPr>
        <w:spacing w:line="340" w:lineRule="auto"/>
        <w:ind w:left="213" w:right="278" w:firstLine="664"/>
        <w:jc w:val="both"/>
        <w:rPr>
          <w:sz w:val="32"/>
          <w:szCs w:val="32"/>
        </w:rPr>
      </w:pPr>
      <w:r>
        <w:rPr>
          <w:b/>
          <w:spacing w:val="12"/>
          <w:w w:val="99"/>
          <w:sz w:val="32"/>
          <w:szCs w:val="32"/>
        </w:rPr>
        <w:t>巩固脱贫攻坚成效。</w:t>
      </w:r>
      <w:r>
        <w:rPr>
          <w:spacing w:val="10"/>
          <w:w w:val="99"/>
          <w:sz w:val="32"/>
          <w:szCs w:val="32"/>
        </w:rPr>
        <w:t>强化就业扶贫、产业扶贫和易地扶贫</w:t>
      </w:r>
      <w:r>
        <w:rPr>
          <w:spacing w:val="11"/>
          <w:w w:val="99"/>
          <w:sz w:val="32"/>
          <w:szCs w:val="32"/>
        </w:rPr>
        <w:t>搬迁后续扶持，保持脱贫攻坚政策稳定，严格落实“三不变” “四不摘”政策要求，建立防止返贫监测和帮扶机制，防止因</w:t>
      </w:r>
      <w:r>
        <w:rPr>
          <w:spacing w:val="10"/>
          <w:w w:val="99"/>
          <w:sz w:val="32"/>
          <w:szCs w:val="32"/>
        </w:rPr>
        <w:t>疫返贫、因病返贫、因灾返贫，确保脱贫不稳定户不返贫、边缘易致贫户不致贫。</w:t>
      </w:r>
    </w:p>
    <w:p w14:paraId="279C8349">
      <w:pPr>
        <w:spacing w:line="338" w:lineRule="auto"/>
        <w:ind w:left="213" w:right="283" w:firstLine="664"/>
        <w:jc w:val="both"/>
        <w:rPr>
          <w:sz w:val="32"/>
          <w:szCs w:val="32"/>
        </w:rPr>
      </w:pPr>
      <w:r>
        <w:rPr>
          <w:b/>
          <w:spacing w:val="26"/>
          <w:w w:val="99"/>
          <w:sz w:val="32"/>
          <w:szCs w:val="32"/>
        </w:rPr>
        <w:t>完善移民搬迁扶持政策。</w:t>
      </w:r>
      <w:r>
        <w:rPr>
          <w:spacing w:val="24"/>
          <w:w w:val="99"/>
          <w:sz w:val="32"/>
          <w:szCs w:val="32"/>
        </w:rPr>
        <w:t>加大易地扶贫搬迁后续帮扶力</w:t>
      </w:r>
      <w:r>
        <w:rPr>
          <w:spacing w:val="9"/>
          <w:w w:val="99"/>
          <w:sz w:val="32"/>
          <w:szCs w:val="32"/>
        </w:rPr>
        <w:t>度，重点解决好产业、就业、社会融入三件事情，确保移民群</w:t>
      </w:r>
      <w:r>
        <w:rPr>
          <w:spacing w:val="10"/>
          <w:w w:val="99"/>
          <w:sz w:val="32"/>
          <w:szCs w:val="32"/>
        </w:rPr>
        <w:t>众搬得出、稳得住、能致富。增强群众内生动力，坚持扶贫与</w:t>
      </w:r>
      <w:r>
        <w:rPr>
          <w:spacing w:val="9"/>
          <w:w w:val="99"/>
          <w:sz w:val="32"/>
          <w:szCs w:val="32"/>
        </w:rPr>
        <w:t>扶智、扶志相结合，引导群众树立脱贫主体意识，激发贫困群众的积极性、主动性、创造性，依靠自已的双手创造更加美好</w:t>
      </w:r>
    </w:p>
    <w:p w14:paraId="654C0E44">
      <w:pPr>
        <w:spacing w:line="338" w:lineRule="auto"/>
        <w:jc w:val="both"/>
        <w:sectPr>
          <w:pgSz w:w="11910" w:h="16840"/>
          <w:pgMar w:top="1800" w:right="1200" w:bottom="1160" w:left="1260" w:header="0" w:footer="975" w:gutter="0"/>
          <w:cols w:space="720" w:num="1"/>
        </w:sectPr>
      </w:pPr>
    </w:p>
    <w:p w14:paraId="59D70BD3">
      <w:pPr>
        <w:spacing w:before="28"/>
        <w:ind w:left="213"/>
        <w:rPr>
          <w:sz w:val="32"/>
          <w:szCs w:val="32"/>
        </w:rPr>
      </w:pPr>
      <w:r>
        <w:rPr>
          <w:spacing w:val="12"/>
          <w:w w:val="95"/>
          <w:sz w:val="32"/>
          <w:szCs w:val="32"/>
        </w:rPr>
        <w:t>的新生活</w:t>
      </w:r>
      <w:r>
        <w:rPr>
          <w:spacing w:val="-10"/>
          <w:w w:val="95"/>
          <w:sz w:val="32"/>
          <w:szCs w:val="32"/>
        </w:rPr>
        <w:t>。</w:t>
      </w:r>
    </w:p>
    <w:p w14:paraId="29ED75D8">
      <w:pPr>
        <w:spacing w:before="170" w:line="338" w:lineRule="auto"/>
        <w:ind w:left="213" w:right="283" w:firstLine="664"/>
        <w:jc w:val="both"/>
        <w:rPr>
          <w:sz w:val="32"/>
          <w:szCs w:val="32"/>
        </w:rPr>
      </w:pPr>
      <w:r>
        <w:rPr>
          <w:b/>
          <w:spacing w:val="10"/>
          <w:w w:val="99"/>
          <w:sz w:val="32"/>
          <w:szCs w:val="32"/>
        </w:rPr>
        <w:t>建立解决相对贫困长效机制。</w:t>
      </w:r>
      <w:r>
        <w:rPr>
          <w:spacing w:val="11"/>
          <w:w w:val="99"/>
          <w:sz w:val="32"/>
          <w:szCs w:val="32"/>
        </w:rPr>
        <w:t>建立动态调整的相对贫困认</w:t>
      </w:r>
      <w:r>
        <w:rPr>
          <w:spacing w:val="23"/>
          <w:w w:val="99"/>
          <w:sz w:val="32"/>
          <w:szCs w:val="32"/>
        </w:rPr>
        <w:t>定标准，完善相对贫困村的基础设施建设和基本公共服务供</w:t>
      </w:r>
      <w:r>
        <w:rPr>
          <w:spacing w:val="9"/>
          <w:w w:val="99"/>
          <w:sz w:val="32"/>
          <w:szCs w:val="32"/>
        </w:rPr>
        <w:t>给，支持设施种植、社区工厂、乡村旅游等产业项目向相对贫</w:t>
      </w:r>
      <w:r>
        <w:rPr>
          <w:spacing w:val="11"/>
          <w:w w:val="99"/>
          <w:sz w:val="32"/>
          <w:szCs w:val="32"/>
        </w:rPr>
        <w:t>困人口和城市贫困人口倾斜。</w:t>
      </w:r>
    </w:p>
    <w:p w14:paraId="15CEB14B">
      <w:pPr>
        <w:spacing w:before="6" w:line="338" w:lineRule="auto"/>
        <w:ind w:left="213" w:right="282" w:firstLine="664"/>
        <w:jc w:val="both"/>
        <w:rPr>
          <w:sz w:val="32"/>
          <w:szCs w:val="32"/>
        </w:rPr>
      </w:pPr>
      <w:r>
        <w:rPr>
          <w:b/>
          <w:spacing w:val="10"/>
          <w:w w:val="99"/>
          <w:sz w:val="32"/>
          <w:szCs w:val="32"/>
        </w:rPr>
        <w:t>用好脱贫攻坚社会帮扶力量。</w:t>
      </w:r>
      <w:r>
        <w:rPr>
          <w:spacing w:val="11"/>
          <w:w w:val="99"/>
          <w:sz w:val="32"/>
          <w:szCs w:val="32"/>
        </w:rPr>
        <w:t>持续深化与周边省区在产业</w:t>
      </w:r>
      <w:r>
        <w:rPr>
          <w:spacing w:val="10"/>
          <w:w w:val="99"/>
          <w:sz w:val="32"/>
          <w:szCs w:val="32"/>
        </w:rPr>
        <w:t>协作、劳务合作、消费扶贫、人才交流、社会帮扶等方面的对</w:t>
      </w:r>
      <w:r>
        <w:rPr>
          <w:spacing w:val="11"/>
          <w:w w:val="99"/>
          <w:sz w:val="32"/>
          <w:szCs w:val="32"/>
        </w:rPr>
        <w:t>接，争取更多的人才、资源、信息流入金凤，更多的产品、劳务、服务流向福建等外地市场，形成强大的社会帮扶合力。</w:t>
      </w:r>
    </w:p>
    <w:p w14:paraId="35744B36">
      <w:pPr>
        <w:spacing w:line="367" w:lineRule="exact"/>
        <w:ind w:left="1053"/>
        <w:rPr>
          <w:rFonts w:ascii="宋体" w:eastAsia="宋体"/>
          <w:b/>
          <w:sz w:val="30"/>
        </w:rPr>
      </w:pPr>
      <w:r>
        <w:rPr>
          <w:rFonts w:hint="eastAsia" w:ascii="宋体" w:eastAsia="宋体"/>
          <w:b/>
          <w:sz w:val="30"/>
        </w:rPr>
        <w:t>第六章</w:t>
      </w:r>
      <w:r>
        <w:rPr>
          <w:rFonts w:hint="eastAsia" w:ascii="宋体" w:eastAsia="宋体"/>
          <w:b/>
          <w:spacing w:val="42"/>
          <w:w w:val="150"/>
          <w:sz w:val="30"/>
        </w:rPr>
        <w:t xml:space="preserve"> </w:t>
      </w:r>
      <w:r>
        <w:rPr>
          <w:rFonts w:hint="eastAsia" w:ascii="宋体" w:eastAsia="宋体"/>
          <w:b/>
          <w:sz w:val="30"/>
        </w:rPr>
        <w:t>提升城乡基础设施保障能</w:t>
      </w:r>
      <w:r>
        <w:rPr>
          <w:rFonts w:hint="eastAsia" w:ascii="宋体" w:eastAsia="宋体"/>
          <w:b/>
          <w:spacing w:val="-10"/>
          <w:sz w:val="30"/>
        </w:rPr>
        <w:t>力</w:t>
      </w:r>
    </w:p>
    <w:p w14:paraId="49761C9A">
      <w:pPr>
        <w:spacing w:before="266" w:line="340" w:lineRule="auto"/>
        <w:ind w:left="213" w:right="120" w:firstLine="664"/>
        <w:rPr>
          <w:sz w:val="32"/>
          <w:szCs w:val="32"/>
        </w:rPr>
      </w:pPr>
      <w:r>
        <w:rPr>
          <w:spacing w:val="10"/>
          <w:w w:val="99"/>
          <w:sz w:val="32"/>
          <w:szCs w:val="32"/>
        </w:rPr>
        <w:t>加快推进现代化市政基础设施建设，以便捷的交通网支撑</w:t>
      </w:r>
      <w:r>
        <w:rPr>
          <w:spacing w:val="-2"/>
          <w:w w:val="99"/>
          <w:sz w:val="32"/>
          <w:szCs w:val="32"/>
        </w:rPr>
        <w:t>区域内外贯通，加快建设智慧城区，全面提升区域形态和功能。</w:t>
      </w:r>
      <w:r>
        <w:rPr>
          <w:spacing w:val="11"/>
          <w:w w:val="99"/>
          <w:sz w:val="32"/>
          <w:szCs w:val="32"/>
        </w:rPr>
        <w:t>大力实行部门、街道、社区分级管理的城市管理体制，理顺城</w:t>
      </w:r>
      <w:r>
        <w:rPr>
          <w:spacing w:val="9"/>
          <w:w w:val="99"/>
          <w:sz w:val="32"/>
          <w:szCs w:val="32"/>
        </w:rPr>
        <w:t>市规划、建设、管理职能的协调机制，实现“规建管”无缝衔</w:t>
      </w:r>
      <w:r>
        <w:rPr>
          <w:spacing w:val="6"/>
          <w:w w:val="99"/>
          <w:sz w:val="32"/>
          <w:szCs w:val="32"/>
        </w:rPr>
        <w:t>接。</w:t>
      </w:r>
    </w:p>
    <w:p w14:paraId="53340C72">
      <w:pPr>
        <w:spacing w:before="129"/>
        <w:ind w:left="2353" w:right="2422"/>
        <w:jc w:val="center"/>
        <w:outlineLvl w:val="0"/>
        <w:rPr>
          <w:rFonts w:ascii="宋体" w:hAnsi="宋体" w:eastAsia="宋体" w:cs="宋体"/>
          <w:b/>
          <w:bCs/>
          <w:sz w:val="32"/>
          <w:szCs w:val="32"/>
        </w:rPr>
      </w:pPr>
      <w:r>
        <w:rPr>
          <w:rFonts w:ascii="宋体" w:hAnsi="宋体" w:eastAsia="宋体" w:cs="宋体"/>
          <w:b/>
          <w:bCs/>
          <w:spacing w:val="14"/>
          <w:sz w:val="32"/>
          <w:szCs w:val="32"/>
        </w:rPr>
        <w:t>第一</w:t>
      </w:r>
      <w:r>
        <w:rPr>
          <w:rFonts w:ascii="宋体" w:hAnsi="宋体" w:eastAsia="宋体" w:cs="宋体"/>
          <w:b/>
          <w:bCs/>
          <w:spacing w:val="56"/>
          <w:sz w:val="32"/>
          <w:szCs w:val="32"/>
        </w:rPr>
        <w:t>节 强</w:t>
      </w:r>
      <w:r>
        <w:rPr>
          <w:rFonts w:ascii="宋体" w:hAnsi="宋体" w:eastAsia="宋体" w:cs="宋体"/>
          <w:b/>
          <w:bCs/>
          <w:spacing w:val="14"/>
          <w:sz w:val="32"/>
          <w:szCs w:val="32"/>
        </w:rPr>
        <w:t>化信</w:t>
      </w:r>
      <w:r>
        <w:rPr>
          <w:rFonts w:ascii="宋体" w:hAnsi="宋体" w:eastAsia="宋体" w:cs="宋体"/>
          <w:b/>
          <w:bCs/>
          <w:spacing w:val="12"/>
          <w:sz w:val="32"/>
          <w:szCs w:val="32"/>
        </w:rPr>
        <w:t>息</w:t>
      </w:r>
      <w:r>
        <w:rPr>
          <w:rFonts w:ascii="宋体" w:hAnsi="宋体" w:eastAsia="宋体" w:cs="宋体"/>
          <w:b/>
          <w:bCs/>
          <w:spacing w:val="14"/>
          <w:sz w:val="32"/>
          <w:szCs w:val="32"/>
        </w:rPr>
        <w:t>网络体系建</w:t>
      </w:r>
      <w:r>
        <w:rPr>
          <w:rFonts w:ascii="宋体" w:hAnsi="宋体" w:eastAsia="宋体" w:cs="宋体"/>
          <w:b/>
          <w:bCs/>
          <w:spacing w:val="-10"/>
          <w:sz w:val="32"/>
          <w:szCs w:val="32"/>
        </w:rPr>
        <w:t>设</w:t>
      </w:r>
    </w:p>
    <w:p w14:paraId="0ECE5CB7">
      <w:pPr>
        <w:spacing w:before="2"/>
        <w:rPr>
          <w:rFonts w:ascii="宋体"/>
          <w:b/>
          <w:sz w:val="25"/>
          <w:szCs w:val="32"/>
        </w:rPr>
      </w:pPr>
    </w:p>
    <w:p w14:paraId="1DC79028">
      <w:pPr>
        <w:spacing w:line="338" w:lineRule="auto"/>
        <w:ind w:left="213" w:right="285" w:firstLine="664"/>
        <w:jc w:val="both"/>
        <w:rPr>
          <w:sz w:val="32"/>
          <w:szCs w:val="32"/>
        </w:rPr>
      </w:pPr>
      <w:r>
        <w:rPr>
          <w:spacing w:val="9"/>
          <w:w w:val="99"/>
          <w:sz w:val="32"/>
          <w:szCs w:val="32"/>
        </w:rPr>
        <w:t>坚持信息技术全面融入，以智慧型的城市生活、智能化的</w:t>
      </w:r>
      <w:r>
        <w:rPr>
          <w:spacing w:val="23"/>
          <w:w w:val="99"/>
          <w:sz w:val="32"/>
          <w:szCs w:val="32"/>
        </w:rPr>
        <w:t>城市产业和信息化的政府服务为重点，围绕新型智慧社区建</w:t>
      </w:r>
      <w:r>
        <w:rPr>
          <w:spacing w:val="10"/>
          <w:w w:val="99"/>
          <w:sz w:val="32"/>
          <w:szCs w:val="32"/>
        </w:rPr>
        <w:t>设，全力构建城市发展的智慧环境，建设面向未来的智慧城区</w:t>
      </w:r>
      <w:r>
        <w:rPr>
          <w:spacing w:val="8"/>
          <w:w w:val="99"/>
          <w:sz w:val="32"/>
          <w:szCs w:val="32"/>
        </w:rPr>
        <w:t>形态。</w:t>
      </w:r>
    </w:p>
    <w:p w14:paraId="0BF20070">
      <w:pPr>
        <w:spacing w:line="402" w:lineRule="exact"/>
        <w:ind w:left="878"/>
        <w:rPr>
          <w:rFonts w:ascii="黑体" w:eastAsia="黑体"/>
          <w:sz w:val="32"/>
          <w:szCs w:val="32"/>
        </w:rPr>
      </w:pPr>
      <w:r>
        <w:rPr>
          <w:rFonts w:ascii="黑体" w:eastAsia="黑体"/>
          <w:spacing w:val="12"/>
          <w:w w:val="95"/>
          <w:sz w:val="32"/>
          <w:szCs w:val="32"/>
        </w:rPr>
        <w:t>一、扩大</w:t>
      </w:r>
      <w:r>
        <w:rPr>
          <w:rFonts w:ascii="黑体" w:eastAsia="黑体"/>
          <w:spacing w:val="14"/>
          <w:w w:val="95"/>
          <w:sz w:val="32"/>
          <w:szCs w:val="32"/>
        </w:rPr>
        <w:t>信</w:t>
      </w:r>
      <w:r>
        <w:rPr>
          <w:rFonts w:ascii="黑体" w:eastAsia="黑体"/>
          <w:spacing w:val="12"/>
          <w:w w:val="95"/>
          <w:sz w:val="32"/>
          <w:szCs w:val="32"/>
        </w:rPr>
        <w:t>息网</w:t>
      </w:r>
      <w:r>
        <w:rPr>
          <w:rFonts w:ascii="黑体" w:eastAsia="黑体"/>
          <w:spacing w:val="14"/>
          <w:w w:val="95"/>
          <w:sz w:val="32"/>
          <w:szCs w:val="32"/>
        </w:rPr>
        <w:t>络</w:t>
      </w:r>
      <w:r>
        <w:rPr>
          <w:rFonts w:ascii="黑体" w:eastAsia="黑体"/>
          <w:spacing w:val="12"/>
          <w:w w:val="95"/>
          <w:sz w:val="32"/>
          <w:szCs w:val="32"/>
        </w:rPr>
        <w:t>覆盖</w:t>
      </w:r>
      <w:r>
        <w:rPr>
          <w:rFonts w:ascii="黑体" w:eastAsia="黑体"/>
          <w:spacing w:val="-10"/>
          <w:w w:val="95"/>
          <w:sz w:val="32"/>
          <w:szCs w:val="32"/>
        </w:rPr>
        <w:t>面</w:t>
      </w:r>
    </w:p>
    <w:p w14:paraId="5E077B1D">
      <w:pPr>
        <w:spacing w:before="166" w:line="338" w:lineRule="auto"/>
        <w:ind w:left="213" w:right="285" w:firstLine="664"/>
        <w:rPr>
          <w:sz w:val="32"/>
          <w:szCs w:val="32"/>
        </w:rPr>
      </w:pPr>
      <w:r>
        <w:rPr>
          <w:spacing w:val="6"/>
          <w:w w:val="99"/>
          <w:sz w:val="32"/>
          <w:szCs w:val="32"/>
        </w:rPr>
        <w:t>打造高网速、全覆盖“宽带金凤”，重点实施光纤宽带网</w:t>
      </w:r>
      <w:r>
        <w:rPr>
          <w:spacing w:val="10"/>
          <w:w w:val="99"/>
          <w:sz w:val="32"/>
          <w:szCs w:val="32"/>
        </w:rPr>
        <w:t>络升级改造工程，优化升级移动通信网络，加快窄带物联网建</w:t>
      </w:r>
    </w:p>
    <w:p w14:paraId="2AD6412D">
      <w:pPr>
        <w:spacing w:line="338" w:lineRule="auto"/>
        <w:sectPr>
          <w:pgSz w:w="11910" w:h="16840"/>
          <w:pgMar w:top="1800" w:right="1200" w:bottom="1160" w:left="1260" w:header="0" w:footer="975" w:gutter="0"/>
          <w:cols w:space="720" w:num="1"/>
        </w:sectPr>
      </w:pPr>
    </w:p>
    <w:p w14:paraId="1DDC4162">
      <w:pPr>
        <w:spacing w:before="28" w:line="338" w:lineRule="auto"/>
        <w:ind w:left="213" w:right="278"/>
        <w:jc w:val="both"/>
        <w:rPr>
          <w:sz w:val="32"/>
          <w:szCs w:val="32"/>
        </w:rPr>
      </w:pPr>
      <w:r>
        <w:rPr>
          <w:spacing w:val="11"/>
          <w:w w:val="99"/>
          <w:sz w:val="32"/>
          <w:szCs w:val="32"/>
        </w:rPr>
        <w:t>设，加快推进下一代广播电视网升级和建设，建设泛在连接、</w:t>
      </w:r>
      <w:r>
        <w:rPr>
          <w:spacing w:val="16"/>
          <w:w w:val="99"/>
          <w:sz w:val="32"/>
          <w:szCs w:val="32"/>
        </w:rPr>
        <w:t>智能感知的信息通信网络，重点加快农村、校园及社区</w:t>
      </w:r>
      <w:r>
        <w:rPr>
          <w:spacing w:val="-59"/>
          <w:sz w:val="32"/>
          <w:szCs w:val="32"/>
        </w:rPr>
        <w:t xml:space="preserve"> </w:t>
      </w:r>
      <w:r>
        <w:rPr>
          <w:rFonts w:ascii="Calibri" w:hAnsi="Calibri" w:eastAsia="Calibri"/>
          <w:spacing w:val="3"/>
          <w:w w:val="99"/>
          <w:sz w:val="32"/>
          <w:szCs w:val="32"/>
        </w:rPr>
        <w:t>5</w:t>
      </w:r>
      <w:r>
        <w:rPr>
          <w:rFonts w:ascii="Calibri" w:hAnsi="Calibri" w:eastAsia="Calibri"/>
          <w:w w:val="99"/>
          <w:sz w:val="32"/>
          <w:szCs w:val="32"/>
        </w:rPr>
        <w:t>G</w:t>
      </w:r>
      <w:r>
        <w:rPr>
          <w:rFonts w:ascii="Calibri" w:hAnsi="Calibri" w:eastAsia="Calibri"/>
          <w:spacing w:val="26"/>
          <w:sz w:val="32"/>
          <w:szCs w:val="32"/>
        </w:rPr>
        <w:t xml:space="preserve"> </w:t>
      </w:r>
      <w:r>
        <w:rPr>
          <w:w w:val="99"/>
          <w:sz w:val="32"/>
          <w:szCs w:val="32"/>
        </w:rPr>
        <w:t>信号覆盖。到</w:t>
      </w:r>
      <w:r>
        <w:rPr>
          <w:spacing w:val="-64"/>
          <w:sz w:val="32"/>
          <w:szCs w:val="32"/>
        </w:rPr>
        <w:t xml:space="preserve"> </w:t>
      </w:r>
      <w:r>
        <w:rPr>
          <w:rFonts w:ascii="Calibri" w:hAnsi="Calibri" w:eastAsia="Calibri"/>
          <w:spacing w:val="3"/>
          <w:w w:val="99"/>
          <w:sz w:val="32"/>
          <w:szCs w:val="32"/>
        </w:rPr>
        <w:t>2</w:t>
      </w:r>
      <w:r>
        <w:rPr>
          <w:rFonts w:ascii="Calibri" w:hAnsi="Calibri" w:eastAsia="Calibri"/>
          <w:spacing w:val="6"/>
          <w:w w:val="99"/>
          <w:sz w:val="32"/>
          <w:szCs w:val="32"/>
        </w:rPr>
        <w:t>0</w:t>
      </w:r>
      <w:r>
        <w:rPr>
          <w:rFonts w:ascii="Calibri" w:hAnsi="Calibri" w:eastAsia="Calibri"/>
          <w:spacing w:val="8"/>
          <w:w w:val="99"/>
          <w:sz w:val="32"/>
          <w:szCs w:val="32"/>
        </w:rPr>
        <w:t>2</w:t>
      </w:r>
      <w:r>
        <w:rPr>
          <w:rFonts w:ascii="Calibri" w:hAnsi="Calibri" w:eastAsia="Calibri"/>
          <w:w w:val="99"/>
          <w:sz w:val="32"/>
          <w:szCs w:val="32"/>
        </w:rPr>
        <w:t>3</w:t>
      </w:r>
      <w:r>
        <w:rPr>
          <w:rFonts w:ascii="Calibri" w:hAnsi="Calibri" w:eastAsia="Calibri"/>
          <w:spacing w:val="17"/>
          <w:sz w:val="32"/>
          <w:szCs w:val="32"/>
        </w:rPr>
        <w:t xml:space="preserve"> </w:t>
      </w:r>
      <w:r>
        <w:rPr>
          <w:spacing w:val="-10"/>
          <w:w w:val="99"/>
          <w:sz w:val="32"/>
          <w:szCs w:val="32"/>
        </w:rPr>
        <w:t>年，</w:t>
      </w:r>
      <w:r>
        <w:rPr>
          <w:rFonts w:ascii="Calibri" w:hAnsi="Calibri" w:eastAsia="Calibri"/>
          <w:spacing w:val="3"/>
          <w:w w:val="99"/>
          <w:sz w:val="32"/>
          <w:szCs w:val="32"/>
        </w:rPr>
        <w:t>5</w:t>
      </w:r>
      <w:r>
        <w:rPr>
          <w:rFonts w:ascii="Calibri" w:hAnsi="Calibri" w:eastAsia="Calibri"/>
          <w:w w:val="99"/>
          <w:sz w:val="32"/>
          <w:szCs w:val="32"/>
        </w:rPr>
        <w:t>G</w:t>
      </w:r>
      <w:r>
        <w:rPr>
          <w:rFonts w:ascii="Calibri" w:hAnsi="Calibri" w:eastAsia="Calibri"/>
          <w:spacing w:val="19"/>
          <w:sz w:val="32"/>
          <w:szCs w:val="32"/>
        </w:rPr>
        <w:t xml:space="preserve"> </w:t>
      </w:r>
      <w:r>
        <w:rPr>
          <w:spacing w:val="10"/>
          <w:w w:val="99"/>
          <w:sz w:val="32"/>
          <w:szCs w:val="32"/>
        </w:rPr>
        <w:t>信号覆盖度接近</w:t>
      </w:r>
      <w:r>
        <w:rPr>
          <w:spacing w:val="-62"/>
          <w:sz w:val="32"/>
          <w:szCs w:val="32"/>
        </w:rPr>
        <w:t xml:space="preserve"> </w:t>
      </w:r>
      <w:r>
        <w:rPr>
          <w:rFonts w:ascii="Calibri" w:hAnsi="Calibri" w:eastAsia="Calibri"/>
          <w:spacing w:val="3"/>
          <w:w w:val="99"/>
          <w:sz w:val="32"/>
          <w:szCs w:val="32"/>
        </w:rPr>
        <w:t>1</w:t>
      </w:r>
      <w:r>
        <w:rPr>
          <w:rFonts w:ascii="Calibri" w:hAnsi="Calibri" w:eastAsia="Calibri"/>
          <w:spacing w:val="6"/>
          <w:w w:val="99"/>
          <w:sz w:val="32"/>
          <w:szCs w:val="32"/>
        </w:rPr>
        <w:t>0</w:t>
      </w:r>
      <w:r>
        <w:rPr>
          <w:rFonts w:ascii="Calibri" w:hAnsi="Calibri" w:eastAsia="Calibri"/>
          <w:spacing w:val="8"/>
          <w:w w:val="99"/>
          <w:sz w:val="32"/>
          <w:szCs w:val="32"/>
        </w:rPr>
        <w:t>0</w:t>
      </w:r>
      <w:r>
        <w:rPr>
          <w:rFonts w:ascii="Calibri" w:hAnsi="Calibri" w:eastAsia="Calibri"/>
          <w:spacing w:val="7"/>
          <w:w w:val="99"/>
          <w:sz w:val="32"/>
          <w:szCs w:val="32"/>
        </w:rPr>
        <w:t>%</w:t>
      </w:r>
      <w:r>
        <w:rPr>
          <w:spacing w:val="3"/>
          <w:w w:val="99"/>
          <w:sz w:val="32"/>
          <w:szCs w:val="32"/>
        </w:rPr>
        <w:t>。加快打造全面</w:t>
      </w:r>
      <w:r>
        <w:rPr>
          <w:spacing w:val="4"/>
          <w:w w:val="99"/>
          <w:sz w:val="32"/>
          <w:szCs w:val="32"/>
        </w:rPr>
        <w:t>感知“泛在金凤”，加速多功能杆、柱、桩等新型智能感知设</w:t>
      </w:r>
      <w:r>
        <w:rPr>
          <w:spacing w:val="3"/>
          <w:w w:val="99"/>
          <w:sz w:val="32"/>
          <w:szCs w:val="32"/>
        </w:rPr>
        <w:t>施建设，加大对</w:t>
      </w:r>
      <w:r>
        <w:rPr>
          <w:spacing w:val="-64"/>
          <w:sz w:val="32"/>
          <w:szCs w:val="32"/>
        </w:rPr>
        <w:t xml:space="preserve"> </w:t>
      </w:r>
      <w:r>
        <w:rPr>
          <w:rFonts w:ascii="Calibri" w:hAnsi="Calibri" w:eastAsia="Calibri"/>
          <w:spacing w:val="2"/>
          <w:w w:val="99"/>
          <w:sz w:val="32"/>
          <w:szCs w:val="32"/>
        </w:rPr>
        <w:t>N</w:t>
      </w:r>
      <w:r>
        <w:rPr>
          <w:rFonts w:ascii="Calibri" w:hAnsi="Calibri" w:eastAsia="Calibri"/>
          <w:spacing w:val="6"/>
          <w:w w:val="99"/>
          <w:sz w:val="32"/>
          <w:szCs w:val="32"/>
        </w:rPr>
        <w:t>B</w:t>
      </w:r>
      <w:r>
        <w:rPr>
          <w:rFonts w:ascii="Calibri" w:hAnsi="Calibri" w:eastAsia="Calibri"/>
          <w:spacing w:val="5"/>
          <w:w w:val="99"/>
          <w:sz w:val="32"/>
          <w:szCs w:val="32"/>
        </w:rPr>
        <w:t>-</w:t>
      </w:r>
      <w:r>
        <w:rPr>
          <w:rFonts w:ascii="Calibri" w:hAnsi="Calibri" w:eastAsia="Calibri"/>
          <w:spacing w:val="6"/>
          <w:w w:val="99"/>
          <w:sz w:val="32"/>
          <w:szCs w:val="32"/>
        </w:rPr>
        <w:t>Io</w:t>
      </w:r>
      <w:r>
        <w:rPr>
          <w:rFonts w:ascii="Calibri" w:hAnsi="Calibri" w:eastAsia="Calibri"/>
          <w:spacing w:val="10"/>
          <w:w w:val="99"/>
          <w:sz w:val="32"/>
          <w:szCs w:val="32"/>
        </w:rPr>
        <w:t>T</w:t>
      </w:r>
      <w:r>
        <w:rPr>
          <w:spacing w:val="-8"/>
          <w:w w:val="99"/>
          <w:sz w:val="32"/>
          <w:szCs w:val="32"/>
        </w:rPr>
        <w:t>、基于</w:t>
      </w:r>
      <w:r>
        <w:rPr>
          <w:spacing w:val="-62"/>
          <w:sz w:val="32"/>
          <w:szCs w:val="32"/>
        </w:rPr>
        <w:t xml:space="preserve"> </w:t>
      </w:r>
      <w:r>
        <w:rPr>
          <w:rFonts w:ascii="Calibri" w:hAnsi="Calibri" w:eastAsia="Calibri"/>
          <w:spacing w:val="3"/>
          <w:w w:val="99"/>
          <w:sz w:val="32"/>
          <w:szCs w:val="32"/>
        </w:rPr>
        <w:t>I</w:t>
      </w:r>
      <w:r>
        <w:rPr>
          <w:rFonts w:ascii="Calibri" w:hAnsi="Calibri" w:eastAsia="Calibri"/>
          <w:spacing w:val="5"/>
          <w:w w:val="99"/>
          <w:sz w:val="32"/>
          <w:szCs w:val="32"/>
        </w:rPr>
        <w:t>P</w:t>
      </w:r>
      <w:r>
        <w:rPr>
          <w:rFonts w:ascii="Calibri" w:hAnsi="Calibri" w:eastAsia="Calibri"/>
          <w:spacing w:val="7"/>
          <w:w w:val="99"/>
          <w:sz w:val="32"/>
          <w:szCs w:val="32"/>
        </w:rPr>
        <w:t>v</w:t>
      </w:r>
      <w:r>
        <w:rPr>
          <w:rFonts w:ascii="Calibri" w:hAnsi="Calibri" w:eastAsia="Calibri"/>
          <w:w w:val="99"/>
          <w:sz w:val="32"/>
          <w:szCs w:val="32"/>
        </w:rPr>
        <w:t>6</w:t>
      </w:r>
      <w:r>
        <w:rPr>
          <w:rFonts w:ascii="Calibri" w:hAnsi="Calibri" w:eastAsia="Calibri"/>
          <w:spacing w:val="20"/>
          <w:sz w:val="32"/>
          <w:szCs w:val="32"/>
        </w:rPr>
        <w:t xml:space="preserve"> </w:t>
      </w:r>
      <w:r>
        <w:rPr>
          <w:spacing w:val="11"/>
          <w:w w:val="99"/>
          <w:sz w:val="32"/>
          <w:szCs w:val="32"/>
        </w:rPr>
        <w:t>协议的下一代互联网等新一代信息基础设施政策支持力度。加快推进物联网技术在交通、电力、供水、供气、消防、城市照明、大型公建等基础设施和</w:t>
      </w:r>
      <w:r>
        <w:rPr>
          <w:spacing w:val="9"/>
          <w:w w:val="99"/>
          <w:sz w:val="32"/>
          <w:szCs w:val="32"/>
        </w:rPr>
        <w:t>自然保护区、各环境质量监测点的广泛应用，推动感知网络与</w:t>
      </w:r>
      <w:r>
        <w:rPr>
          <w:spacing w:val="11"/>
          <w:w w:val="99"/>
          <w:sz w:val="32"/>
          <w:szCs w:val="32"/>
        </w:rPr>
        <w:t>移动网络融合发展，搭建城市全面感知物联网络。</w:t>
      </w:r>
    </w:p>
    <w:p w14:paraId="25C51595">
      <w:pPr>
        <w:ind w:left="878"/>
        <w:rPr>
          <w:rFonts w:ascii="黑体" w:eastAsia="黑体"/>
          <w:sz w:val="32"/>
          <w:szCs w:val="32"/>
        </w:rPr>
      </w:pPr>
      <w:r>
        <w:rPr>
          <w:rFonts w:ascii="黑体" w:eastAsia="黑体"/>
          <w:spacing w:val="12"/>
          <w:w w:val="95"/>
          <w:sz w:val="32"/>
          <w:szCs w:val="32"/>
        </w:rPr>
        <w:t>二、扩大</w:t>
      </w:r>
      <w:r>
        <w:rPr>
          <w:rFonts w:ascii="黑体" w:eastAsia="黑体"/>
          <w:spacing w:val="14"/>
          <w:w w:val="95"/>
          <w:sz w:val="32"/>
          <w:szCs w:val="32"/>
        </w:rPr>
        <w:t>政</w:t>
      </w:r>
      <w:r>
        <w:rPr>
          <w:rFonts w:ascii="黑体" w:eastAsia="黑体"/>
          <w:spacing w:val="12"/>
          <w:w w:val="95"/>
          <w:sz w:val="32"/>
          <w:szCs w:val="32"/>
        </w:rPr>
        <w:t>务网</w:t>
      </w:r>
      <w:r>
        <w:rPr>
          <w:rFonts w:ascii="黑体" w:eastAsia="黑体"/>
          <w:spacing w:val="14"/>
          <w:w w:val="95"/>
          <w:sz w:val="32"/>
          <w:szCs w:val="32"/>
        </w:rPr>
        <w:t>络</w:t>
      </w:r>
      <w:r>
        <w:rPr>
          <w:rFonts w:ascii="黑体" w:eastAsia="黑体"/>
          <w:spacing w:val="12"/>
          <w:w w:val="95"/>
          <w:sz w:val="32"/>
          <w:szCs w:val="32"/>
        </w:rPr>
        <w:t>服务</w:t>
      </w:r>
      <w:r>
        <w:rPr>
          <w:rFonts w:ascii="黑体" w:eastAsia="黑体"/>
          <w:spacing w:val="-10"/>
          <w:w w:val="95"/>
          <w:sz w:val="32"/>
          <w:szCs w:val="32"/>
        </w:rPr>
        <w:t>面</w:t>
      </w:r>
    </w:p>
    <w:p w14:paraId="14D9CBD3">
      <w:pPr>
        <w:spacing w:before="166" w:line="340" w:lineRule="auto"/>
        <w:ind w:left="213" w:right="278" w:firstLine="664"/>
        <w:jc w:val="both"/>
        <w:rPr>
          <w:sz w:val="32"/>
          <w:szCs w:val="32"/>
        </w:rPr>
      </w:pPr>
      <w:r>
        <w:rPr>
          <w:spacing w:val="9"/>
          <w:w w:val="99"/>
          <w:sz w:val="32"/>
          <w:szCs w:val="32"/>
        </w:rPr>
        <w:t>立足金凤区“智慧金凤社会治理综合平台”应用基础，加</w:t>
      </w:r>
      <w:r>
        <w:rPr>
          <w:spacing w:val="10"/>
          <w:w w:val="99"/>
          <w:sz w:val="32"/>
          <w:szCs w:val="32"/>
        </w:rPr>
        <w:t>快推广信息技术在全区城建、规划、市政、环保、社保等领域</w:t>
      </w:r>
      <w:r>
        <w:rPr>
          <w:spacing w:val="11"/>
          <w:w w:val="99"/>
          <w:sz w:val="32"/>
          <w:szCs w:val="32"/>
        </w:rPr>
        <w:t>深化应用，构建政府智慧管理新平台，推动政务管理智慧化。继续推进“数字化城市管理”建设，建立完善大数据平台，运</w:t>
      </w:r>
      <w:r>
        <w:rPr>
          <w:spacing w:val="10"/>
          <w:w w:val="99"/>
          <w:sz w:val="32"/>
          <w:szCs w:val="32"/>
        </w:rPr>
        <w:t>用大数据分析和物联网先进技术优化城市管理，推进城市管理</w:t>
      </w:r>
      <w:r>
        <w:rPr>
          <w:spacing w:val="16"/>
          <w:w w:val="99"/>
          <w:sz w:val="32"/>
          <w:szCs w:val="32"/>
        </w:rPr>
        <w:t>精细化、智慧化。打造市民融合服务信息系统、网上</w:t>
      </w:r>
      <w:r>
        <w:rPr>
          <w:spacing w:val="-59"/>
          <w:sz w:val="32"/>
          <w:szCs w:val="32"/>
        </w:rPr>
        <w:t xml:space="preserve"> </w:t>
      </w:r>
      <w:r>
        <w:rPr>
          <w:rFonts w:ascii="Calibri" w:hAnsi="Calibri" w:eastAsia="Calibri"/>
          <w:spacing w:val="3"/>
          <w:w w:val="99"/>
          <w:sz w:val="32"/>
          <w:szCs w:val="32"/>
        </w:rPr>
        <w:t>3</w:t>
      </w:r>
      <w:r>
        <w:rPr>
          <w:rFonts w:ascii="Calibri" w:hAnsi="Calibri" w:eastAsia="Calibri"/>
          <w:w w:val="99"/>
          <w:sz w:val="32"/>
          <w:szCs w:val="32"/>
        </w:rPr>
        <w:t>D</w:t>
      </w:r>
      <w:r>
        <w:rPr>
          <w:rFonts w:ascii="Calibri" w:hAnsi="Calibri" w:eastAsia="Calibri"/>
          <w:spacing w:val="24"/>
          <w:sz w:val="32"/>
          <w:szCs w:val="32"/>
        </w:rPr>
        <w:t xml:space="preserve"> </w:t>
      </w:r>
      <w:r>
        <w:rPr>
          <w:spacing w:val="8"/>
          <w:w w:val="99"/>
          <w:sz w:val="32"/>
          <w:szCs w:val="32"/>
        </w:rPr>
        <w:t>实景</w:t>
      </w:r>
      <w:r>
        <w:rPr>
          <w:spacing w:val="11"/>
          <w:w w:val="99"/>
          <w:sz w:val="32"/>
          <w:szCs w:val="32"/>
        </w:rPr>
        <w:t>政务大厅系统、智能综合管理系统、移动终端语音服务系统，</w:t>
      </w:r>
      <w:r>
        <w:rPr>
          <w:spacing w:val="9"/>
          <w:w w:val="99"/>
          <w:sz w:val="32"/>
          <w:szCs w:val="32"/>
        </w:rPr>
        <w:t>建设和完善金凤区网络行政审批、信息公开、网上信访、电子</w:t>
      </w:r>
      <w:r>
        <w:rPr>
          <w:spacing w:val="11"/>
          <w:w w:val="99"/>
          <w:sz w:val="32"/>
          <w:szCs w:val="32"/>
        </w:rPr>
        <w:t>监察和审计体系，全面推进审批服务信息化。</w:t>
      </w:r>
    </w:p>
    <w:p w14:paraId="026D1734">
      <w:pPr>
        <w:spacing w:line="376" w:lineRule="exact"/>
        <w:ind w:left="878"/>
        <w:rPr>
          <w:rFonts w:ascii="黑体" w:eastAsia="黑体"/>
          <w:sz w:val="32"/>
          <w:szCs w:val="32"/>
        </w:rPr>
      </w:pPr>
      <w:r>
        <w:rPr>
          <w:rFonts w:ascii="黑体" w:eastAsia="黑体"/>
          <w:spacing w:val="12"/>
          <w:w w:val="95"/>
          <w:sz w:val="32"/>
          <w:szCs w:val="32"/>
        </w:rPr>
        <w:t>三、提升</w:t>
      </w:r>
      <w:r>
        <w:rPr>
          <w:rFonts w:ascii="黑体" w:eastAsia="黑体"/>
          <w:spacing w:val="14"/>
          <w:w w:val="95"/>
          <w:sz w:val="32"/>
          <w:szCs w:val="32"/>
        </w:rPr>
        <w:t>智</w:t>
      </w:r>
      <w:r>
        <w:rPr>
          <w:rFonts w:ascii="黑体" w:eastAsia="黑体"/>
          <w:spacing w:val="12"/>
          <w:w w:val="95"/>
          <w:sz w:val="32"/>
          <w:szCs w:val="32"/>
        </w:rPr>
        <w:t>慧生</w:t>
      </w:r>
      <w:r>
        <w:rPr>
          <w:rFonts w:ascii="黑体" w:eastAsia="黑体"/>
          <w:spacing w:val="14"/>
          <w:w w:val="95"/>
          <w:sz w:val="32"/>
          <w:szCs w:val="32"/>
        </w:rPr>
        <w:t>活</w:t>
      </w:r>
      <w:r>
        <w:rPr>
          <w:rFonts w:ascii="黑体" w:eastAsia="黑体"/>
          <w:spacing w:val="12"/>
          <w:w w:val="95"/>
          <w:sz w:val="32"/>
          <w:szCs w:val="32"/>
        </w:rPr>
        <w:t>便捷</w:t>
      </w:r>
      <w:r>
        <w:rPr>
          <w:rFonts w:ascii="黑体" w:eastAsia="黑体"/>
          <w:spacing w:val="-10"/>
          <w:w w:val="95"/>
          <w:sz w:val="32"/>
          <w:szCs w:val="32"/>
        </w:rPr>
        <w:t>度</w:t>
      </w:r>
    </w:p>
    <w:p w14:paraId="2E1FC630">
      <w:pPr>
        <w:spacing w:before="166" w:line="338" w:lineRule="auto"/>
        <w:ind w:left="213" w:right="285" w:firstLine="664"/>
        <w:jc w:val="both"/>
        <w:rPr>
          <w:sz w:val="32"/>
          <w:szCs w:val="32"/>
        </w:rPr>
      </w:pPr>
      <w:r>
        <w:rPr>
          <w:spacing w:val="10"/>
          <w:w w:val="99"/>
          <w:sz w:val="32"/>
          <w:szCs w:val="32"/>
        </w:rPr>
        <w:t>推动智慧城市建设，让城市公共服务高效便捷。大力支持金凤万达广场、大阅城等大型商贸企业及重点餐饮娱乐集聚区域实现线上线下一体化运营，打造与实体商圈相配套的“网上</w:t>
      </w:r>
    </w:p>
    <w:p w14:paraId="3C4CA447">
      <w:pPr>
        <w:spacing w:line="338" w:lineRule="auto"/>
        <w:jc w:val="both"/>
        <w:sectPr>
          <w:pgSz w:w="11910" w:h="16840"/>
          <w:pgMar w:top="1800" w:right="1200" w:bottom="1160" w:left="1260" w:header="0" w:footer="975" w:gutter="0"/>
          <w:cols w:space="720" w:num="1"/>
        </w:sectPr>
      </w:pPr>
    </w:p>
    <w:p w14:paraId="4D08D0AC">
      <w:pPr>
        <w:spacing w:before="28" w:line="340" w:lineRule="auto"/>
        <w:ind w:left="213" w:right="120"/>
        <w:jc w:val="both"/>
        <w:rPr>
          <w:sz w:val="32"/>
          <w:szCs w:val="32"/>
        </w:rPr>
      </w:pPr>
      <w:r>
        <w:rPr>
          <w:spacing w:val="-24"/>
          <w:sz w:val="32"/>
          <w:szCs w:val="32"/>
        </w:rPr>
        <w:t>商圈”“</w:t>
      </w:r>
      <w:r>
        <w:rPr>
          <w:spacing w:val="17"/>
          <w:sz w:val="32"/>
          <w:szCs w:val="32"/>
        </w:rPr>
        <w:t>移动商圈”和“智慧</w:t>
      </w:r>
      <w:r>
        <w:rPr>
          <w:spacing w:val="-39"/>
          <w:sz w:val="32"/>
          <w:szCs w:val="32"/>
        </w:rPr>
        <w:t>商圈”</w:t>
      </w:r>
      <w:r>
        <w:rPr>
          <w:spacing w:val="17"/>
          <w:sz w:val="32"/>
          <w:szCs w:val="32"/>
        </w:rPr>
        <w:t>。积极推行“智慧</w:t>
      </w:r>
      <w:r>
        <w:rPr>
          <w:spacing w:val="-30"/>
          <w:sz w:val="32"/>
          <w:szCs w:val="32"/>
        </w:rPr>
        <w:t>生活”，</w:t>
      </w:r>
      <w:r>
        <w:rPr>
          <w:spacing w:val="12"/>
          <w:sz w:val="32"/>
          <w:szCs w:val="32"/>
        </w:rPr>
        <w:t>促进医疗、教育、文化、社保、社区服务、食品安全等社</w:t>
      </w:r>
      <w:r>
        <w:rPr>
          <w:spacing w:val="6"/>
          <w:sz w:val="32"/>
          <w:szCs w:val="32"/>
        </w:rPr>
        <w:t>会公</w:t>
      </w:r>
      <w:r>
        <w:rPr>
          <w:spacing w:val="12"/>
          <w:sz w:val="32"/>
          <w:szCs w:val="32"/>
        </w:rPr>
        <w:t>共服务智</w:t>
      </w:r>
      <w:r>
        <w:rPr>
          <w:spacing w:val="8"/>
          <w:sz w:val="32"/>
          <w:szCs w:val="32"/>
        </w:rPr>
        <w:t>能化，加快</w:t>
      </w:r>
      <w:r>
        <w:rPr>
          <w:spacing w:val="12"/>
          <w:sz w:val="32"/>
          <w:szCs w:val="32"/>
        </w:rPr>
        <w:t>建设智慧服务示范</w:t>
      </w:r>
      <w:r>
        <w:rPr>
          <w:spacing w:val="9"/>
          <w:sz w:val="32"/>
          <w:szCs w:val="32"/>
        </w:rPr>
        <w:t>区。引导</w:t>
      </w:r>
      <w:r>
        <w:rPr>
          <w:spacing w:val="12"/>
          <w:sz w:val="32"/>
          <w:szCs w:val="32"/>
        </w:rPr>
        <w:t>建立一批智</w:t>
      </w:r>
      <w:r>
        <w:rPr>
          <w:sz w:val="32"/>
          <w:szCs w:val="32"/>
        </w:rPr>
        <w:t>能</w:t>
      </w:r>
      <w:r>
        <w:rPr>
          <w:spacing w:val="8"/>
          <w:sz w:val="32"/>
          <w:szCs w:val="32"/>
        </w:rPr>
        <w:t>社区、智能</w:t>
      </w:r>
      <w:r>
        <w:rPr>
          <w:spacing w:val="12"/>
          <w:sz w:val="32"/>
          <w:szCs w:val="32"/>
        </w:rPr>
        <w:t>建筑和智能家居示</w:t>
      </w:r>
      <w:r>
        <w:rPr>
          <w:spacing w:val="9"/>
          <w:sz w:val="32"/>
          <w:szCs w:val="32"/>
        </w:rPr>
        <w:t>范点，发展</w:t>
      </w:r>
      <w:r>
        <w:rPr>
          <w:spacing w:val="12"/>
          <w:sz w:val="32"/>
          <w:szCs w:val="32"/>
        </w:rPr>
        <w:t>基于信息网络的全</w:t>
      </w:r>
      <w:r>
        <w:rPr>
          <w:sz w:val="32"/>
          <w:szCs w:val="32"/>
        </w:rPr>
        <w:t>方</w:t>
      </w:r>
      <w:r>
        <w:rPr>
          <w:spacing w:val="12"/>
          <w:w w:val="95"/>
          <w:sz w:val="32"/>
          <w:szCs w:val="32"/>
        </w:rPr>
        <w:t>位社区服</w:t>
      </w:r>
      <w:r>
        <w:rPr>
          <w:spacing w:val="4"/>
          <w:w w:val="95"/>
          <w:sz w:val="32"/>
          <w:szCs w:val="32"/>
        </w:rPr>
        <w:t>务，营造安全、高效、舒适、便利</w:t>
      </w:r>
      <w:r>
        <w:rPr>
          <w:spacing w:val="12"/>
          <w:w w:val="95"/>
          <w:sz w:val="32"/>
          <w:szCs w:val="32"/>
        </w:rPr>
        <w:t>的智能化人居环境</w:t>
      </w:r>
      <w:r>
        <w:rPr>
          <w:w w:val="95"/>
          <w:sz w:val="32"/>
          <w:szCs w:val="32"/>
        </w:rPr>
        <w:t>。</w:t>
      </w:r>
    </w:p>
    <w:p w14:paraId="663A2ED3">
      <w:pPr>
        <w:spacing w:before="129"/>
        <w:ind w:left="2353" w:right="2422"/>
        <w:jc w:val="center"/>
        <w:outlineLvl w:val="0"/>
        <w:rPr>
          <w:rFonts w:ascii="宋体" w:hAnsi="宋体" w:eastAsia="宋体" w:cs="宋体"/>
          <w:b/>
          <w:bCs/>
          <w:sz w:val="32"/>
          <w:szCs w:val="32"/>
        </w:rPr>
      </w:pPr>
      <w:r>
        <w:rPr>
          <w:rFonts w:ascii="宋体" w:hAnsi="宋体" w:eastAsia="宋体" w:cs="宋体"/>
          <w:b/>
          <w:bCs/>
          <w:spacing w:val="14"/>
          <w:sz w:val="32"/>
          <w:szCs w:val="32"/>
        </w:rPr>
        <w:t>第二</w:t>
      </w:r>
      <w:r>
        <w:rPr>
          <w:rFonts w:ascii="宋体" w:hAnsi="宋体" w:eastAsia="宋体" w:cs="宋体"/>
          <w:b/>
          <w:bCs/>
          <w:spacing w:val="56"/>
          <w:sz w:val="32"/>
          <w:szCs w:val="32"/>
        </w:rPr>
        <w:t>节 全</w:t>
      </w:r>
      <w:r>
        <w:rPr>
          <w:rFonts w:ascii="宋体" w:hAnsi="宋体" w:eastAsia="宋体" w:cs="宋体"/>
          <w:b/>
          <w:bCs/>
          <w:spacing w:val="14"/>
          <w:sz w:val="32"/>
          <w:szCs w:val="32"/>
        </w:rPr>
        <w:t>面提</w:t>
      </w:r>
      <w:r>
        <w:rPr>
          <w:rFonts w:ascii="宋体" w:hAnsi="宋体" w:eastAsia="宋体" w:cs="宋体"/>
          <w:b/>
          <w:bCs/>
          <w:spacing w:val="12"/>
          <w:sz w:val="32"/>
          <w:szCs w:val="32"/>
        </w:rPr>
        <w:t>升</w:t>
      </w:r>
      <w:r>
        <w:rPr>
          <w:rFonts w:ascii="宋体" w:hAnsi="宋体" w:eastAsia="宋体" w:cs="宋体"/>
          <w:b/>
          <w:bCs/>
          <w:spacing w:val="14"/>
          <w:sz w:val="32"/>
          <w:szCs w:val="32"/>
        </w:rPr>
        <w:t>市政基础设</w:t>
      </w:r>
      <w:r>
        <w:rPr>
          <w:rFonts w:ascii="宋体" w:hAnsi="宋体" w:eastAsia="宋体" w:cs="宋体"/>
          <w:b/>
          <w:bCs/>
          <w:spacing w:val="-10"/>
          <w:sz w:val="32"/>
          <w:szCs w:val="32"/>
        </w:rPr>
        <w:t>施</w:t>
      </w:r>
    </w:p>
    <w:p w14:paraId="61233469">
      <w:pPr>
        <w:spacing w:before="11"/>
        <w:rPr>
          <w:rFonts w:ascii="宋体"/>
          <w:b/>
          <w:sz w:val="23"/>
          <w:szCs w:val="32"/>
        </w:rPr>
      </w:pPr>
    </w:p>
    <w:p w14:paraId="1E9E7F3B">
      <w:pPr>
        <w:ind w:left="878"/>
        <w:rPr>
          <w:rFonts w:ascii="黑体" w:eastAsia="黑体"/>
          <w:sz w:val="32"/>
          <w:szCs w:val="32"/>
        </w:rPr>
      </w:pPr>
      <w:r>
        <w:rPr>
          <w:rFonts w:ascii="黑体" w:eastAsia="黑体"/>
          <w:spacing w:val="12"/>
          <w:w w:val="95"/>
          <w:sz w:val="32"/>
          <w:szCs w:val="32"/>
        </w:rPr>
        <w:t>一、优化</w:t>
      </w:r>
      <w:r>
        <w:rPr>
          <w:rFonts w:ascii="黑体" w:eastAsia="黑体"/>
          <w:spacing w:val="14"/>
          <w:w w:val="95"/>
          <w:sz w:val="32"/>
          <w:szCs w:val="32"/>
        </w:rPr>
        <w:t>能</w:t>
      </w:r>
      <w:r>
        <w:rPr>
          <w:rFonts w:ascii="黑体" w:eastAsia="黑体"/>
          <w:spacing w:val="12"/>
          <w:w w:val="95"/>
          <w:sz w:val="32"/>
          <w:szCs w:val="32"/>
        </w:rPr>
        <w:t>源设</w:t>
      </w:r>
      <w:r>
        <w:rPr>
          <w:rFonts w:ascii="黑体" w:eastAsia="黑体"/>
          <w:spacing w:val="5"/>
          <w:w w:val="95"/>
          <w:sz w:val="32"/>
          <w:szCs w:val="32"/>
        </w:rPr>
        <w:t>施布局</w:t>
      </w:r>
    </w:p>
    <w:p w14:paraId="4183C12B">
      <w:pPr>
        <w:spacing w:before="166" w:line="338" w:lineRule="auto"/>
        <w:ind w:left="213" w:right="283" w:firstLine="664"/>
        <w:jc w:val="both"/>
        <w:rPr>
          <w:sz w:val="32"/>
          <w:szCs w:val="32"/>
        </w:rPr>
      </w:pPr>
      <w:r>
        <w:rPr>
          <w:spacing w:val="10"/>
          <w:w w:val="99"/>
          <w:sz w:val="32"/>
          <w:szCs w:val="32"/>
        </w:rPr>
        <w:t>配合银川市重点做好能源设施布点规划和建设工作，优化</w:t>
      </w:r>
      <w:r>
        <w:rPr>
          <w:spacing w:val="9"/>
          <w:w w:val="99"/>
          <w:sz w:val="32"/>
          <w:szCs w:val="32"/>
        </w:rPr>
        <w:t>加油站布局，进一步完善加油站服务体系。逐步建立完善新能</w:t>
      </w:r>
      <w:r>
        <w:rPr>
          <w:spacing w:val="10"/>
          <w:w w:val="99"/>
          <w:sz w:val="32"/>
          <w:szCs w:val="32"/>
        </w:rPr>
        <w:t>源车充电装置服务体系，加快在商务楼宇、大型商超等人流集中地区规划设立新能源车充电装置服务站点，加快在老旧小区</w:t>
      </w:r>
      <w:r>
        <w:rPr>
          <w:spacing w:val="9"/>
          <w:w w:val="99"/>
          <w:sz w:val="32"/>
          <w:szCs w:val="32"/>
        </w:rPr>
        <w:t>院落建设新能源车充电装置。改造升级集镇、美丽乡村等基础</w:t>
      </w:r>
      <w:r>
        <w:rPr>
          <w:spacing w:val="10"/>
          <w:w w:val="99"/>
          <w:sz w:val="32"/>
          <w:szCs w:val="32"/>
        </w:rPr>
        <w:t>电网，配合实施城乡变电站、输电线路升级改造工程，以点带</w:t>
      </w:r>
      <w:r>
        <w:rPr>
          <w:spacing w:val="9"/>
          <w:w w:val="99"/>
          <w:sz w:val="32"/>
          <w:szCs w:val="32"/>
        </w:rPr>
        <w:t>面实施乡村电气化提升工程，大力推广电能替代技术、推介新</w:t>
      </w:r>
      <w:r>
        <w:rPr>
          <w:spacing w:val="11"/>
          <w:w w:val="99"/>
          <w:sz w:val="32"/>
          <w:szCs w:val="32"/>
        </w:rPr>
        <w:t>型用电产品等，提升农业生产、农村生活电气化水平。</w:t>
      </w:r>
    </w:p>
    <w:p w14:paraId="76965414">
      <w:pPr>
        <w:ind w:left="878"/>
        <w:rPr>
          <w:rFonts w:ascii="黑体" w:eastAsia="黑体"/>
          <w:sz w:val="32"/>
          <w:szCs w:val="32"/>
        </w:rPr>
      </w:pPr>
      <w:r>
        <w:rPr>
          <w:rFonts w:ascii="黑体" w:eastAsia="黑体"/>
          <w:spacing w:val="12"/>
          <w:w w:val="95"/>
          <w:sz w:val="32"/>
          <w:szCs w:val="32"/>
        </w:rPr>
        <w:t>二、加快</w:t>
      </w:r>
      <w:r>
        <w:rPr>
          <w:rFonts w:ascii="黑体" w:eastAsia="黑体"/>
          <w:spacing w:val="14"/>
          <w:w w:val="95"/>
          <w:sz w:val="32"/>
          <w:szCs w:val="32"/>
        </w:rPr>
        <w:t>水</w:t>
      </w:r>
      <w:r>
        <w:rPr>
          <w:rFonts w:ascii="黑体" w:eastAsia="黑体"/>
          <w:spacing w:val="12"/>
          <w:w w:val="95"/>
          <w:sz w:val="32"/>
          <w:szCs w:val="32"/>
        </w:rPr>
        <w:t>网设</w:t>
      </w:r>
      <w:r>
        <w:rPr>
          <w:rFonts w:ascii="黑体" w:eastAsia="黑体"/>
          <w:spacing w:val="5"/>
          <w:w w:val="95"/>
          <w:sz w:val="32"/>
          <w:szCs w:val="32"/>
        </w:rPr>
        <w:t>施改造</w:t>
      </w:r>
    </w:p>
    <w:p w14:paraId="00246BB8">
      <w:pPr>
        <w:spacing w:before="166" w:line="338" w:lineRule="auto"/>
        <w:ind w:left="213" w:right="117" w:firstLine="664"/>
        <w:rPr>
          <w:sz w:val="32"/>
          <w:szCs w:val="32"/>
        </w:rPr>
      </w:pPr>
      <w:r>
        <w:rPr>
          <w:spacing w:val="12"/>
          <w:sz w:val="32"/>
          <w:szCs w:val="32"/>
        </w:rPr>
        <w:t>在旧城改造、新</w:t>
      </w:r>
      <w:r>
        <w:rPr>
          <w:spacing w:val="10"/>
          <w:sz w:val="32"/>
          <w:szCs w:val="32"/>
        </w:rPr>
        <w:t>城镇开发中推进“海绵</w:t>
      </w:r>
      <w:r>
        <w:rPr>
          <w:spacing w:val="12"/>
          <w:sz w:val="32"/>
          <w:szCs w:val="32"/>
        </w:rPr>
        <w:t>城区</w:t>
      </w:r>
      <w:r>
        <w:rPr>
          <w:spacing w:val="7"/>
          <w:sz w:val="32"/>
          <w:szCs w:val="32"/>
        </w:rPr>
        <w:t>”建设，构建</w:t>
      </w:r>
      <w:r>
        <w:rPr>
          <w:sz w:val="32"/>
          <w:szCs w:val="32"/>
        </w:rPr>
        <w:t xml:space="preserve"> </w:t>
      </w:r>
      <w:r>
        <w:rPr>
          <w:spacing w:val="8"/>
          <w:sz w:val="32"/>
          <w:szCs w:val="32"/>
        </w:rPr>
        <w:t>“渗、滞、蓄、</w:t>
      </w:r>
      <w:r>
        <w:rPr>
          <w:spacing w:val="12"/>
          <w:sz w:val="32"/>
          <w:szCs w:val="32"/>
        </w:rPr>
        <w:t>净、用、排</w:t>
      </w:r>
      <w:r>
        <w:rPr>
          <w:spacing w:val="9"/>
          <w:sz w:val="32"/>
          <w:szCs w:val="32"/>
        </w:rPr>
        <w:t>”的综合排涝体</w:t>
      </w:r>
      <w:r>
        <w:rPr>
          <w:spacing w:val="12"/>
          <w:sz w:val="32"/>
          <w:szCs w:val="32"/>
        </w:rPr>
        <w:t>系</w:t>
      </w:r>
      <w:r>
        <w:rPr>
          <w:spacing w:val="10"/>
          <w:sz w:val="32"/>
          <w:szCs w:val="32"/>
        </w:rPr>
        <w:t>，统筹解决城市</w:t>
      </w:r>
      <w:r>
        <w:rPr>
          <w:spacing w:val="8"/>
          <w:w w:val="95"/>
          <w:sz w:val="32"/>
          <w:szCs w:val="32"/>
        </w:rPr>
        <w:t>内涝、雨水</w:t>
      </w:r>
      <w:r>
        <w:rPr>
          <w:spacing w:val="12"/>
          <w:w w:val="95"/>
          <w:sz w:val="32"/>
          <w:szCs w:val="32"/>
        </w:rPr>
        <w:t>资源化利用等多个问题</w:t>
      </w:r>
      <w:r>
        <w:rPr>
          <w:spacing w:val="8"/>
          <w:w w:val="95"/>
          <w:sz w:val="32"/>
          <w:szCs w:val="32"/>
        </w:rPr>
        <w:t>，构建</w:t>
      </w:r>
      <w:r>
        <w:rPr>
          <w:spacing w:val="12"/>
          <w:w w:val="95"/>
          <w:sz w:val="32"/>
          <w:szCs w:val="32"/>
        </w:rPr>
        <w:t>自净</w:t>
      </w:r>
      <w:r>
        <w:rPr>
          <w:spacing w:val="9"/>
          <w:w w:val="95"/>
          <w:sz w:val="32"/>
          <w:szCs w:val="32"/>
        </w:rPr>
        <w:t>自渗、蓄泄</w:t>
      </w:r>
      <w:r>
        <w:rPr>
          <w:spacing w:val="12"/>
          <w:w w:val="95"/>
          <w:sz w:val="32"/>
          <w:szCs w:val="32"/>
        </w:rPr>
        <w:t>得当</w:t>
      </w:r>
      <w:r>
        <w:rPr>
          <w:w w:val="95"/>
          <w:sz w:val="32"/>
          <w:szCs w:val="32"/>
        </w:rPr>
        <w:t>、</w:t>
      </w:r>
      <w:r>
        <w:rPr>
          <w:spacing w:val="12"/>
          <w:sz w:val="32"/>
          <w:szCs w:val="32"/>
        </w:rPr>
        <w:t>排用结合的城市良性水循环系</w:t>
      </w:r>
      <w:r>
        <w:rPr>
          <w:spacing w:val="8"/>
          <w:sz w:val="32"/>
          <w:szCs w:val="32"/>
        </w:rPr>
        <w:t>统。推进</w:t>
      </w:r>
      <w:r>
        <w:rPr>
          <w:spacing w:val="12"/>
          <w:sz w:val="32"/>
          <w:szCs w:val="32"/>
        </w:rPr>
        <w:t>城乡供水网络</w:t>
      </w:r>
      <w:r>
        <w:rPr>
          <w:spacing w:val="6"/>
          <w:sz w:val="32"/>
          <w:szCs w:val="32"/>
        </w:rPr>
        <w:t>建设，配</w:t>
      </w:r>
      <w:r>
        <w:rPr>
          <w:spacing w:val="12"/>
          <w:sz w:val="32"/>
          <w:szCs w:val="32"/>
        </w:rPr>
        <w:t>合实施区市重大水利</w:t>
      </w:r>
      <w:r>
        <w:rPr>
          <w:spacing w:val="8"/>
          <w:sz w:val="32"/>
          <w:szCs w:val="32"/>
        </w:rPr>
        <w:t>工程，实施</w:t>
      </w:r>
      <w:r>
        <w:rPr>
          <w:spacing w:val="12"/>
          <w:sz w:val="32"/>
          <w:szCs w:val="32"/>
        </w:rPr>
        <w:t>城市应急水源建设</w:t>
      </w:r>
      <w:r>
        <w:rPr>
          <w:spacing w:val="7"/>
          <w:sz w:val="32"/>
          <w:szCs w:val="32"/>
        </w:rPr>
        <w:t>、农村集中</w:t>
      </w:r>
      <w:r>
        <w:rPr>
          <w:spacing w:val="12"/>
          <w:sz w:val="32"/>
          <w:szCs w:val="32"/>
        </w:rPr>
        <w:t>饮水巩固提升项目</w:t>
      </w:r>
      <w:r>
        <w:rPr>
          <w:spacing w:val="6"/>
          <w:sz w:val="32"/>
          <w:szCs w:val="32"/>
        </w:rPr>
        <w:t>，开展“互联网十城乡供水”示范区建设，</w:t>
      </w:r>
      <w:r>
        <w:rPr>
          <w:spacing w:val="12"/>
          <w:sz w:val="32"/>
          <w:szCs w:val="32"/>
        </w:rPr>
        <w:t>推进城乡供水服务一体</w:t>
      </w:r>
      <w:r>
        <w:rPr>
          <w:spacing w:val="8"/>
          <w:sz w:val="32"/>
          <w:szCs w:val="32"/>
        </w:rPr>
        <w:t>化、均等</w:t>
      </w:r>
      <w:r>
        <w:rPr>
          <w:spacing w:val="12"/>
          <w:sz w:val="32"/>
          <w:szCs w:val="32"/>
        </w:rPr>
        <w:t>化。将良田镇现有水源、丰</w:t>
      </w:r>
      <w:r>
        <w:rPr>
          <w:sz w:val="32"/>
          <w:szCs w:val="32"/>
        </w:rPr>
        <w:t>登</w:t>
      </w:r>
    </w:p>
    <w:p w14:paraId="6631134E">
      <w:pPr>
        <w:spacing w:line="338" w:lineRule="auto"/>
        <w:sectPr>
          <w:pgSz w:w="11910" w:h="16840"/>
          <w:pgMar w:top="1800" w:right="1200" w:bottom="1160" w:left="1260" w:header="0" w:footer="975" w:gutter="0"/>
          <w:cols w:space="720" w:num="1"/>
        </w:sectPr>
      </w:pPr>
    </w:p>
    <w:p w14:paraId="48EBFE7F">
      <w:pPr>
        <w:spacing w:before="28" w:line="338" w:lineRule="auto"/>
        <w:ind w:left="213" w:right="285"/>
        <w:jc w:val="both"/>
        <w:rPr>
          <w:sz w:val="32"/>
          <w:szCs w:val="32"/>
        </w:rPr>
      </w:pPr>
      <w:r>
        <w:rPr>
          <w:spacing w:val="10"/>
          <w:w w:val="99"/>
          <w:sz w:val="32"/>
          <w:szCs w:val="32"/>
        </w:rPr>
        <w:t>镇规划水源通过城乡一体化供水工程进行替代，推进落实“互</w:t>
      </w:r>
      <w:r>
        <w:rPr>
          <w:spacing w:val="15"/>
          <w:w w:val="99"/>
          <w:sz w:val="32"/>
          <w:szCs w:val="32"/>
        </w:rPr>
        <w:t>联网+农村供水”管理模式，确保农村供水工程良性可持续运</w:t>
      </w:r>
      <w:r>
        <w:rPr>
          <w:spacing w:val="6"/>
          <w:w w:val="99"/>
          <w:sz w:val="32"/>
          <w:szCs w:val="32"/>
        </w:rPr>
        <w:t>行。</w:t>
      </w:r>
    </w:p>
    <w:p w14:paraId="208F1ED1">
      <w:pPr>
        <w:spacing w:line="399" w:lineRule="exact"/>
        <w:ind w:left="878"/>
        <w:rPr>
          <w:rFonts w:ascii="黑体" w:eastAsia="黑体"/>
          <w:sz w:val="32"/>
          <w:szCs w:val="32"/>
        </w:rPr>
      </w:pPr>
      <w:r>
        <w:rPr>
          <w:rFonts w:ascii="黑体" w:eastAsia="黑体"/>
          <w:spacing w:val="12"/>
          <w:w w:val="95"/>
          <w:sz w:val="32"/>
          <w:szCs w:val="32"/>
        </w:rPr>
        <w:t>三、补齐</w:t>
      </w:r>
      <w:r>
        <w:rPr>
          <w:rFonts w:ascii="黑体" w:eastAsia="黑体"/>
          <w:spacing w:val="14"/>
          <w:w w:val="95"/>
          <w:sz w:val="32"/>
          <w:szCs w:val="32"/>
        </w:rPr>
        <w:t>市</w:t>
      </w:r>
      <w:r>
        <w:rPr>
          <w:rFonts w:ascii="黑体" w:eastAsia="黑体"/>
          <w:spacing w:val="12"/>
          <w:w w:val="95"/>
          <w:sz w:val="32"/>
          <w:szCs w:val="32"/>
        </w:rPr>
        <w:t>政设</w:t>
      </w:r>
      <w:r>
        <w:rPr>
          <w:rFonts w:ascii="黑体" w:eastAsia="黑体"/>
          <w:spacing w:val="5"/>
          <w:w w:val="95"/>
          <w:sz w:val="32"/>
          <w:szCs w:val="32"/>
        </w:rPr>
        <w:t>施短板</w:t>
      </w:r>
    </w:p>
    <w:p w14:paraId="2D9E0B53">
      <w:pPr>
        <w:spacing w:before="166" w:line="338" w:lineRule="auto"/>
        <w:ind w:left="213" w:right="120" w:firstLine="664"/>
        <w:rPr>
          <w:sz w:val="32"/>
          <w:szCs w:val="32"/>
        </w:rPr>
      </w:pPr>
      <w:r>
        <w:rPr>
          <w:spacing w:val="12"/>
          <w:sz w:val="32"/>
          <w:szCs w:val="32"/>
        </w:rPr>
        <w:t>以商业综合</w:t>
      </w:r>
      <w:r>
        <w:rPr>
          <w:spacing w:val="6"/>
          <w:sz w:val="32"/>
          <w:szCs w:val="32"/>
        </w:rPr>
        <w:t>体、大型社区、医院</w:t>
      </w:r>
      <w:r>
        <w:rPr>
          <w:spacing w:val="12"/>
          <w:sz w:val="32"/>
          <w:szCs w:val="32"/>
        </w:rPr>
        <w:t>等周边区域为重点，大</w:t>
      </w:r>
      <w:r>
        <w:rPr>
          <w:sz w:val="32"/>
          <w:szCs w:val="32"/>
        </w:rPr>
        <w:t>力</w:t>
      </w:r>
      <w:r>
        <w:rPr>
          <w:spacing w:val="12"/>
          <w:sz w:val="32"/>
          <w:szCs w:val="32"/>
        </w:rPr>
        <w:t>实施市政设施提升改造攻坚战，改善城市公用基础设施</w:t>
      </w:r>
      <w:r>
        <w:rPr>
          <w:spacing w:val="3"/>
          <w:sz w:val="32"/>
          <w:szCs w:val="32"/>
        </w:rPr>
        <w:t>、拓展</w:t>
      </w:r>
      <w:r>
        <w:rPr>
          <w:spacing w:val="12"/>
          <w:sz w:val="32"/>
          <w:szCs w:val="32"/>
        </w:rPr>
        <w:t>基础设施建设空</w:t>
      </w:r>
      <w:r>
        <w:rPr>
          <w:spacing w:val="8"/>
          <w:sz w:val="32"/>
          <w:szCs w:val="32"/>
        </w:rPr>
        <w:t>间，提升</w:t>
      </w:r>
      <w:r>
        <w:rPr>
          <w:spacing w:val="12"/>
          <w:sz w:val="32"/>
          <w:szCs w:val="32"/>
        </w:rPr>
        <w:t>市政设施供给能力</w:t>
      </w:r>
      <w:r>
        <w:rPr>
          <w:spacing w:val="8"/>
          <w:sz w:val="32"/>
          <w:szCs w:val="32"/>
        </w:rPr>
        <w:t>、供给</w:t>
      </w:r>
      <w:r>
        <w:rPr>
          <w:spacing w:val="12"/>
          <w:sz w:val="32"/>
          <w:szCs w:val="32"/>
        </w:rPr>
        <w:t>品质</w:t>
      </w:r>
      <w:r>
        <w:rPr>
          <w:spacing w:val="8"/>
          <w:sz w:val="32"/>
          <w:szCs w:val="32"/>
        </w:rPr>
        <w:t>和服务</w:t>
      </w:r>
      <w:r>
        <w:rPr>
          <w:spacing w:val="8"/>
          <w:w w:val="95"/>
          <w:sz w:val="32"/>
          <w:szCs w:val="32"/>
        </w:rPr>
        <w:t>水平，让市</w:t>
      </w:r>
      <w:r>
        <w:rPr>
          <w:spacing w:val="12"/>
          <w:w w:val="95"/>
          <w:sz w:val="32"/>
          <w:szCs w:val="32"/>
        </w:rPr>
        <w:t>民生活更加</w:t>
      </w:r>
      <w:r>
        <w:rPr>
          <w:spacing w:val="9"/>
          <w:w w:val="95"/>
          <w:sz w:val="32"/>
          <w:szCs w:val="32"/>
        </w:rPr>
        <w:t>便利。加快</w:t>
      </w:r>
      <w:r>
        <w:rPr>
          <w:spacing w:val="12"/>
          <w:w w:val="95"/>
          <w:sz w:val="32"/>
          <w:szCs w:val="32"/>
        </w:rPr>
        <w:t>社区</w:t>
      </w:r>
      <w:r>
        <w:rPr>
          <w:spacing w:val="6"/>
          <w:w w:val="95"/>
          <w:sz w:val="32"/>
          <w:szCs w:val="32"/>
        </w:rPr>
        <w:t>用房、图书馆、派出所、</w:t>
      </w:r>
      <w:r>
        <w:rPr>
          <w:spacing w:val="12"/>
          <w:sz w:val="32"/>
          <w:szCs w:val="32"/>
        </w:rPr>
        <w:t>基层文体设</w:t>
      </w:r>
      <w:r>
        <w:rPr>
          <w:spacing w:val="8"/>
          <w:sz w:val="32"/>
          <w:szCs w:val="32"/>
        </w:rPr>
        <w:t>施、养老</w:t>
      </w:r>
      <w:r>
        <w:rPr>
          <w:spacing w:val="12"/>
          <w:sz w:val="32"/>
          <w:szCs w:val="32"/>
        </w:rPr>
        <w:t>设施等社会综合体</w:t>
      </w:r>
      <w:r>
        <w:rPr>
          <w:spacing w:val="9"/>
          <w:sz w:val="32"/>
          <w:szCs w:val="32"/>
        </w:rPr>
        <w:t>建设，不断</w:t>
      </w:r>
      <w:r>
        <w:rPr>
          <w:spacing w:val="12"/>
          <w:sz w:val="32"/>
          <w:szCs w:val="32"/>
        </w:rPr>
        <w:t>增强</w:t>
      </w:r>
      <w:r>
        <w:rPr>
          <w:spacing w:val="8"/>
          <w:sz w:val="32"/>
          <w:szCs w:val="32"/>
        </w:rPr>
        <w:t>社会公</w:t>
      </w:r>
      <w:r>
        <w:rPr>
          <w:spacing w:val="12"/>
          <w:sz w:val="32"/>
          <w:szCs w:val="32"/>
        </w:rPr>
        <w:t>共服务能力。探索推进“韧性城市”建设，加强灾情预警、</w:t>
      </w:r>
      <w:r>
        <w:rPr>
          <w:sz w:val="32"/>
          <w:szCs w:val="32"/>
        </w:rPr>
        <w:t>消</w:t>
      </w:r>
      <w:r>
        <w:rPr>
          <w:spacing w:val="12"/>
          <w:sz w:val="32"/>
          <w:szCs w:val="32"/>
        </w:rPr>
        <w:t>防应</w:t>
      </w:r>
      <w:r>
        <w:rPr>
          <w:spacing w:val="8"/>
          <w:sz w:val="32"/>
          <w:szCs w:val="32"/>
        </w:rPr>
        <w:t>急救援、物资</w:t>
      </w:r>
      <w:r>
        <w:rPr>
          <w:spacing w:val="12"/>
          <w:sz w:val="32"/>
          <w:szCs w:val="32"/>
        </w:rPr>
        <w:t>储备等防洪减灾公共设施</w:t>
      </w:r>
      <w:r>
        <w:rPr>
          <w:spacing w:val="9"/>
          <w:sz w:val="32"/>
          <w:szCs w:val="32"/>
        </w:rPr>
        <w:t>建设，提高</w:t>
      </w:r>
      <w:r>
        <w:rPr>
          <w:spacing w:val="12"/>
          <w:sz w:val="32"/>
          <w:szCs w:val="32"/>
        </w:rPr>
        <w:t>城市</w:t>
      </w:r>
      <w:r>
        <w:rPr>
          <w:sz w:val="32"/>
          <w:szCs w:val="32"/>
        </w:rPr>
        <w:t>抵</w:t>
      </w:r>
      <w:r>
        <w:rPr>
          <w:spacing w:val="10"/>
          <w:sz w:val="32"/>
          <w:szCs w:val="32"/>
        </w:rPr>
        <w:t>御灾害能</w:t>
      </w:r>
      <w:r>
        <w:rPr>
          <w:spacing w:val="5"/>
          <w:sz w:val="32"/>
          <w:szCs w:val="32"/>
        </w:rPr>
        <w:t>力。</w:t>
      </w:r>
    </w:p>
    <w:p w14:paraId="23252900">
      <w:pPr>
        <w:spacing w:before="156"/>
        <w:ind w:left="2353" w:right="2422"/>
        <w:jc w:val="center"/>
        <w:outlineLvl w:val="0"/>
        <w:rPr>
          <w:rFonts w:ascii="宋体" w:hAnsi="宋体" w:eastAsia="宋体" w:cs="宋体"/>
          <w:b/>
          <w:bCs/>
          <w:sz w:val="32"/>
          <w:szCs w:val="32"/>
        </w:rPr>
      </w:pPr>
      <w:r>
        <w:rPr>
          <w:rFonts w:ascii="宋体" w:hAnsi="宋体" w:eastAsia="宋体" w:cs="宋体"/>
          <w:b/>
          <w:bCs/>
          <w:spacing w:val="14"/>
          <w:sz w:val="32"/>
          <w:szCs w:val="32"/>
        </w:rPr>
        <w:t>第三</w:t>
      </w:r>
      <w:r>
        <w:rPr>
          <w:rFonts w:ascii="宋体" w:hAnsi="宋体" w:eastAsia="宋体" w:cs="宋体"/>
          <w:b/>
          <w:bCs/>
          <w:spacing w:val="56"/>
          <w:sz w:val="32"/>
          <w:szCs w:val="32"/>
        </w:rPr>
        <w:t>节 完</w:t>
      </w:r>
      <w:r>
        <w:rPr>
          <w:rFonts w:ascii="宋体" w:hAnsi="宋体" w:eastAsia="宋体" w:cs="宋体"/>
          <w:b/>
          <w:bCs/>
          <w:spacing w:val="14"/>
          <w:sz w:val="32"/>
          <w:szCs w:val="32"/>
        </w:rPr>
        <w:t>善高</w:t>
      </w:r>
      <w:r>
        <w:rPr>
          <w:rFonts w:ascii="宋体" w:hAnsi="宋体" w:eastAsia="宋体" w:cs="宋体"/>
          <w:b/>
          <w:bCs/>
          <w:spacing w:val="12"/>
          <w:sz w:val="32"/>
          <w:szCs w:val="32"/>
        </w:rPr>
        <w:t>效</w:t>
      </w:r>
      <w:r>
        <w:rPr>
          <w:rFonts w:ascii="宋体" w:hAnsi="宋体" w:eastAsia="宋体" w:cs="宋体"/>
          <w:b/>
          <w:bCs/>
          <w:spacing w:val="14"/>
          <w:sz w:val="32"/>
          <w:szCs w:val="32"/>
        </w:rPr>
        <w:t>衔接区域路</w:t>
      </w:r>
      <w:r>
        <w:rPr>
          <w:rFonts w:ascii="宋体" w:hAnsi="宋体" w:eastAsia="宋体" w:cs="宋体"/>
          <w:b/>
          <w:bCs/>
          <w:spacing w:val="-10"/>
          <w:sz w:val="32"/>
          <w:szCs w:val="32"/>
        </w:rPr>
        <w:t>网</w:t>
      </w:r>
    </w:p>
    <w:p w14:paraId="63A2A12A">
      <w:pPr>
        <w:spacing w:before="10"/>
        <w:rPr>
          <w:rFonts w:ascii="宋体"/>
          <w:b/>
          <w:sz w:val="23"/>
          <w:szCs w:val="32"/>
        </w:rPr>
      </w:pPr>
    </w:p>
    <w:p w14:paraId="710DC2FD">
      <w:pPr>
        <w:ind w:left="878"/>
        <w:rPr>
          <w:rFonts w:ascii="黑体" w:eastAsia="黑体"/>
          <w:sz w:val="32"/>
          <w:szCs w:val="32"/>
        </w:rPr>
      </w:pPr>
      <w:r>
        <w:rPr>
          <w:rFonts w:ascii="黑体" w:eastAsia="黑体"/>
          <w:spacing w:val="12"/>
          <w:w w:val="95"/>
          <w:sz w:val="32"/>
          <w:szCs w:val="32"/>
        </w:rPr>
        <w:t>一、畅通</w:t>
      </w:r>
      <w:r>
        <w:rPr>
          <w:rFonts w:ascii="黑体" w:eastAsia="黑体"/>
          <w:spacing w:val="14"/>
          <w:w w:val="95"/>
          <w:sz w:val="32"/>
          <w:szCs w:val="32"/>
        </w:rPr>
        <w:t>内</w:t>
      </w:r>
      <w:r>
        <w:rPr>
          <w:rFonts w:ascii="黑体" w:eastAsia="黑体"/>
          <w:spacing w:val="12"/>
          <w:w w:val="95"/>
          <w:sz w:val="32"/>
          <w:szCs w:val="32"/>
        </w:rPr>
        <w:t>外交</w:t>
      </w:r>
      <w:r>
        <w:rPr>
          <w:rFonts w:ascii="黑体" w:eastAsia="黑体"/>
          <w:spacing w:val="5"/>
          <w:w w:val="95"/>
          <w:sz w:val="32"/>
          <w:szCs w:val="32"/>
        </w:rPr>
        <w:t>通通道</w:t>
      </w:r>
    </w:p>
    <w:p w14:paraId="37FE51FB">
      <w:pPr>
        <w:spacing w:before="166" w:line="340" w:lineRule="auto"/>
        <w:ind w:left="213" w:right="117" w:firstLine="664"/>
        <w:rPr>
          <w:sz w:val="32"/>
          <w:szCs w:val="32"/>
        </w:rPr>
      </w:pPr>
      <w:r>
        <w:rPr>
          <w:spacing w:val="12"/>
          <w:w w:val="95"/>
          <w:sz w:val="32"/>
          <w:szCs w:val="32"/>
        </w:rPr>
        <w:t>强化对外</w:t>
      </w:r>
      <w:r>
        <w:rPr>
          <w:spacing w:val="8"/>
          <w:w w:val="95"/>
          <w:sz w:val="32"/>
          <w:szCs w:val="32"/>
        </w:rPr>
        <w:t>连接，多点</w:t>
      </w:r>
      <w:r>
        <w:rPr>
          <w:spacing w:val="12"/>
          <w:w w:val="95"/>
          <w:sz w:val="32"/>
          <w:szCs w:val="32"/>
        </w:rPr>
        <w:t>布局城市候机楼</w:t>
      </w:r>
      <w:r>
        <w:rPr>
          <w:spacing w:val="8"/>
          <w:w w:val="95"/>
          <w:sz w:val="32"/>
          <w:szCs w:val="32"/>
        </w:rPr>
        <w:t>，加强</w:t>
      </w:r>
      <w:r>
        <w:rPr>
          <w:spacing w:val="12"/>
          <w:w w:val="95"/>
          <w:sz w:val="32"/>
          <w:szCs w:val="32"/>
        </w:rPr>
        <w:t>与铁</w:t>
      </w:r>
      <w:r>
        <w:rPr>
          <w:spacing w:val="7"/>
          <w:w w:val="95"/>
          <w:sz w:val="32"/>
          <w:szCs w:val="32"/>
        </w:rPr>
        <w:t>路、公路、</w:t>
      </w:r>
      <w:r>
        <w:rPr>
          <w:spacing w:val="12"/>
          <w:sz w:val="32"/>
          <w:szCs w:val="32"/>
        </w:rPr>
        <w:t>机场以及大通道的对接</w:t>
      </w:r>
      <w:r>
        <w:rPr>
          <w:spacing w:val="8"/>
          <w:sz w:val="32"/>
          <w:szCs w:val="32"/>
        </w:rPr>
        <w:t>融合，完善</w:t>
      </w:r>
      <w:r>
        <w:rPr>
          <w:spacing w:val="12"/>
          <w:sz w:val="32"/>
          <w:szCs w:val="32"/>
        </w:rPr>
        <w:t>配套对外运</w:t>
      </w:r>
      <w:r>
        <w:rPr>
          <w:spacing w:val="7"/>
          <w:sz w:val="32"/>
          <w:szCs w:val="32"/>
        </w:rPr>
        <w:t>输通道，推进与</w:t>
      </w:r>
      <w:r>
        <w:rPr>
          <w:spacing w:val="12"/>
          <w:sz w:val="32"/>
          <w:szCs w:val="32"/>
        </w:rPr>
        <w:t>黄河“几”字弯都市圈一体联动发展</w:t>
      </w:r>
      <w:r>
        <w:rPr>
          <w:spacing w:val="7"/>
          <w:sz w:val="32"/>
          <w:szCs w:val="32"/>
        </w:rPr>
        <w:t>。配合</w:t>
      </w:r>
      <w:r>
        <w:rPr>
          <w:spacing w:val="12"/>
          <w:sz w:val="32"/>
          <w:szCs w:val="32"/>
        </w:rPr>
        <w:t>实施</w:t>
      </w:r>
      <w:r>
        <w:rPr>
          <w:spacing w:val="7"/>
          <w:sz w:val="32"/>
          <w:szCs w:val="32"/>
        </w:rPr>
        <w:t>亲水街、宝湖</w:t>
      </w:r>
      <w:r>
        <w:rPr>
          <w:spacing w:val="12"/>
          <w:sz w:val="32"/>
          <w:szCs w:val="32"/>
        </w:rPr>
        <w:t>路、庆</w:t>
      </w:r>
      <w:r>
        <w:rPr>
          <w:spacing w:val="8"/>
          <w:sz w:val="32"/>
          <w:szCs w:val="32"/>
        </w:rPr>
        <w:t>丰街、庆祥</w:t>
      </w:r>
      <w:r>
        <w:rPr>
          <w:spacing w:val="12"/>
          <w:sz w:val="32"/>
          <w:szCs w:val="32"/>
        </w:rPr>
        <w:t>街等城市道路畅通提升工程，协调实施</w:t>
      </w:r>
      <w:r>
        <w:rPr>
          <w:spacing w:val="6"/>
          <w:sz w:val="32"/>
          <w:szCs w:val="32"/>
        </w:rPr>
        <w:t>正源</w:t>
      </w:r>
      <w:r>
        <w:rPr>
          <w:spacing w:val="12"/>
          <w:sz w:val="32"/>
          <w:szCs w:val="32"/>
        </w:rPr>
        <w:t>街、新昌路等路口人行天桥建设，畅通内部通道，建好“产</w:t>
      </w:r>
      <w:r>
        <w:rPr>
          <w:sz w:val="32"/>
          <w:szCs w:val="32"/>
        </w:rPr>
        <w:t>业</w:t>
      </w:r>
      <w:r>
        <w:rPr>
          <w:spacing w:val="-37"/>
          <w:sz w:val="32"/>
          <w:szCs w:val="32"/>
        </w:rPr>
        <w:t>路”，</w:t>
      </w:r>
      <w:r>
        <w:rPr>
          <w:spacing w:val="17"/>
          <w:sz w:val="32"/>
          <w:szCs w:val="32"/>
        </w:rPr>
        <w:t>全面改造提升辖区道路等级。加强城乡交通运输规划</w:t>
      </w:r>
      <w:r>
        <w:rPr>
          <w:sz w:val="32"/>
          <w:szCs w:val="32"/>
        </w:rPr>
        <w:t>衔</w:t>
      </w:r>
      <w:r>
        <w:rPr>
          <w:spacing w:val="12"/>
          <w:sz w:val="32"/>
          <w:szCs w:val="32"/>
        </w:rPr>
        <w:t>接，积极协调公交公司</w:t>
      </w:r>
      <w:r>
        <w:rPr>
          <w:spacing w:val="7"/>
          <w:sz w:val="32"/>
          <w:szCs w:val="32"/>
        </w:rPr>
        <w:t>，加快</w:t>
      </w:r>
      <w:r>
        <w:rPr>
          <w:spacing w:val="12"/>
          <w:sz w:val="32"/>
          <w:szCs w:val="32"/>
        </w:rPr>
        <w:t>城市交通基础路网向农村</w:t>
      </w:r>
      <w:r>
        <w:rPr>
          <w:spacing w:val="8"/>
          <w:sz w:val="32"/>
          <w:szCs w:val="32"/>
        </w:rPr>
        <w:t>延伸建</w:t>
      </w:r>
      <w:r>
        <w:rPr>
          <w:spacing w:val="12"/>
          <w:sz w:val="32"/>
          <w:szCs w:val="32"/>
        </w:rPr>
        <w:t>设，完善农村公交转运体系建设。全面加强“四好农村路</w:t>
      </w:r>
      <w:r>
        <w:rPr>
          <w:spacing w:val="6"/>
          <w:sz w:val="32"/>
          <w:szCs w:val="32"/>
        </w:rPr>
        <w:t>”建</w:t>
      </w:r>
      <w:r>
        <w:rPr>
          <w:spacing w:val="12"/>
          <w:sz w:val="32"/>
          <w:szCs w:val="32"/>
        </w:rPr>
        <w:t>设，打通农资、消费品下乡和农产品进城高效便捷通道，建</w:t>
      </w:r>
      <w:r>
        <w:rPr>
          <w:sz w:val="32"/>
          <w:szCs w:val="32"/>
        </w:rPr>
        <w:t>设</w:t>
      </w:r>
    </w:p>
    <w:p w14:paraId="184A97A1">
      <w:pPr>
        <w:spacing w:line="340" w:lineRule="auto"/>
        <w:sectPr>
          <w:pgSz w:w="11910" w:h="16840"/>
          <w:pgMar w:top="1800" w:right="1200" w:bottom="1160" w:left="1260" w:header="0" w:footer="975" w:gutter="0"/>
          <w:cols w:space="720" w:num="1"/>
        </w:sectPr>
      </w:pPr>
    </w:p>
    <w:p w14:paraId="209056FA">
      <w:pPr>
        <w:spacing w:before="28"/>
        <w:ind w:left="213"/>
        <w:rPr>
          <w:sz w:val="32"/>
          <w:szCs w:val="32"/>
        </w:rPr>
      </w:pPr>
      <w:r>
        <w:rPr>
          <w:spacing w:val="12"/>
          <w:w w:val="95"/>
          <w:sz w:val="32"/>
          <w:szCs w:val="32"/>
        </w:rPr>
        <w:t>集约高效</w:t>
      </w:r>
      <w:r>
        <w:rPr>
          <w:spacing w:val="14"/>
          <w:w w:val="95"/>
          <w:sz w:val="32"/>
          <w:szCs w:val="32"/>
        </w:rPr>
        <w:t>的</w:t>
      </w:r>
      <w:r>
        <w:rPr>
          <w:spacing w:val="12"/>
          <w:w w:val="95"/>
          <w:sz w:val="32"/>
          <w:szCs w:val="32"/>
        </w:rPr>
        <w:t>城乡</w:t>
      </w:r>
      <w:r>
        <w:rPr>
          <w:spacing w:val="14"/>
          <w:w w:val="95"/>
          <w:sz w:val="32"/>
          <w:szCs w:val="32"/>
        </w:rPr>
        <w:t>物</w:t>
      </w:r>
      <w:r>
        <w:rPr>
          <w:spacing w:val="12"/>
          <w:w w:val="95"/>
          <w:sz w:val="32"/>
          <w:szCs w:val="32"/>
        </w:rPr>
        <w:t>流配</w:t>
      </w:r>
      <w:r>
        <w:rPr>
          <w:spacing w:val="14"/>
          <w:w w:val="95"/>
          <w:sz w:val="32"/>
          <w:szCs w:val="32"/>
        </w:rPr>
        <w:t>送</w:t>
      </w:r>
      <w:r>
        <w:rPr>
          <w:spacing w:val="12"/>
          <w:w w:val="95"/>
          <w:sz w:val="32"/>
          <w:szCs w:val="32"/>
        </w:rPr>
        <w:t>体系</w:t>
      </w:r>
      <w:r>
        <w:rPr>
          <w:spacing w:val="-10"/>
          <w:w w:val="95"/>
          <w:sz w:val="32"/>
          <w:szCs w:val="32"/>
        </w:rPr>
        <w:t>。</w:t>
      </w:r>
    </w:p>
    <w:p w14:paraId="5C6570FC">
      <w:pPr>
        <w:spacing w:before="154"/>
        <w:ind w:left="878"/>
        <w:rPr>
          <w:rFonts w:ascii="黑体" w:eastAsia="黑体"/>
          <w:sz w:val="32"/>
          <w:szCs w:val="32"/>
        </w:rPr>
      </w:pPr>
      <w:r>
        <w:rPr>
          <w:rFonts w:ascii="黑体" w:eastAsia="黑体"/>
          <w:spacing w:val="12"/>
          <w:w w:val="95"/>
          <w:sz w:val="32"/>
          <w:szCs w:val="32"/>
        </w:rPr>
        <w:t>二、创新</w:t>
      </w:r>
      <w:r>
        <w:rPr>
          <w:rFonts w:ascii="黑体" w:eastAsia="黑体"/>
          <w:spacing w:val="14"/>
          <w:w w:val="95"/>
          <w:sz w:val="32"/>
          <w:szCs w:val="32"/>
        </w:rPr>
        <w:t>道</w:t>
      </w:r>
      <w:r>
        <w:rPr>
          <w:rFonts w:ascii="黑体" w:eastAsia="黑体"/>
          <w:spacing w:val="12"/>
          <w:w w:val="95"/>
          <w:sz w:val="32"/>
          <w:szCs w:val="32"/>
        </w:rPr>
        <w:t>路养</w:t>
      </w:r>
      <w:r>
        <w:rPr>
          <w:rFonts w:ascii="黑体" w:eastAsia="黑体"/>
          <w:spacing w:val="5"/>
          <w:w w:val="95"/>
          <w:sz w:val="32"/>
          <w:szCs w:val="32"/>
        </w:rPr>
        <w:t>护机制</w:t>
      </w:r>
    </w:p>
    <w:p w14:paraId="3AAC6E48">
      <w:pPr>
        <w:spacing w:before="166" w:line="338" w:lineRule="auto"/>
        <w:ind w:left="213" w:right="115" w:firstLine="664"/>
        <w:rPr>
          <w:sz w:val="32"/>
          <w:szCs w:val="32"/>
        </w:rPr>
      </w:pPr>
      <w:r>
        <w:rPr>
          <w:spacing w:val="9"/>
          <w:w w:val="99"/>
          <w:sz w:val="32"/>
          <w:szCs w:val="32"/>
        </w:rPr>
        <w:t>坚持建管并重，加强道路养护及危桥改造，完善道路沿线</w:t>
      </w:r>
      <w:r>
        <w:rPr>
          <w:spacing w:val="10"/>
          <w:w w:val="99"/>
          <w:sz w:val="32"/>
          <w:szCs w:val="32"/>
        </w:rPr>
        <w:t>亮化设施，引入第三方农村公路养护单位对辖区全部农村公路实施管养，全面推进建养一体化。到</w:t>
      </w:r>
      <w:r>
        <w:rPr>
          <w:spacing w:val="-64"/>
          <w:sz w:val="32"/>
          <w:szCs w:val="32"/>
        </w:rPr>
        <w:t xml:space="preserve"> </w:t>
      </w:r>
      <w:r>
        <w:rPr>
          <w:rFonts w:ascii="Times New Roman" w:hAnsi="Times New Roman" w:eastAsia="Times New Roman"/>
          <w:spacing w:val="3"/>
          <w:w w:val="99"/>
          <w:sz w:val="32"/>
          <w:szCs w:val="32"/>
        </w:rPr>
        <w:t>2</w:t>
      </w:r>
      <w:r>
        <w:rPr>
          <w:rFonts w:ascii="Times New Roman" w:hAnsi="Times New Roman" w:eastAsia="Times New Roman"/>
          <w:spacing w:val="6"/>
          <w:w w:val="99"/>
          <w:sz w:val="32"/>
          <w:szCs w:val="32"/>
        </w:rPr>
        <w:t>02</w:t>
      </w:r>
      <w:r>
        <w:rPr>
          <w:rFonts w:ascii="Times New Roman" w:hAnsi="Times New Roman" w:eastAsia="Times New Roman"/>
          <w:w w:val="99"/>
          <w:sz w:val="32"/>
          <w:szCs w:val="32"/>
        </w:rPr>
        <w:t>5</w:t>
      </w:r>
      <w:r>
        <w:rPr>
          <w:rFonts w:ascii="Times New Roman" w:hAnsi="Times New Roman" w:eastAsia="Times New Roman"/>
          <w:spacing w:val="14"/>
          <w:sz w:val="32"/>
          <w:szCs w:val="32"/>
        </w:rPr>
        <w:t xml:space="preserve"> </w:t>
      </w:r>
      <w:r>
        <w:rPr>
          <w:spacing w:val="9"/>
          <w:w w:val="99"/>
          <w:sz w:val="32"/>
          <w:szCs w:val="32"/>
        </w:rPr>
        <w:t>年，实现路面整洁、</w:t>
      </w:r>
      <w:r>
        <w:rPr>
          <w:spacing w:val="11"/>
          <w:w w:val="99"/>
          <w:sz w:val="32"/>
          <w:szCs w:val="32"/>
        </w:rPr>
        <w:t>横坡适度、行车舒适；路肩整洁、边坡稳定、排水通畅；桥涵</w:t>
      </w:r>
      <w:r>
        <w:rPr>
          <w:w w:val="99"/>
          <w:sz w:val="32"/>
          <w:szCs w:val="32"/>
        </w:rPr>
        <w:t>等构造物完好，沿线设施完善，绿化美观协调，打造“畅、洁、</w:t>
      </w:r>
      <w:r>
        <w:rPr>
          <w:spacing w:val="10"/>
          <w:w w:val="99"/>
          <w:sz w:val="32"/>
          <w:szCs w:val="32"/>
        </w:rPr>
        <w:t>绿、美、安”的道路形象，确保乡村沥青道路全部实现标准化养护，道路好路率达到</w:t>
      </w:r>
      <w:r>
        <w:rPr>
          <w:spacing w:val="-64"/>
          <w:sz w:val="32"/>
          <w:szCs w:val="32"/>
        </w:rPr>
        <w:t xml:space="preserve"> </w:t>
      </w:r>
      <w:r>
        <w:rPr>
          <w:rFonts w:ascii="Times New Roman" w:hAnsi="Times New Roman" w:eastAsia="Times New Roman"/>
          <w:spacing w:val="3"/>
          <w:w w:val="99"/>
          <w:sz w:val="32"/>
          <w:szCs w:val="32"/>
        </w:rPr>
        <w:t>9</w:t>
      </w:r>
      <w:r>
        <w:rPr>
          <w:rFonts w:ascii="Times New Roman" w:hAnsi="Times New Roman" w:eastAsia="Times New Roman"/>
          <w:spacing w:val="6"/>
          <w:w w:val="99"/>
          <w:sz w:val="32"/>
          <w:szCs w:val="32"/>
        </w:rPr>
        <w:t>0</w:t>
      </w:r>
      <w:r>
        <w:rPr>
          <w:rFonts w:ascii="Times New Roman" w:hAnsi="Times New Roman" w:eastAsia="Times New Roman"/>
          <w:spacing w:val="10"/>
          <w:w w:val="99"/>
          <w:sz w:val="32"/>
          <w:szCs w:val="32"/>
        </w:rPr>
        <w:t>%</w:t>
      </w:r>
      <w:r>
        <w:rPr>
          <w:spacing w:val="8"/>
          <w:w w:val="99"/>
          <w:sz w:val="32"/>
          <w:szCs w:val="32"/>
        </w:rPr>
        <w:t>以上。</w:t>
      </w:r>
    </w:p>
    <w:p w14:paraId="040F87DE">
      <w:pPr>
        <w:spacing w:line="407" w:lineRule="exact"/>
        <w:ind w:left="878"/>
        <w:rPr>
          <w:rFonts w:ascii="黑体" w:eastAsia="黑体"/>
          <w:sz w:val="32"/>
          <w:szCs w:val="32"/>
        </w:rPr>
      </w:pPr>
      <w:r>
        <w:rPr>
          <w:rFonts w:ascii="黑体" w:eastAsia="黑体"/>
          <w:spacing w:val="12"/>
          <w:w w:val="95"/>
          <w:sz w:val="32"/>
          <w:szCs w:val="32"/>
        </w:rPr>
        <w:t>三、实施</w:t>
      </w:r>
      <w:r>
        <w:rPr>
          <w:rFonts w:ascii="黑体" w:eastAsia="黑体"/>
          <w:spacing w:val="14"/>
          <w:w w:val="95"/>
          <w:sz w:val="32"/>
          <w:szCs w:val="32"/>
        </w:rPr>
        <w:t>停</w:t>
      </w:r>
      <w:r>
        <w:rPr>
          <w:rFonts w:ascii="黑体" w:eastAsia="黑体"/>
          <w:spacing w:val="12"/>
          <w:w w:val="95"/>
          <w:sz w:val="32"/>
          <w:szCs w:val="32"/>
        </w:rPr>
        <w:t>车场</w:t>
      </w:r>
      <w:r>
        <w:rPr>
          <w:rFonts w:ascii="黑体" w:eastAsia="黑体"/>
          <w:spacing w:val="14"/>
          <w:w w:val="95"/>
          <w:sz w:val="32"/>
          <w:szCs w:val="32"/>
        </w:rPr>
        <w:t>所</w:t>
      </w:r>
      <w:r>
        <w:rPr>
          <w:rFonts w:ascii="黑体" w:eastAsia="黑体"/>
          <w:spacing w:val="12"/>
          <w:w w:val="95"/>
          <w:sz w:val="32"/>
          <w:szCs w:val="32"/>
        </w:rPr>
        <w:t>扩容</w:t>
      </w:r>
      <w:r>
        <w:rPr>
          <w:rFonts w:ascii="黑体" w:eastAsia="黑体"/>
          <w:spacing w:val="2"/>
          <w:w w:val="95"/>
          <w:sz w:val="32"/>
          <w:szCs w:val="32"/>
        </w:rPr>
        <w:t>工程</w:t>
      </w:r>
    </w:p>
    <w:p w14:paraId="49A10911">
      <w:pPr>
        <w:spacing w:before="166" w:line="338" w:lineRule="auto"/>
        <w:ind w:left="213" w:right="117" w:firstLine="664"/>
        <w:rPr>
          <w:spacing w:val="8"/>
          <w:sz w:val="32"/>
          <w:szCs w:val="32"/>
        </w:rPr>
        <w:sectPr>
          <w:pgSz w:w="11910" w:h="16840"/>
          <w:pgMar w:top="1800" w:right="1200" w:bottom="1160" w:left="1260" w:header="0" w:footer="975" w:gutter="0"/>
          <w:cols w:space="720" w:num="1"/>
        </w:sectPr>
      </w:pPr>
      <w:r>
        <w:rPr>
          <w:sz w:val="32"/>
          <w:szCs w:val="32"/>
        </w:rPr>
        <mc:AlternateContent>
          <mc:Choice Requires="wps">
            <w:drawing>
              <wp:anchor distT="0" distB="0" distL="114300" distR="114300" simplePos="0" relativeHeight="251709440" behindDoc="1" locked="0" layoutInCell="1" allowOverlap="1">
                <wp:simplePos x="0" y="0"/>
                <wp:positionH relativeFrom="page">
                  <wp:posOffset>867410</wp:posOffset>
                </wp:positionH>
                <wp:positionV relativeFrom="paragraph">
                  <wp:posOffset>2594610</wp:posOffset>
                </wp:positionV>
                <wp:extent cx="5694680" cy="2411730"/>
                <wp:effectExtent l="0" t="0" r="0" b="0"/>
                <wp:wrapNone/>
                <wp:docPr id="26" name="文本框 26"/>
                <wp:cNvGraphicFramePr/>
                <a:graphic xmlns:a="http://schemas.openxmlformats.org/drawingml/2006/main">
                  <a:graphicData uri="http://schemas.microsoft.com/office/word/2010/wordprocessingShape">
                    <wps:wsp>
                      <wps:cNvSpPr txBox="1">
                        <a:spLocks noChangeArrowheads="1"/>
                      </wps:cNvSpPr>
                      <wps:spPr bwMode="auto">
                        <a:xfrm>
                          <a:off x="0" y="0"/>
                          <a:ext cx="5694680" cy="2411730"/>
                        </a:xfrm>
                        <a:prstGeom prst="rect">
                          <a:avLst/>
                        </a:prstGeom>
                        <a:noFill/>
                        <a:ln w="6096">
                          <a:solidFill>
                            <a:srgbClr val="000000"/>
                          </a:solidFill>
                          <a:miter lim="800000"/>
                        </a:ln>
                      </wps:spPr>
                      <wps:txbx>
                        <w:txbxContent>
                          <w:p w14:paraId="3B375C8E">
                            <w:pPr>
                              <w:pStyle w:val="5"/>
                              <w:spacing w:before="7"/>
                              <w:rPr>
                                <w:sz w:val="17"/>
                              </w:rPr>
                            </w:pPr>
                          </w:p>
                          <w:p w14:paraId="55E676A5">
                            <w:pPr>
                              <w:ind w:left="718" w:right="227"/>
                              <w:jc w:val="center"/>
                              <w:rPr>
                                <w:rFonts w:ascii="黑体" w:eastAsia="黑体"/>
                                <w:sz w:val="24"/>
                              </w:rPr>
                            </w:pPr>
                            <w:r>
                              <w:rPr>
                                <w:rFonts w:ascii="黑体" w:eastAsia="黑体"/>
                                <w:spacing w:val="-12"/>
                                <w:sz w:val="24"/>
                              </w:rPr>
                              <w:t xml:space="preserve">专栏 </w:t>
                            </w:r>
                            <w:r>
                              <w:rPr>
                                <w:rFonts w:ascii="黑体" w:eastAsia="黑体"/>
                                <w:sz w:val="24"/>
                              </w:rPr>
                              <w:t>5</w:t>
                            </w:r>
                            <w:r>
                              <w:rPr>
                                <w:rFonts w:ascii="黑体" w:eastAsia="黑体"/>
                                <w:spacing w:val="20"/>
                                <w:sz w:val="24"/>
                              </w:rPr>
                              <w:t xml:space="preserve"> 城乡建设重点建设项目</w:t>
                            </w:r>
                          </w:p>
                          <w:p w14:paraId="05628797">
                            <w:pPr>
                              <w:spacing w:before="157"/>
                              <w:ind w:left="718" w:right="279"/>
                              <w:jc w:val="center"/>
                              <w:rPr>
                                <w:rFonts w:ascii="宋体" w:eastAsia="宋体"/>
                                <w:sz w:val="21"/>
                              </w:rPr>
                            </w:pPr>
                            <w:r>
                              <w:rPr>
                                <w:rFonts w:hint="eastAsia" w:ascii="宋体" w:eastAsia="宋体"/>
                                <w:b/>
                                <w:spacing w:val="16"/>
                                <w:w w:val="95"/>
                                <w:sz w:val="21"/>
                              </w:rPr>
                              <w:t>优化城市发展空</w:t>
                            </w:r>
                            <w:r>
                              <w:rPr>
                                <w:rFonts w:hint="eastAsia" w:ascii="宋体" w:eastAsia="宋体"/>
                                <w:b/>
                                <w:spacing w:val="14"/>
                                <w:w w:val="95"/>
                                <w:sz w:val="21"/>
                              </w:rPr>
                              <w:t>间</w:t>
                            </w:r>
                            <w:r>
                              <w:rPr>
                                <w:rFonts w:hint="eastAsia" w:ascii="宋体" w:eastAsia="宋体"/>
                                <w:b/>
                                <w:spacing w:val="16"/>
                                <w:w w:val="95"/>
                                <w:sz w:val="21"/>
                              </w:rPr>
                              <w:t>项目。</w:t>
                            </w:r>
                            <w:r>
                              <w:rPr>
                                <w:rFonts w:ascii="宋体" w:eastAsia="宋体"/>
                                <w:spacing w:val="14"/>
                                <w:w w:val="95"/>
                                <w:sz w:val="21"/>
                              </w:rPr>
                              <w:t>银川市中</w:t>
                            </w:r>
                            <w:r>
                              <w:rPr>
                                <w:rFonts w:ascii="宋体" w:eastAsia="宋体"/>
                                <w:spacing w:val="16"/>
                                <w:w w:val="95"/>
                                <w:sz w:val="21"/>
                              </w:rPr>
                              <w:t>北部</w:t>
                            </w:r>
                            <w:r>
                              <w:rPr>
                                <w:rFonts w:ascii="宋体" w:eastAsia="宋体"/>
                                <w:spacing w:val="14"/>
                                <w:w w:val="95"/>
                                <w:sz w:val="21"/>
                              </w:rPr>
                              <w:t>片区首开区</w:t>
                            </w:r>
                            <w:r>
                              <w:rPr>
                                <w:rFonts w:ascii="宋体" w:eastAsia="宋体"/>
                                <w:spacing w:val="16"/>
                                <w:w w:val="95"/>
                                <w:sz w:val="21"/>
                              </w:rPr>
                              <w:t>、经</w:t>
                            </w:r>
                            <w:r>
                              <w:rPr>
                                <w:rFonts w:ascii="宋体" w:eastAsia="宋体"/>
                                <w:spacing w:val="14"/>
                                <w:w w:val="95"/>
                                <w:sz w:val="21"/>
                              </w:rPr>
                              <w:t>开区综</w:t>
                            </w:r>
                            <w:r>
                              <w:rPr>
                                <w:rFonts w:ascii="宋体" w:eastAsia="宋体"/>
                                <w:spacing w:val="16"/>
                                <w:w w:val="95"/>
                                <w:sz w:val="21"/>
                              </w:rPr>
                              <w:t>合配</w:t>
                            </w:r>
                            <w:r>
                              <w:rPr>
                                <w:rFonts w:ascii="宋体" w:eastAsia="宋体"/>
                                <w:spacing w:val="14"/>
                                <w:w w:val="95"/>
                                <w:sz w:val="21"/>
                              </w:rPr>
                              <w:t>套区、</w:t>
                            </w:r>
                            <w:r>
                              <w:rPr>
                                <w:rFonts w:ascii="宋体" w:eastAsia="宋体"/>
                                <w:spacing w:val="16"/>
                                <w:w w:val="95"/>
                                <w:sz w:val="21"/>
                              </w:rPr>
                              <w:t>丝路</w:t>
                            </w:r>
                            <w:r>
                              <w:rPr>
                                <w:rFonts w:ascii="宋体" w:eastAsia="宋体"/>
                                <w:spacing w:val="6"/>
                                <w:w w:val="95"/>
                                <w:sz w:val="21"/>
                              </w:rPr>
                              <w:t>明珠塔</w:t>
                            </w:r>
                          </w:p>
                          <w:p w14:paraId="2FF851B2">
                            <w:pPr>
                              <w:spacing w:before="132"/>
                              <w:ind w:left="102"/>
                              <w:rPr>
                                <w:rFonts w:ascii="宋体" w:eastAsia="宋体"/>
                                <w:sz w:val="21"/>
                              </w:rPr>
                            </w:pPr>
                            <w:r>
                              <w:rPr>
                                <w:rFonts w:ascii="宋体" w:eastAsia="宋体"/>
                                <w:spacing w:val="11"/>
                                <w:w w:val="95"/>
                                <w:sz w:val="21"/>
                              </w:rPr>
                              <w:t>（综合商业开发项目</w:t>
                            </w:r>
                            <w:r>
                              <w:rPr>
                                <w:rFonts w:ascii="宋体" w:eastAsia="宋体"/>
                                <w:spacing w:val="14"/>
                                <w:w w:val="95"/>
                                <w:sz w:val="21"/>
                              </w:rPr>
                              <w:t>）</w:t>
                            </w:r>
                            <w:r>
                              <w:rPr>
                                <w:rFonts w:ascii="宋体" w:eastAsia="宋体"/>
                                <w:spacing w:val="5"/>
                                <w:w w:val="95"/>
                                <w:sz w:val="21"/>
                              </w:rPr>
                              <w:t>等项目。</w:t>
                            </w:r>
                          </w:p>
                          <w:p w14:paraId="6462E916">
                            <w:pPr>
                              <w:spacing w:before="129" w:line="357" w:lineRule="auto"/>
                              <w:ind w:left="102" w:right="108" w:firstLine="444"/>
                              <w:jc w:val="both"/>
                              <w:rPr>
                                <w:rFonts w:ascii="宋体" w:eastAsia="宋体"/>
                                <w:sz w:val="21"/>
                              </w:rPr>
                            </w:pPr>
                            <w:r>
                              <w:rPr>
                                <w:rFonts w:hint="eastAsia" w:ascii="宋体" w:eastAsia="宋体"/>
                                <w:b/>
                                <w:spacing w:val="16"/>
                                <w:w w:val="99"/>
                                <w:sz w:val="21"/>
                              </w:rPr>
                              <w:t>城市更新项目。</w:t>
                            </w:r>
                            <w:r>
                              <w:rPr>
                                <w:rFonts w:ascii="宋体" w:eastAsia="宋体"/>
                                <w:spacing w:val="13"/>
                                <w:w w:val="99"/>
                                <w:sz w:val="21"/>
                              </w:rPr>
                              <w:t>金凤区棚户区改造、盈南安置区四期、金凤区老旧小区建筑节能综合整治改造、金凤区老旧小区基础设施综合整治改造、福通小区邻里中心、西湖苑小区邻里</w:t>
                            </w:r>
                            <w:r>
                              <w:rPr>
                                <w:rFonts w:ascii="宋体" w:eastAsia="宋体"/>
                                <w:spacing w:val="10"/>
                                <w:w w:val="99"/>
                                <w:sz w:val="21"/>
                              </w:rPr>
                              <w:t>中心、丰泽美居智慧社区等项目。</w:t>
                            </w:r>
                          </w:p>
                          <w:p w14:paraId="4194DF83">
                            <w:pPr>
                              <w:spacing w:line="357" w:lineRule="auto"/>
                              <w:ind w:left="102" w:right="103" w:firstLine="444"/>
                              <w:jc w:val="both"/>
                              <w:rPr>
                                <w:rFonts w:ascii="Calibri" w:eastAsia="Calibri"/>
                                <w:sz w:val="21"/>
                              </w:rPr>
                            </w:pPr>
                            <w:r>
                              <w:rPr>
                                <w:rFonts w:hint="eastAsia" w:ascii="宋体" w:eastAsia="宋体"/>
                                <w:b/>
                                <w:spacing w:val="12"/>
                                <w:sz w:val="21"/>
                              </w:rPr>
                              <w:t>智慧数字信息项目。</w:t>
                            </w:r>
                            <w:r>
                              <w:rPr>
                                <w:rFonts w:ascii="Calibri" w:eastAsia="Calibri"/>
                                <w:sz w:val="21"/>
                              </w:rPr>
                              <w:t xml:space="preserve">5G </w:t>
                            </w:r>
                            <w:r>
                              <w:rPr>
                                <w:rFonts w:ascii="宋体" w:eastAsia="宋体"/>
                                <w:spacing w:val="11"/>
                                <w:sz w:val="21"/>
                              </w:rPr>
                              <w:t>智慧</w:t>
                            </w:r>
                            <w:r>
                              <w:rPr>
                                <w:rFonts w:ascii="宋体" w:eastAsia="宋体"/>
                                <w:spacing w:val="12"/>
                                <w:sz w:val="21"/>
                              </w:rPr>
                              <w:t>广电</w:t>
                            </w:r>
                            <w:r>
                              <w:rPr>
                                <w:rFonts w:ascii="宋体" w:eastAsia="宋体"/>
                                <w:spacing w:val="11"/>
                                <w:sz w:val="21"/>
                              </w:rPr>
                              <w:t>服务设</w:t>
                            </w:r>
                            <w:r>
                              <w:rPr>
                                <w:rFonts w:ascii="宋体" w:eastAsia="宋体"/>
                                <w:spacing w:val="12"/>
                                <w:sz w:val="21"/>
                              </w:rPr>
                              <w:t>施、</w:t>
                            </w:r>
                            <w:r>
                              <w:rPr>
                                <w:rFonts w:ascii="宋体" w:eastAsia="宋体"/>
                                <w:spacing w:val="11"/>
                                <w:sz w:val="21"/>
                              </w:rPr>
                              <w:t>金</w:t>
                            </w:r>
                            <w:r>
                              <w:rPr>
                                <w:rFonts w:ascii="宋体" w:eastAsia="宋体"/>
                                <w:spacing w:val="12"/>
                                <w:sz w:val="21"/>
                              </w:rPr>
                              <w:t>凤区</w:t>
                            </w:r>
                            <w:r>
                              <w:rPr>
                                <w:rFonts w:ascii="宋体" w:eastAsia="宋体"/>
                                <w:spacing w:val="11"/>
                                <w:sz w:val="21"/>
                              </w:rPr>
                              <w:t>设施园</w:t>
                            </w:r>
                            <w:r>
                              <w:rPr>
                                <w:rFonts w:ascii="宋体" w:eastAsia="宋体"/>
                                <w:spacing w:val="12"/>
                                <w:sz w:val="21"/>
                              </w:rPr>
                              <w:t>艺全</w:t>
                            </w:r>
                            <w:r>
                              <w:rPr>
                                <w:rFonts w:ascii="宋体" w:eastAsia="宋体"/>
                                <w:spacing w:val="11"/>
                                <w:sz w:val="21"/>
                              </w:rPr>
                              <w:t>产</w:t>
                            </w:r>
                            <w:r>
                              <w:rPr>
                                <w:rFonts w:ascii="宋体" w:eastAsia="宋体"/>
                                <w:spacing w:val="12"/>
                                <w:sz w:val="21"/>
                              </w:rPr>
                              <w:t>业链</w:t>
                            </w:r>
                            <w:r>
                              <w:rPr>
                                <w:rFonts w:ascii="宋体" w:eastAsia="宋体"/>
                                <w:spacing w:val="11"/>
                                <w:sz w:val="21"/>
                              </w:rPr>
                              <w:t>智慧农</w:t>
                            </w:r>
                            <w:r>
                              <w:rPr>
                                <w:rFonts w:ascii="宋体" w:eastAsia="宋体"/>
                                <w:spacing w:val="12"/>
                                <w:sz w:val="21"/>
                              </w:rPr>
                              <w:t>业科</w:t>
                            </w:r>
                            <w:r>
                              <w:rPr>
                                <w:rFonts w:ascii="宋体" w:eastAsia="宋体"/>
                                <w:spacing w:val="5"/>
                                <w:sz w:val="21"/>
                              </w:rPr>
                              <w:t>技示</w:t>
                            </w:r>
                            <w:r>
                              <w:rPr>
                                <w:rFonts w:ascii="宋体" w:eastAsia="宋体"/>
                                <w:spacing w:val="8"/>
                                <w:w w:val="95"/>
                                <w:sz w:val="21"/>
                              </w:rPr>
                              <w:t>范展示区、智慧电梯大数据平台、智慧物流综合管控</w:t>
                            </w:r>
                            <w:r>
                              <w:rPr>
                                <w:rFonts w:ascii="宋体" w:eastAsia="宋体"/>
                                <w:spacing w:val="14"/>
                                <w:w w:val="95"/>
                                <w:sz w:val="21"/>
                              </w:rPr>
                              <w:t>平台</w:t>
                            </w:r>
                            <w:r>
                              <w:rPr>
                                <w:rFonts w:ascii="宋体" w:eastAsia="宋体"/>
                                <w:spacing w:val="6"/>
                                <w:w w:val="95"/>
                                <w:sz w:val="21"/>
                              </w:rPr>
                              <w:t>、金凤区</w:t>
                            </w:r>
                            <w:r>
                              <w:rPr>
                                <w:rFonts w:ascii="宋体" w:eastAsia="宋体"/>
                                <w:spacing w:val="42"/>
                                <w:sz w:val="21"/>
                              </w:rPr>
                              <w:t xml:space="preserve"> </w:t>
                            </w:r>
                            <w:r>
                              <w:rPr>
                                <w:rFonts w:ascii="Calibri" w:eastAsia="Calibri"/>
                                <w:w w:val="95"/>
                                <w:sz w:val="21"/>
                              </w:rPr>
                              <w:t>5G</w:t>
                            </w:r>
                            <w:r>
                              <w:rPr>
                                <w:rFonts w:ascii="Calibri" w:eastAsia="Calibri"/>
                                <w:spacing w:val="75"/>
                                <w:w w:val="150"/>
                                <w:sz w:val="21"/>
                              </w:rPr>
                              <w:t xml:space="preserve"> </w:t>
                            </w:r>
                            <w:r>
                              <w:rPr>
                                <w:rFonts w:ascii="宋体" w:eastAsia="宋体"/>
                                <w:spacing w:val="7"/>
                                <w:w w:val="95"/>
                                <w:sz w:val="21"/>
                              </w:rPr>
                              <w:t>网络覆盖、金凤区</w:t>
                            </w:r>
                            <w:r>
                              <w:rPr>
                                <w:rFonts w:ascii="宋体" w:eastAsia="宋体"/>
                                <w:spacing w:val="46"/>
                                <w:sz w:val="21"/>
                              </w:rPr>
                              <w:t xml:space="preserve"> </w:t>
                            </w:r>
                            <w:r>
                              <w:rPr>
                                <w:rFonts w:ascii="Calibri" w:eastAsia="Calibri"/>
                                <w:spacing w:val="-5"/>
                                <w:w w:val="95"/>
                                <w:sz w:val="21"/>
                              </w:rPr>
                              <w:t>5G</w:t>
                            </w:r>
                          </w:p>
                          <w:p w14:paraId="074F7B5C">
                            <w:pPr>
                              <w:spacing w:line="266" w:lineRule="exact"/>
                              <w:ind w:left="102"/>
                              <w:jc w:val="both"/>
                              <w:rPr>
                                <w:rFonts w:ascii="宋体" w:eastAsia="宋体"/>
                                <w:sz w:val="21"/>
                              </w:rPr>
                            </w:pPr>
                            <w:r>
                              <w:rPr>
                                <w:rFonts w:ascii="宋体" w:eastAsia="宋体"/>
                                <w:spacing w:val="7"/>
                                <w:w w:val="95"/>
                                <w:sz w:val="21"/>
                              </w:rPr>
                              <w:t>基站</w:t>
                            </w:r>
                            <w:r>
                              <w:rPr>
                                <w:rFonts w:ascii="宋体" w:eastAsia="宋体"/>
                                <w:spacing w:val="17"/>
                                <w:sz w:val="21"/>
                              </w:rPr>
                              <w:t xml:space="preserve">  </w:t>
                            </w:r>
                            <w:r>
                              <w:rPr>
                                <w:rFonts w:ascii="Calibri" w:eastAsia="Calibri"/>
                                <w:w w:val="95"/>
                                <w:sz w:val="21"/>
                              </w:rPr>
                              <w:t>C-RAN</w:t>
                            </w:r>
                            <w:r>
                              <w:rPr>
                                <w:rFonts w:ascii="Calibri" w:eastAsia="Calibri"/>
                                <w:spacing w:val="67"/>
                                <w:sz w:val="21"/>
                              </w:rPr>
                              <w:t xml:space="preserve">  </w:t>
                            </w:r>
                            <w:r>
                              <w:rPr>
                                <w:rFonts w:ascii="宋体" w:eastAsia="宋体"/>
                                <w:spacing w:val="15"/>
                                <w:w w:val="95"/>
                                <w:sz w:val="21"/>
                              </w:rPr>
                              <w:t>汇聚</w:t>
                            </w:r>
                            <w:r>
                              <w:rPr>
                                <w:rFonts w:ascii="宋体" w:eastAsia="宋体"/>
                                <w:spacing w:val="14"/>
                                <w:w w:val="95"/>
                                <w:sz w:val="21"/>
                              </w:rPr>
                              <w:t>机房</w:t>
                            </w:r>
                            <w:r>
                              <w:rPr>
                                <w:rFonts w:ascii="宋体" w:eastAsia="宋体"/>
                                <w:spacing w:val="16"/>
                                <w:w w:val="95"/>
                                <w:sz w:val="21"/>
                              </w:rPr>
                              <w:t>、</w:t>
                            </w:r>
                            <w:r>
                              <w:rPr>
                                <w:rFonts w:ascii="宋体" w:eastAsia="宋体"/>
                                <w:spacing w:val="14"/>
                                <w:w w:val="95"/>
                                <w:sz w:val="21"/>
                              </w:rPr>
                              <w:t>金凤</w:t>
                            </w:r>
                            <w:r>
                              <w:rPr>
                                <w:rFonts w:ascii="宋体" w:eastAsia="宋体"/>
                                <w:spacing w:val="15"/>
                                <w:w w:val="95"/>
                                <w:sz w:val="21"/>
                              </w:rPr>
                              <w:t>区企业</w:t>
                            </w:r>
                            <w:r>
                              <w:rPr>
                                <w:rFonts w:ascii="宋体" w:eastAsia="宋体"/>
                                <w:spacing w:val="14"/>
                                <w:w w:val="95"/>
                                <w:sz w:val="21"/>
                              </w:rPr>
                              <w:t>信息</w:t>
                            </w:r>
                            <w:r>
                              <w:rPr>
                                <w:rFonts w:ascii="宋体" w:eastAsia="宋体"/>
                                <w:spacing w:val="16"/>
                                <w:w w:val="95"/>
                                <w:sz w:val="21"/>
                              </w:rPr>
                              <w:t>数</w:t>
                            </w:r>
                            <w:r>
                              <w:rPr>
                                <w:rFonts w:ascii="宋体" w:eastAsia="宋体"/>
                                <w:spacing w:val="14"/>
                                <w:w w:val="95"/>
                                <w:sz w:val="21"/>
                              </w:rPr>
                              <w:t>据分</w:t>
                            </w:r>
                            <w:r>
                              <w:rPr>
                                <w:rFonts w:ascii="宋体" w:eastAsia="宋体"/>
                                <w:spacing w:val="16"/>
                                <w:w w:val="95"/>
                                <w:sz w:val="21"/>
                              </w:rPr>
                              <w:t>析</w:t>
                            </w:r>
                            <w:r>
                              <w:rPr>
                                <w:rFonts w:ascii="宋体" w:eastAsia="宋体"/>
                                <w:spacing w:val="14"/>
                                <w:w w:val="95"/>
                                <w:sz w:val="21"/>
                              </w:rPr>
                              <w:t>、金</w:t>
                            </w:r>
                            <w:r>
                              <w:rPr>
                                <w:rFonts w:ascii="宋体" w:eastAsia="宋体"/>
                                <w:spacing w:val="16"/>
                                <w:w w:val="95"/>
                                <w:sz w:val="21"/>
                              </w:rPr>
                              <w:t>凤</w:t>
                            </w:r>
                            <w:r>
                              <w:rPr>
                                <w:rFonts w:ascii="宋体" w:eastAsia="宋体"/>
                                <w:spacing w:val="14"/>
                                <w:w w:val="95"/>
                                <w:sz w:val="21"/>
                              </w:rPr>
                              <w:t>区基</w:t>
                            </w:r>
                            <w:r>
                              <w:rPr>
                                <w:rFonts w:ascii="宋体" w:eastAsia="宋体"/>
                                <w:spacing w:val="15"/>
                                <w:w w:val="95"/>
                                <w:sz w:val="21"/>
                              </w:rPr>
                              <w:t>层政务</w:t>
                            </w:r>
                            <w:r>
                              <w:rPr>
                                <w:rFonts w:ascii="宋体" w:eastAsia="宋体"/>
                                <w:spacing w:val="14"/>
                                <w:w w:val="95"/>
                                <w:sz w:val="21"/>
                              </w:rPr>
                              <w:t>审批</w:t>
                            </w:r>
                            <w:r>
                              <w:rPr>
                                <w:rFonts w:ascii="宋体" w:eastAsia="宋体"/>
                                <w:spacing w:val="16"/>
                                <w:w w:val="95"/>
                                <w:sz w:val="21"/>
                              </w:rPr>
                              <w:t>便</w:t>
                            </w:r>
                            <w:r>
                              <w:rPr>
                                <w:rFonts w:ascii="宋体" w:eastAsia="宋体"/>
                                <w:spacing w:val="14"/>
                                <w:w w:val="95"/>
                                <w:sz w:val="21"/>
                              </w:rPr>
                              <w:t>民化</w:t>
                            </w:r>
                            <w:r>
                              <w:rPr>
                                <w:rFonts w:ascii="宋体" w:eastAsia="宋体"/>
                                <w:spacing w:val="16"/>
                                <w:w w:val="95"/>
                                <w:sz w:val="21"/>
                              </w:rPr>
                              <w:t>治</w:t>
                            </w:r>
                            <w:r>
                              <w:rPr>
                                <w:rFonts w:ascii="宋体" w:eastAsia="宋体"/>
                                <w:spacing w:val="14"/>
                                <w:w w:val="95"/>
                                <w:sz w:val="21"/>
                              </w:rPr>
                              <w:t>理综</w:t>
                            </w:r>
                            <w:r>
                              <w:rPr>
                                <w:rFonts w:ascii="宋体" w:eastAsia="宋体"/>
                                <w:spacing w:val="3"/>
                                <w:w w:val="95"/>
                                <w:sz w:val="21"/>
                              </w:rPr>
                              <w:t>合服</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68.3pt;margin-top:204.3pt;height:189.9pt;width:448.4pt;mso-position-horizontal-relative:page;z-index:-251607040;mso-width-relative:page;mso-height-relative:page;" filled="f" stroked="t" coordsize="21600,21600" o:gfxdata="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kgZPdgAAAAMAQAADwAAAAAAAAABACAAAAAiAAAAZHJzL2Rvd25y&#10;ZXYueG1sUEsBAhQAFAAAAAgAh07iQNbqag43AgAAUQQAAA4AAAAAAAAAAQAgAAAAJwEAAGRycy9l&#10;Mm9Eb2MueG1sUEsFBgAAAAAGAAYAWQEAANAFAAAAAA==&#10;">
                <v:fill on="f" focussize="0,0"/>
                <v:stroke weight="0.48pt" color="#000000" miterlimit="8" joinstyle="miter"/>
                <v:imagedata o:title=""/>
                <o:lock v:ext="edit" aspectratio="f"/>
                <v:textbox inset="0mm,0mm,0mm,0mm">
                  <w:txbxContent>
                    <w:p w14:paraId="3B375C8E">
                      <w:pPr>
                        <w:pStyle w:val="5"/>
                        <w:spacing w:before="7"/>
                        <w:rPr>
                          <w:sz w:val="17"/>
                        </w:rPr>
                      </w:pPr>
                    </w:p>
                    <w:p w14:paraId="55E676A5">
                      <w:pPr>
                        <w:ind w:left="718" w:right="227"/>
                        <w:jc w:val="center"/>
                        <w:rPr>
                          <w:rFonts w:ascii="黑体" w:eastAsia="黑体"/>
                          <w:sz w:val="24"/>
                        </w:rPr>
                      </w:pPr>
                      <w:r>
                        <w:rPr>
                          <w:rFonts w:ascii="黑体" w:eastAsia="黑体"/>
                          <w:spacing w:val="-12"/>
                          <w:sz w:val="24"/>
                        </w:rPr>
                        <w:t xml:space="preserve">专栏 </w:t>
                      </w:r>
                      <w:r>
                        <w:rPr>
                          <w:rFonts w:ascii="黑体" w:eastAsia="黑体"/>
                          <w:sz w:val="24"/>
                        </w:rPr>
                        <w:t>5</w:t>
                      </w:r>
                      <w:r>
                        <w:rPr>
                          <w:rFonts w:ascii="黑体" w:eastAsia="黑体"/>
                          <w:spacing w:val="20"/>
                          <w:sz w:val="24"/>
                        </w:rPr>
                        <w:t xml:space="preserve"> 城乡建设重点建设项目</w:t>
                      </w:r>
                    </w:p>
                    <w:p w14:paraId="05628797">
                      <w:pPr>
                        <w:spacing w:before="157"/>
                        <w:ind w:left="718" w:right="279"/>
                        <w:jc w:val="center"/>
                        <w:rPr>
                          <w:rFonts w:ascii="宋体" w:eastAsia="宋体"/>
                          <w:sz w:val="21"/>
                        </w:rPr>
                      </w:pPr>
                      <w:r>
                        <w:rPr>
                          <w:rFonts w:hint="eastAsia" w:ascii="宋体" w:eastAsia="宋体"/>
                          <w:b/>
                          <w:spacing w:val="16"/>
                          <w:w w:val="95"/>
                          <w:sz w:val="21"/>
                        </w:rPr>
                        <w:t>优化城市发展空</w:t>
                      </w:r>
                      <w:r>
                        <w:rPr>
                          <w:rFonts w:hint="eastAsia" w:ascii="宋体" w:eastAsia="宋体"/>
                          <w:b/>
                          <w:spacing w:val="14"/>
                          <w:w w:val="95"/>
                          <w:sz w:val="21"/>
                        </w:rPr>
                        <w:t>间</w:t>
                      </w:r>
                      <w:r>
                        <w:rPr>
                          <w:rFonts w:hint="eastAsia" w:ascii="宋体" w:eastAsia="宋体"/>
                          <w:b/>
                          <w:spacing w:val="16"/>
                          <w:w w:val="95"/>
                          <w:sz w:val="21"/>
                        </w:rPr>
                        <w:t>项目。</w:t>
                      </w:r>
                      <w:r>
                        <w:rPr>
                          <w:rFonts w:ascii="宋体" w:eastAsia="宋体"/>
                          <w:spacing w:val="14"/>
                          <w:w w:val="95"/>
                          <w:sz w:val="21"/>
                        </w:rPr>
                        <w:t>银川市中</w:t>
                      </w:r>
                      <w:r>
                        <w:rPr>
                          <w:rFonts w:ascii="宋体" w:eastAsia="宋体"/>
                          <w:spacing w:val="16"/>
                          <w:w w:val="95"/>
                          <w:sz w:val="21"/>
                        </w:rPr>
                        <w:t>北部</w:t>
                      </w:r>
                      <w:r>
                        <w:rPr>
                          <w:rFonts w:ascii="宋体" w:eastAsia="宋体"/>
                          <w:spacing w:val="14"/>
                          <w:w w:val="95"/>
                          <w:sz w:val="21"/>
                        </w:rPr>
                        <w:t>片区首开区</w:t>
                      </w:r>
                      <w:r>
                        <w:rPr>
                          <w:rFonts w:ascii="宋体" w:eastAsia="宋体"/>
                          <w:spacing w:val="16"/>
                          <w:w w:val="95"/>
                          <w:sz w:val="21"/>
                        </w:rPr>
                        <w:t>、经</w:t>
                      </w:r>
                      <w:r>
                        <w:rPr>
                          <w:rFonts w:ascii="宋体" w:eastAsia="宋体"/>
                          <w:spacing w:val="14"/>
                          <w:w w:val="95"/>
                          <w:sz w:val="21"/>
                        </w:rPr>
                        <w:t>开区综</w:t>
                      </w:r>
                      <w:r>
                        <w:rPr>
                          <w:rFonts w:ascii="宋体" w:eastAsia="宋体"/>
                          <w:spacing w:val="16"/>
                          <w:w w:val="95"/>
                          <w:sz w:val="21"/>
                        </w:rPr>
                        <w:t>合配</w:t>
                      </w:r>
                      <w:r>
                        <w:rPr>
                          <w:rFonts w:ascii="宋体" w:eastAsia="宋体"/>
                          <w:spacing w:val="14"/>
                          <w:w w:val="95"/>
                          <w:sz w:val="21"/>
                        </w:rPr>
                        <w:t>套区、</w:t>
                      </w:r>
                      <w:r>
                        <w:rPr>
                          <w:rFonts w:ascii="宋体" w:eastAsia="宋体"/>
                          <w:spacing w:val="16"/>
                          <w:w w:val="95"/>
                          <w:sz w:val="21"/>
                        </w:rPr>
                        <w:t>丝路</w:t>
                      </w:r>
                      <w:r>
                        <w:rPr>
                          <w:rFonts w:ascii="宋体" w:eastAsia="宋体"/>
                          <w:spacing w:val="6"/>
                          <w:w w:val="95"/>
                          <w:sz w:val="21"/>
                        </w:rPr>
                        <w:t>明珠塔</w:t>
                      </w:r>
                    </w:p>
                    <w:p w14:paraId="2FF851B2">
                      <w:pPr>
                        <w:spacing w:before="132"/>
                        <w:ind w:left="102"/>
                        <w:rPr>
                          <w:rFonts w:ascii="宋体" w:eastAsia="宋体"/>
                          <w:sz w:val="21"/>
                        </w:rPr>
                      </w:pPr>
                      <w:r>
                        <w:rPr>
                          <w:rFonts w:ascii="宋体" w:eastAsia="宋体"/>
                          <w:spacing w:val="11"/>
                          <w:w w:val="95"/>
                          <w:sz w:val="21"/>
                        </w:rPr>
                        <w:t>（综合商业开发项目</w:t>
                      </w:r>
                      <w:r>
                        <w:rPr>
                          <w:rFonts w:ascii="宋体" w:eastAsia="宋体"/>
                          <w:spacing w:val="14"/>
                          <w:w w:val="95"/>
                          <w:sz w:val="21"/>
                        </w:rPr>
                        <w:t>）</w:t>
                      </w:r>
                      <w:r>
                        <w:rPr>
                          <w:rFonts w:ascii="宋体" w:eastAsia="宋体"/>
                          <w:spacing w:val="5"/>
                          <w:w w:val="95"/>
                          <w:sz w:val="21"/>
                        </w:rPr>
                        <w:t>等项目。</w:t>
                      </w:r>
                    </w:p>
                    <w:p w14:paraId="6462E916">
                      <w:pPr>
                        <w:spacing w:before="129" w:line="357" w:lineRule="auto"/>
                        <w:ind w:left="102" w:right="108" w:firstLine="444"/>
                        <w:jc w:val="both"/>
                        <w:rPr>
                          <w:rFonts w:ascii="宋体" w:eastAsia="宋体"/>
                          <w:sz w:val="21"/>
                        </w:rPr>
                      </w:pPr>
                      <w:r>
                        <w:rPr>
                          <w:rFonts w:hint="eastAsia" w:ascii="宋体" w:eastAsia="宋体"/>
                          <w:b/>
                          <w:spacing w:val="16"/>
                          <w:w w:val="99"/>
                          <w:sz w:val="21"/>
                        </w:rPr>
                        <w:t>城市更新项目。</w:t>
                      </w:r>
                      <w:r>
                        <w:rPr>
                          <w:rFonts w:ascii="宋体" w:eastAsia="宋体"/>
                          <w:spacing w:val="13"/>
                          <w:w w:val="99"/>
                          <w:sz w:val="21"/>
                        </w:rPr>
                        <w:t>金凤区棚户区改造、盈南安置区四期、金凤区老旧小区建筑节能综合整治改造、金凤区老旧小区基础设施综合整治改造、福通小区邻里中心、西湖苑小区邻里</w:t>
                      </w:r>
                      <w:r>
                        <w:rPr>
                          <w:rFonts w:ascii="宋体" w:eastAsia="宋体"/>
                          <w:spacing w:val="10"/>
                          <w:w w:val="99"/>
                          <w:sz w:val="21"/>
                        </w:rPr>
                        <w:t>中心、丰泽美居智慧社区等项目。</w:t>
                      </w:r>
                    </w:p>
                    <w:p w14:paraId="4194DF83">
                      <w:pPr>
                        <w:spacing w:line="357" w:lineRule="auto"/>
                        <w:ind w:left="102" w:right="103" w:firstLine="444"/>
                        <w:jc w:val="both"/>
                        <w:rPr>
                          <w:rFonts w:ascii="Calibri" w:eastAsia="Calibri"/>
                          <w:sz w:val="21"/>
                        </w:rPr>
                      </w:pPr>
                      <w:r>
                        <w:rPr>
                          <w:rFonts w:hint="eastAsia" w:ascii="宋体" w:eastAsia="宋体"/>
                          <w:b/>
                          <w:spacing w:val="12"/>
                          <w:sz w:val="21"/>
                        </w:rPr>
                        <w:t>智慧数字信息项目。</w:t>
                      </w:r>
                      <w:r>
                        <w:rPr>
                          <w:rFonts w:ascii="Calibri" w:eastAsia="Calibri"/>
                          <w:sz w:val="21"/>
                        </w:rPr>
                        <w:t xml:space="preserve">5G </w:t>
                      </w:r>
                      <w:r>
                        <w:rPr>
                          <w:rFonts w:ascii="宋体" w:eastAsia="宋体"/>
                          <w:spacing w:val="11"/>
                          <w:sz w:val="21"/>
                        </w:rPr>
                        <w:t>智慧</w:t>
                      </w:r>
                      <w:r>
                        <w:rPr>
                          <w:rFonts w:ascii="宋体" w:eastAsia="宋体"/>
                          <w:spacing w:val="12"/>
                          <w:sz w:val="21"/>
                        </w:rPr>
                        <w:t>广电</w:t>
                      </w:r>
                      <w:r>
                        <w:rPr>
                          <w:rFonts w:ascii="宋体" w:eastAsia="宋体"/>
                          <w:spacing w:val="11"/>
                          <w:sz w:val="21"/>
                        </w:rPr>
                        <w:t>服务设</w:t>
                      </w:r>
                      <w:r>
                        <w:rPr>
                          <w:rFonts w:ascii="宋体" w:eastAsia="宋体"/>
                          <w:spacing w:val="12"/>
                          <w:sz w:val="21"/>
                        </w:rPr>
                        <w:t>施、</w:t>
                      </w:r>
                      <w:r>
                        <w:rPr>
                          <w:rFonts w:ascii="宋体" w:eastAsia="宋体"/>
                          <w:spacing w:val="11"/>
                          <w:sz w:val="21"/>
                        </w:rPr>
                        <w:t>金</w:t>
                      </w:r>
                      <w:r>
                        <w:rPr>
                          <w:rFonts w:ascii="宋体" w:eastAsia="宋体"/>
                          <w:spacing w:val="12"/>
                          <w:sz w:val="21"/>
                        </w:rPr>
                        <w:t>凤区</w:t>
                      </w:r>
                      <w:r>
                        <w:rPr>
                          <w:rFonts w:ascii="宋体" w:eastAsia="宋体"/>
                          <w:spacing w:val="11"/>
                          <w:sz w:val="21"/>
                        </w:rPr>
                        <w:t>设施园</w:t>
                      </w:r>
                      <w:r>
                        <w:rPr>
                          <w:rFonts w:ascii="宋体" w:eastAsia="宋体"/>
                          <w:spacing w:val="12"/>
                          <w:sz w:val="21"/>
                        </w:rPr>
                        <w:t>艺全</w:t>
                      </w:r>
                      <w:r>
                        <w:rPr>
                          <w:rFonts w:ascii="宋体" w:eastAsia="宋体"/>
                          <w:spacing w:val="11"/>
                          <w:sz w:val="21"/>
                        </w:rPr>
                        <w:t>产</w:t>
                      </w:r>
                      <w:r>
                        <w:rPr>
                          <w:rFonts w:ascii="宋体" w:eastAsia="宋体"/>
                          <w:spacing w:val="12"/>
                          <w:sz w:val="21"/>
                        </w:rPr>
                        <w:t>业链</w:t>
                      </w:r>
                      <w:r>
                        <w:rPr>
                          <w:rFonts w:ascii="宋体" w:eastAsia="宋体"/>
                          <w:spacing w:val="11"/>
                          <w:sz w:val="21"/>
                        </w:rPr>
                        <w:t>智慧农</w:t>
                      </w:r>
                      <w:r>
                        <w:rPr>
                          <w:rFonts w:ascii="宋体" w:eastAsia="宋体"/>
                          <w:spacing w:val="12"/>
                          <w:sz w:val="21"/>
                        </w:rPr>
                        <w:t>业科</w:t>
                      </w:r>
                      <w:r>
                        <w:rPr>
                          <w:rFonts w:ascii="宋体" w:eastAsia="宋体"/>
                          <w:spacing w:val="5"/>
                          <w:sz w:val="21"/>
                        </w:rPr>
                        <w:t>技示</w:t>
                      </w:r>
                      <w:r>
                        <w:rPr>
                          <w:rFonts w:ascii="宋体" w:eastAsia="宋体"/>
                          <w:spacing w:val="8"/>
                          <w:w w:val="95"/>
                          <w:sz w:val="21"/>
                        </w:rPr>
                        <w:t>范展示区、智慧电梯大数据平台、智慧物流综合管控</w:t>
                      </w:r>
                      <w:r>
                        <w:rPr>
                          <w:rFonts w:ascii="宋体" w:eastAsia="宋体"/>
                          <w:spacing w:val="14"/>
                          <w:w w:val="95"/>
                          <w:sz w:val="21"/>
                        </w:rPr>
                        <w:t>平台</w:t>
                      </w:r>
                      <w:r>
                        <w:rPr>
                          <w:rFonts w:ascii="宋体" w:eastAsia="宋体"/>
                          <w:spacing w:val="6"/>
                          <w:w w:val="95"/>
                          <w:sz w:val="21"/>
                        </w:rPr>
                        <w:t>、金凤区</w:t>
                      </w:r>
                      <w:r>
                        <w:rPr>
                          <w:rFonts w:ascii="宋体" w:eastAsia="宋体"/>
                          <w:spacing w:val="42"/>
                          <w:sz w:val="21"/>
                        </w:rPr>
                        <w:t xml:space="preserve"> </w:t>
                      </w:r>
                      <w:r>
                        <w:rPr>
                          <w:rFonts w:ascii="Calibri" w:eastAsia="Calibri"/>
                          <w:w w:val="95"/>
                          <w:sz w:val="21"/>
                        </w:rPr>
                        <w:t>5G</w:t>
                      </w:r>
                      <w:r>
                        <w:rPr>
                          <w:rFonts w:ascii="Calibri" w:eastAsia="Calibri"/>
                          <w:spacing w:val="75"/>
                          <w:w w:val="150"/>
                          <w:sz w:val="21"/>
                        </w:rPr>
                        <w:t xml:space="preserve"> </w:t>
                      </w:r>
                      <w:r>
                        <w:rPr>
                          <w:rFonts w:ascii="宋体" w:eastAsia="宋体"/>
                          <w:spacing w:val="7"/>
                          <w:w w:val="95"/>
                          <w:sz w:val="21"/>
                        </w:rPr>
                        <w:t>网络覆盖、金凤区</w:t>
                      </w:r>
                      <w:r>
                        <w:rPr>
                          <w:rFonts w:ascii="宋体" w:eastAsia="宋体"/>
                          <w:spacing w:val="46"/>
                          <w:sz w:val="21"/>
                        </w:rPr>
                        <w:t xml:space="preserve"> </w:t>
                      </w:r>
                      <w:r>
                        <w:rPr>
                          <w:rFonts w:ascii="Calibri" w:eastAsia="Calibri"/>
                          <w:spacing w:val="-5"/>
                          <w:w w:val="95"/>
                          <w:sz w:val="21"/>
                        </w:rPr>
                        <w:t>5G</w:t>
                      </w:r>
                    </w:p>
                    <w:p w14:paraId="074F7B5C">
                      <w:pPr>
                        <w:spacing w:line="266" w:lineRule="exact"/>
                        <w:ind w:left="102"/>
                        <w:jc w:val="both"/>
                        <w:rPr>
                          <w:rFonts w:ascii="宋体" w:eastAsia="宋体"/>
                          <w:sz w:val="21"/>
                        </w:rPr>
                      </w:pPr>
                      <w:r>
                        <w:rPr>
                          <w:rFonts w:ascii="宋体" w:eastAsia="宋体"/>
                          <w:spacing w:val="7"/>
                          <w:w w:val="95"/>
                          <w:sz w:val="21"/>
                        </w:rPr>
                        <w:t>基站</w:t>
                      </w:r>
                      <w:r>
                        <w:rPr>
                          <w:rFonts w:ascii="宋体" w:eastAsia="宋体"/>
                          <w:spacing w:val="17"/>
                          <w:sz w:val="21"/>
                        </w:rPr>
                        <w:t xml:space="preserve">  </w:t>
                      </w:r>
                      <w:r>
                        <w:rPr>
                          <w:rFonts w:ascii="Calibri" w:eastAsia="Calibri"/>
                          <w:w w:val="95"/>
                          <w:sz w:val="21"/>
                        </w:rPr>
                        <w:t>C-RAN</w:t>
                      </w:r>
                      <w:r>
                        <w:rPr>
                          <w:rFonts w:ascii="Calibri" w:eastAsia="Calibri"/>
                          <w:spacing w:val="67"/>
                          <w:sz w:val="21"/>
                        </w:rPr>
                        <w:t xml:space="preserve">  </w:t>
                      </w:r>
                      <w:r>
                        <w:rPr>
                          <w:rFonts w:ascii="宋体" w:eastAsia="宋体"/>
                          <w:spacing w:val="15"/>
                          <w:w w:val="95"/>
                          <w:sz w:val="21"/>
                        </w:rPr>
                        <w:t>汇聚</w:t>
                      </w:r>
                      <w:r>
                        <w:rPr>
                          <w:rFonts w:ascii="宋体" w:eastAsia="宋体"/>
                          <w:spacing w:val="14"/>
                          <w:w w:val="95"/>
                          <w:sz w:val="21"/>
                        </w:rPr>
                        <w:t>机房</w:t>
                      </w:r>
                      <w:r>
                        <w:rPr>
                          <w:rFonts w:ascii="宋体" w:eastAsia="宋体"/>
                          <w:spacing w:val="16"/>
                          <w:w w:val="95"/>
                          <w:sz w:val="21"/>
                        </w:rPr>
                        <w:t>、</w:t>
                      </w:r>
                      <w:r>
                        <w:rPr>
                          <w:rFonts w:ascii="宋体" w:eastAsia="宋体"/>
                          <w:spacing w:val="14"/>
                          <w:w w:val="95"/>
                          <w:sz w:val="21"/>
                        </w:rPr>
                        <w:t>金凤</w:t>
                      </w:r>
                      <w:r>
                        <w:rPr>
                          <w:rFonts w:ascii="宋体" w:eastAsia="宋体"/>
                          <w:spacing w:val="15"/>
                          <w:w w:val="95"/>
                          <w:sz w:val="21"/>
                        </w:rPr>
                        <w:t>区企业</w:t>
                      </w:r>
                      <w:r>
                        <w:rPr>
                          <w:rFonts w:ascii="宋体" w:eastAsia="宋体"/>
                          <w:spacing w:val="14"/>
                          <w:w w:val="95"/>
                          <w:sz w:val="21"/>
                        </w:rPr>
                        <w:t>信息</w:t>
                      </w:r>
                      <w:r>
                        <w:rPr>
                          <w:rFonts w:ascii="宋体" w:eastAsia="宋体"/>
                          <w:spacing w:val="16"/>
                          <w:w w:val="95"/>
                          <w:sz w:val="21"/>
                        </w:rPr>
                        <w:t>数</w:t>
                      </w:r>
                      <w:r>
                        <w:rPr>
                          <w:rFonts w:ascii="宋体" w:eastAsia="宋体"/>
                          <w:spacing w:val="14"/>
                          <w:w w:val="95"/>
                          <w:sz w:val="21"/>
                        </w:rPr>
                        <w:t>据分</w:t>
                      </w:r>
                      <w:r>
                        <w:rPr>
                          <w:rFonts w:ascii="宋体" w:eastAsia="宋体"/>
                          <w:spacing w:val="16"/>
                          <w:w w:val="95"/>
                          <w:sz w:val="21"/>
                        </w:rPr>
                        <w:t>析</w:t>
                      </w:r>
                      <w:r>
                        <w:rPr>
                          <w:rFonts w:ascii="宋体" w:eastAsia="宋体"/>
                          <w:spacing w:val="14"/>
                          <w:w w:val="95"/>
                          <w:sz w:val="21"/>
                        </w:rPr>
                        <w:t>、金</w:t>
                      </w:r>
                      <w:r>
                        <w:rPr>
                          <w:rFonts w:ascii="宋体" w:eastAsia="宋体"/>
                          <w:spacing w:val="16"/>
                          <w:w w:val="95"/>
                          <w:sz w:val="21"/>
                        </w:rPr>
                        <w:t>凤</w:t>
                      </w:r>
                      <w:r>
                        <w:rPr>
                          <w:rFonts w:ascii="宋体" w:eastAsia="宋体"/>
                          <w:spacing w:val="14"/>
                          <w:w w:val="95"/>
                          <w:sz w:val="21"/>
                        </w:rPr>
                        <w:t>区基</w:t>
                      </w:r>
                      <w:r>
                        <w:rPr>
                          <w:rFonts w:ascii="宋体" w:eastAsia="宋体"/>
                          <w:spacing w:val="15"/>
                          <w:w w:val="95"/>
                          <w:sz w:val="21"/>
                        </w:rPr>
                        <w:t>层政务</w:t>
                      </w:r>
                      <w:r>
                        <w:rPr>
                          <w:rFonts w:ascii="宋体" w:eastAsia="宋体"/>
                          <w:spacing w:val="14"/>
                          <w:w w:val="95"/>
                          <w:sz w:val="21"/>
                        </w:rPr>
                        <w:t>审批</w:t>
                      </w:r>
                      <w:r>
                        <w:rPr>
                          <w:rFonts w:ascii="宋体" w:eastAsia="宋体"/>
                          <w:spacing w:val="16"/>
                          <w:w w:val="95"/>
                          <w:sz w:val="21"/>
                        </w:rPr>
                        <w:t>便</w:t>
                      </w:r>
                      <w:r>
                        <w:rPr>
                          <w:rFonts w:ascii="宋体" w:eastAsia="宋体"/>
                          <w:spacing w:val="14"/>
                          <w:w w:val="95"/>
                          <w:sz w:val="21"/>
                        </w:rPr>
                        <w:t>民化</w:t>
                      </w:r>
                      <w:r>
                        <w:rPr>
                          <w:rFonts w:ascii="宋体" w:eastAsia="宋体"/>
                          <w:spacing w:val="16"/>
                          <w:w w:val="95"/>
                          <w:sz w:val="21"/>
                        </w:rPr>
                        <w:t>治</w:t>
                      </w:r>
                      <w:r>
                        <w:rPr>
                          <w:rFonts w:ascii="宋体" w:eastAsia="宋体"/>
                          <w:spacing w:val="14"/>
                          <w:w w:val="95"/>
                          <w:sz w:val="21"/>
                        </w:rPr>
                        <w:t>理综</w:t>
                      </w:r>
                      <w:r>
                        <w:rPr>
                          <w:rFonts w:ascii="宋体" w:eastAsia="宋体"/>
                          <w:spacing w:val="3"/>
                          <w:w w:val="95"/>
                          <w:sz w:val="21"/>
                        </w:rPr>
                        <w:t>合服</w:t>
                      </w:r>
                    </w:p>
                  </w:txbxContent>
                </v:textbox>
              </v:shape>
            </w:pict>
          </mc:Fallback>
        </mc:AlternateContent>
      </w:r>
      <w:r>
        <w:rPr>
          <w:spacing w:val="12"/>
          <w:sz w:val="32"/>
          <w:szCs w:val="32"/>
        </w:rPr>
        <w:t>结合城市有机更新，合理调增建筑密度，加大财政</w:t>
      </w:r>
      <w:r>
        <w:rPr>
          <w:spacing w:val="7"/>
          <w:sz w:val="32"/>
          <w:szCs w:val="32"/>
        </w:rPr>
        <w:t>支持，</w:t>
      </w:r>
      <w:r>
        <w:rPr>
          <w:spacing w:val="12"/>
          <w:sz w:val="32"/>
          <w:szCs w:val="32"/>
        </w:rPr>
        <w:t>因地制宜修建地上绿化覆盖的地下停</w:t>
      </w:r>
      <w:r>
        <w:rPr>
          <w:spacing w:val="8"/>
          <w:sz w:val="32"/>
          <w:szCs w:val="32"/>
        </w:rPr>
        <w:t>车场。结合</w:t>
      </w:r>
      <w:r>
        <w:rPr>
          <w:spacing w:val="12"/>
          <w:sz w:val="32"/>
          <w:szCs w:val="32"/>
        </w:rPr>
        <w:t>道路</w:t>
      </w:r>
      <w:r>
        <w:rPr>
          <w:spacing w:val="6"/>
          <w:sz w:val="32"/>
          <w:szCs w:val="32"/>
        </w:rPr>
        <w:t>新建、改</w:t>
      </w:r>
      <w:r>
        <w:rPr>
          <w:spacing w:val="8"/>
          <w:w w:val="95"/>
          <w:sz w:val="32"/>
          <w:szCs w:val="32"/>
        </w:rPr>
        <w:t>建、扩建</w:t>
      </w:r>
      <w:r>
        <w:rPr>
          <w:spacing w:val="12"/>
          <w:w w:val="95"/>
          <w:sz w:val="32"/>
          <w:szCs w:val="32"/>
        </w:rPr>
        <w:t>情况</w:t>
      </w:r>
      <w:r>
        <w:rPr>
          <w:spacing w:val="8"/>
          <w:w w:val="95"/>
          <w:sz w:val="32"/>
          <w:szCs w:val="32"/>
        </w:rPr>
        <w:t>，按照</w:t>
      </w:r>
      <w:r>
        <w:rPr>
          <w:spacing w:val="12"/>
          <w:w w:val="95"/>
          <w:sz w:val="32"/>
          <w:szCs w:val="32"/>
        </w:rPr>
        <w:t>城市和道路交通</w:t>
      </w:r>
      <w:r>
        <w:rPr>
          <w:spacing w:val="9"/>
          <w:w w:val="95"/>
          <w:sz w:val="32"/>
          <w:szCs w:val="32"/>
        </w:rPr>
        <w:t>规划，新增</w:t>
      </w:r>
      <w:r>
        <w:rPr>
          <w:spacing w:val="12"/>
          <w:w w:val="95"/>
          <w:sz w:val="32"/>
          <w:szCs w:val="32"/>
        </w:rPr>
        <w:t>占道</w:t>
      </w:r>
      <w:r>
        <w:rPr>
          <w:spacing w:val="9"/>
          <w:w w:val="95"/>
          <w:sz w:val="32"/>
          <w:szCs w:val="32"/>
        </w:rPr>
        <w:t>停车泊位。</w:t>
      </w:r>
      <w:r>
        <w:rPr>
          <w:spacing w:val="12"/>
          <w:sz w:val="32"/>
          <w:szCs w:val="32"/>
        </w:rPr>
        <w:t>规划路外立体停</w:t>
      </w:r>
      <w:r>
        <w:rPr>
          <w:spacing w:val="8"/>
          <w:sz w:val="32"/>
          <w:szCs w:val="32"/>
        </w:rPr>
        <w:t>车库，在条</w:t>
      </w:r>
      <w:r>
        <w:rPr>
          <w:spacing w:val="12"/>
          <w:sz w:val="32"/>
          <w:szCs w:val="32"/>
        </w:rPr>
        <w:t>件允许的小</w:t>
      </w:r>
      <w:r>
        <w:rPr>
          <w:spacing w:val="9"/>
          <w:sz w:val="32"/>
          <w:szCs w:val="32"/>
        </w:rPr>
        <w:t>区道路、支路</w:t>
      </w:r>
      <w:r>
        <w:rPr>
          <w:spacing w:val="12"/>
          <w:sz w:val="32"/>
          <w:szCs w:val="32"/>
        </w:rPr>
        <w:t>设置</w:t>
      </w:r>
      <w:r>
        <w:rPr>
          <w:spacing w:val="6"/>
          <w:sz w:val="32"/>
          <w:szCs w:val="32"/>
        </w:rPr>
        <w:t>适量</w:t>
      </w:r>
      <w:r>
        <w:rPr>
          <w:spacing w:val="12"/>
          <w:sz w:val="32"/>
          <w:szCs w:val="32"/>
        </w:rPr>
        <w:t>的路内停</w:t>
      </w:r>
      <w:r>
        <w:rPr>
          <w:spacing w:val="8"/>
          <w:sz w:val="32"/>
          <w:szCs w:val="32"/>
        </w:rPr>
        <w:t>车场，增加</w:t>
      </w:r>
      <w:r>
        <w:rPr>
          <w:spacing w:val="12"/>
          <w:sz w:val="32"/>
          <w:szCs w:val="32"/>
        </w:rPr>
        <w:t>停车</w:t>
      </w:r>
      <w:r>
        <w:rPr>
          <w:spacing w:val="9"/>
          <w:sz w:val="32"/>
          <w:szCs w:val="32"/>
        </w:rPr>
        <w:t>位供给。</w:t>
      </w:r>
      <w:r>
        <w:rPr>
          <w:spacing w:val="12"/>
          <w:sz w:val="32"/>
          <w:szCs w:val="32"/>
        </w:rPr>
        <w:t>推进数字立体停车场和小</w:t>
      </w:r>
      <w:r>
        <w:rPr>
          <w:sz w:val="32"/>
          <w:szCs w:val="32"/>
        </w:rPr>
        <w:t>型</w:t>
      </w:r>
      <w:r>
        <w:rPr>
          <w:spacing w:val="12"/>
          <w:sz w:val="32"/>
          <w:szCs w:val="32"/>
        </w:rPr>
        <w:t>立体停车设施建</w:t>
      </w:r>
      <w:r>
        <w:rPr>
          <w:spacing w:val="8"/>
          <w:sz w:val="32"/>
          <w:szCs w:val="32"/>
        </w:rPr>
        <w:t>设，试点</w:t>
      </w:r>
      <w:r>
        <w:rPr>
          <w:spacing w:val="12"/>
          <w:sz w:val="32"/>
          <w:szCs w:val="32"/>
        </w:rPr>
        <w:t>社区共享停车和“互</w:t>
      </w:r>
      <w:r>
        <w:rPr>
          <w:spacing w:val="-14"/>
          <w:sz w:val="32"/>
          <w:szCs w:val="32"/>
        </w:rPr>
        <w:t>联网+停车”，缓</w:t>
      </w:r>
      <w:r>
        <w:rPr>
          <w:spacing w:val="12"/>
          <w:sz w:val="32"/>
          <w:szCs w:val="32"/>
        </w:rPr>
        <w:t>解“停车难停</w:t>
      </w:r>
      <w:r>
        <w:rPr>
          <w:spacing w:val="-30"/>
          <w:sz w:val="32"/>
          <w:szCs w:val="32"/>
        </w:rPr>
        <w:t>车乱”“</w:t>
      </w:r>
      <w:r>
        <w:rPr>
          <w:spacing w:val="12"/>
          <w:sz w:val="32"/>
          <w:szCs w:val="32"/>
        </w:rPr>
        <w:t>消防车通道被占用”等</w:t>
      </w:r>
      <w:r>
        <w:rPr>
          <w:spacing w:val="8"/>
          <w:sz w:val="32"/>
          <w:szCs w:val="32"/>
        </w:rPr>
        <w:t>问题。</w:t>
      </w:r>
    </w:p>
    <w:p w14:paraId="2C769F8D">
      <w:pPr>
        <w:ind w:left="101"/>
        <w:rPr>
          <w:rFonts w:ascii="Times New Roman"/>
          <w:sz w:val="20"/>
          <w:szCs w:val="32"/>
        </w:rPr>
      </w:pPr>
      <w:r>
        <w:rPr>
          <w:rFonts w:ascii="Times New Roman"/>
          <w:sz w:val="20"/>
          <w:szCs w:val="32"/>
        </w:rPr>
        <mc:AlternateContent>
          <mc:Choice Requires="wps">
            <w:drawing>
              <wp:inline distT="0" distB="0" distL="0" distR="0">
                <wp:extent cx="5694680" cy="3308350"/>
                <wp:effectExtent l="9525" t="9525" r="10795" b="6350"/>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5694680" cy="3308350"/>
                        </a:xfrm>
                        <a:prstGeom prst="rect">
                          <a:avLst/>
                        </a:prstGeom>
                        <a:noFill/>
                        <a:ln w="6096">
                          <a:solidFill>
                            <a:srgbClr val="000000"/>
                          </a:solidFill>
                          <a:prstDash val="solid"/>
                          <a:miter lim="800000"/>
                        </a:ln>
                      </wps:spPr>
                      <wps:txbx>
                        <w:txbxContent>
                          <w:p w14:paraId="146111BA">
                            <w:pPr>
                              <w:spacing w:before="110" w:line="355" w:lineRule="auto"/>
                              <w:ind w:left="102" w:right="115"/>
                              <w:rPr>
                                <w:rFonts w:ascii="宋体" w:eastAsia="宋体"/>
                                <w:sz w:val="21"/>
                              </w:rPr>
                            </w:pPr>
                            <w:r>
                              <w:rPr>
                                <w:rFonts w:ascii="宋体" w:eastAsia="宋体"/>
                                <w:spacing w:val="11"/>
                                <w:sz w:val="21"/>
                              </w:rPr>
                              <w:t>务中心、金凤区政务服务信息便民一体化、金凤区城市居民区无接触配送体系、金凤区智</w:t>
                            </w:r>
                            <w:r>
                              <w:rPr>
                                <w:rFonts w:ascii="宋体" w:eastAsia="宋体"/>
                                <w:spacing w:val="-2"/>
                                <w:sz w:val="21"/>
                              </w:rPr>
                              <w:t>慧社区等项目。</w:t>
                            </w:r>
                          </w:p>
                          <w:p w14:paraId="6AF1CB6F">
                            <w:pPr>
                              <w:spacing w:before="3" w:line="357" w:lineRule="auto"/>
                              <w:ind w:left="102" w:right="108" w:firstLine="444"/>
                              <w:jc w:val="both"/>
                              <w:rPr>
                                <w:rFonts w:ascii="宋体" w:eastAsia="宋体"/>
                                <w:sz w:val="21"/>
                              </w:rPr>
                            </w:pPr>
                            <w:r>
                              <w:rPr>
                                <w:rFonts w:hint="eastAsia" w:ascii="宋体" w:eastAsia="宋体"/>
                                <w:b/>
                                <w:spacing w:val="13"/>
                                <w:sz w:val="21"/>
                              </w:rPr>
                              <w:t>市政基础设施项目。</w:t>
                            </w:r>
                            <w:r>
                              <w:rPr>
                                <w:rFonts w:ascii="宋体" w:eastAsia="宋体"/>
                                <w:spacing w:val="13"/>
                                <w:sz w:val="21"/>
                              </w:rPr>
                              <w:t>良田镇保留庄点提升改造、团结路综合管廊、丰登镇排水供热改</w:t>
                            </w:r>
                            <w:r>
                              <w:rPr>
                                <w:rFonts w:ascii="宋体" w:eastAsia="宋体"/>
                                <w:spacing w:val="11"/>
                                <w:sz w:val="21"/>
                              </w:rPr>
                              <w:t>造升级、良田镇镇区污水处理设施和配套管网、中继能源站、换热站大温差供热改造、良</w:t>
                            </w:r>
                            <w:r>
                              <w:rPr>
                                <w:rFonts w:ascii="宋体" w:eastAsia="宋体"/>
                                <w:spacing w:val="8"/>
                                <w:sz w:val="21"/>
                              </w:rPr>
                              <w:t>田镇拟保留庄点天然气、移动公司新型基础设施建设、丰泽美居智慧社区等项目。</w:t>
                            </w:r>
                          </w:p>
                          <w:p w14:paraId="59164A5F">
                            <w:pPr>
                              <w:spacing w:line="357" w:lineRule="auto"/>
                              <w:ind w:left="102" w:right="108" w:firstLine="444"/>
                              <w:jc w:val="both"/>
                              <w:rPr>
                                <w:rFonts w:ascii="宋体" w:hAnsi="宋体" w:eastAsia="宋体"/>
                                <w:sz w:val="21"/>
                              </w:rPr>
                            </w:pPr>
                            <w:r>
                              <w:rPr>
                                <w:rFonts w:hint="eastAsia" w:ascii="宋体" w:hAnsi="宋体" w:eastAsia="宋体"/>
                                <w:b/>
                                <w:spacing w:val="16"/>
                                <w:w w:val="99"/>
                                <w:sz w:val="21"/>
                              </w:rPr>
                              <w:t>区域路网项目。</w:t>
                            </w:r>
                            <w:r>
                              <w:rPr>
                                <w:rFonts w:ascii="宋体" w:hAnsi="宋体" w:eastAsia="宋体"/>
                                <w:spacing w:val="13"/>
                                <w:w w:val="99"/>
                                <w:sz w:val="21"/>
                              </w:rPr>
                              <w:t>亲水大街高架快速通道工程、宝湖路快速通道工程、贺兰山路快速通</w:t>
                            </w:r>
                            <w:r>
                              <w:rPr>
                                <w:rFonts w:ascii="宋体" w:hAnsi="宋体" w:eastAsia="宋体"/>
                                <w:spacing w:val="9"/>
                                <w:w w:val="99"/>
                                <w:sz w:val="21"/>
                              </w:rPr>
                              <w:t>道工程、康平路</w:t>
                            </w:r>
                            <w:r>
                              <w:rPr>
                                <w:rFonts w:ascii="宋体" w:hAnsi="宋体" w:eastAsia="宋体"/>
                                <w:spacing w:val="11"/>
                                <w:w w:val="99"/>
                                <w:sz w:val="21"/>
                              </w:rPr>
                              <w:t>（</w:t>
                            </w:r>
                            <w:r>
                              <w:rPr>
                                <w:rFonts w:ascii="宋体" w:hAnsi="宋体" w:eastAsia="宋体"/>
                                <w:spacing w:val="12"/>
                                <w:w w:val="99"/>
                                <w:sz w:val="21"/>
                              </w:rPr>
                              <w:t>凤凰街</w:t>
                            </w:r>
                            <w:r>
                              <w:rPr>
                                <w:rFonts w:ascii="Calibri" w:hAnsi="Calibri" w:eastAsia="Calibri"/>
                                <w:spacing w:val="8"/>
                                <w:w w:val="99"/>
                                <w:sz w:val="21"/>
                              </w:rPr>
                              <w:t>-</w:t>
                            </w:r>
                            <w:r>
                              <w:rPr>
                                <w:rFonts w:ascii="宋体" w:hAnsi="宋体" w:eastAsia="宋体"/>
                                <w:spacing w:val="11"/>
                                <w:w w:val="99"/>
                                <w:sz w:val="21"/>
                              </w:rPr>
                              <w:t>正源街</w:t>
                            </w:r>
                            <w:r>
                              <w:rPr>
                                <w:rFonts w:ascii="宋体" w:hAnsi="宋体" w:eastAsia="宋体"/>
                                <w:spacing w:val="4"/>
                                <w:w w:val="99"/>
                                <w:sz w:val="21"/>
                              </w:rPr>
                              <w:t>）</w:t>
                            </w:r>
                            <w:r>
                              <w:rPr>
                                <w:rFonts w:ascii="宋体" w:hAnsi="宋体" w:eastAsia="宋体"/>
                                <w:spacing w:val="9"/>
                                <w:w w:val="99"/>
                                <w:sz w:val="21"/>
                              </w:rPr>
                              <w:t>道路改造工程、湖畔路</w:t>
                            </w:r>
                            <w:r>
                              <w:rPr>
                                <w:rFonts w:ascii="宋体" w:hAnsi="宋体" w:eastAsia="宋体"/>
                                <w:spacing w:val="11"/>
                                <w:w w:val="99"/>
                                <w:sz w:val="21"/>
                              </w:rPr>
                              <w:t>（</w:t>
                            </w:r>
                            <w:r>
                              <w:rPr>
                                <w:rFonts w:ascii="宋体" w:hAnsi="宋体" w:eastAsia="宋体"/>
                                <w:spacing w:val="12"/>
                                <w:w w:val="99"/>
                                <w:sz w:val="21"/>
                              </w:rPr>
                              <w:t>亲水大街</w:t>
                            </w:r>
                            <w:r>
                              <w:rPr>
                                <w:rFonts w:ascii="Calibri" w:hAnsi="Calibri" w:eastAsia="Calibri"/>
                                <w:spacing w:val="5"/>
                                <w:w w:val="99"/>
                                <w:sz w:val="21"/>
                              </w:rPr>
                              <w:t>-</w:t>
                            </w:r>
                            <w:r>
                              <w:rPr>
                                <w:rFonts w:ascii="宋体" w:hAnsi="宋体" w:eastAsia="宋体"/>
                                <w:spacing w:val="12"/>
                                <w:w w:val="99"/>
                                <w:sz w:val="21"/>
                              </w:rPr>
                              <w:t>塔渠街</w:t>
                            </w:r>
                            <w:r>
                              <w:rPr>
                                <w:rFonts w:ascii="宋体" w:hAnsi="宋体" w:eastAsia="宋体"/>
                                <w:spacing w:val="4"/>
                                <w:w w:val="99"/>
                                <w:sz w:val="21"/>
                              </w:rPr>
                              <w:t>）</w:t>
                            </w:r>
                            <w:r>
                              <w:rPr>
                                <w:rFonts w:ascii="宋体" w:hAnsi="宋体" w:eastAsia="宋体"/>
                                <w:spacing w:val="8"/>
                                <w:w w:val="99"/>
                                <w:sz w:val="21"/>
                              </w:rPr>
                              <w:t>道路改造工程、新昌路</w:t>
                            </w:r>
                            <w:r>
                              <w:rPr>
                                <w:rFonts w:ascii="宋体" w:hAnsi="宋体" w:eastAsia="宋体"/>
                                <w:spacing w:val="11"/>
                                <w:w w:val="99"/>
                                <w:sz w:val="21"/>
                              </w:rPr>
                              <w:t>（</w:t>
                            </w:r>
                            <w:r>
                              <w:rPr>
                                <w:rFonts w:ascii="宋体" w:hAnsi="宋体" w:eastAsia="宋体"/>
                                <w:spacing w:val="12"/>
                                <w:w w:val="99"/>
                                <w:sz w:val="21"/>
                              </w:rPr>
                              <w:t>凤凰街</w:t>
                            </w:r>
                            <w:r>
                              <w:rPr>
                                <w:rFonts w:ascii="Calibri" w:hAnsi="Calibri" w:eastAsia="Calibri"/>
                                <w:spacing w:val="8"/>
                                <w:w w:val="99"/>
                                <w:sz w:val="21"/>
                              </w:rPr>
                              <w:t>-</w:t>
                            </w:r>
                            <w:r>
                              <w:rPr>
                                <w:rFonts w:ascii="宋体" w:hAnsi="宋体" w:eastAsia="宋体"/>
                                <w:spacing w:val="11"/>
                                <w:w w:val="99"/>
                                <w:sz w:val="21"/>
                              </w:rPr>
                              <w:t>亲水大街</w:t>
                            </w:r>
                            <w:r>
                              <w:rPr>
                                <w:rFonts w:ascii="宋体" w:hAnsi="宋体" w:eastAsia="宋体"/>
                                <w:spacing w:val="4"/>
                                <w:w w:val="99"/>
                                <w:sz w:val="21"/>
                              </w:rPr>
                              <w:t>）</w:t>
                            </w:r>
                            <w:r>
                              <w:rPr>
                                <w:rFonts w:ascii="宋体" w:hAnsi="宋体" w:eastAsia="宋体"/>
                                <w:spacing w:val="9"/>
                                <w:w w:val="99"/>
                                <w:sz w:val="21"/>
                              </w:rPr>
                              <w:t>道路改造工程、康银巷</w:t>
                            </w:r>
                            <w:r>
                              <w:rPr>
                                <w:rFonts w:ascii="宋体" w:hAnsi="宋体" w:eastAsia="宋体"/>
                                <w:spacing w:val="11"/>
                                <w:w w:val="99"/>
                                <w:sz w:val="21"/>
                              </w:rPr>
                              <w:t>（宝湖中路</w:t>
                            </w:r>
                            <w:r>
                              <w:rPr>
                                <w:rFonts w:ascii="Calibri" w:hAnsi="Calibri" w:eastAsia="Calibri"/>
                                <w:spacing w:val="8"/>
                                <w:w w:val="99"/>
                                <w:sz w:val="21"/>
                              </w:rPr>
                              <w:t>-</w:t>
                            </w:r>
                            <w:r>
                              <w:rPr>
                                <w:rFonts w:ascii="宋体" w:hAnsi="宋体" w:eastAsia="宋体"/>
                                <w:spacing w:val="11"/>
                                <w:w w:val="99"/>
                                <w:sz w:val="21"/>
                              </w:rPr>
                              <w:t>金凤五路</w:t>
                            </w:r>
                            <w:r>
                              <w:rPr>
                                <w:rFonts w:ascii="宋体" w:hAnsi="宋体" w:eastAsia="宋体"/>
                                <w:spacing w:val="4"/>
                                <w:w w:val="99"/>
                                <w:sz w:val="21"/>
                              </w:rPr>
                              <w:t>）</w:t>
                            </w:r>
                            <w:r>
                              <w:rPr>
                                <w:rFonts w:ascii="宋体" w:hAnsi="宋体" w:eastAsia="宋体"/>
                                <w:spacing w:val="8"/>
                                <w:w w:val="99"/>
                                <w:sz w:val="21"/>
                              </w:rPr>
                              <w:t>道路改造工</w:t>
                            </w:r>
                            <w:r>
                              <w:rPr>
                                <w:rFonts w:ascii="宋体" w:hAnsi="宋体" w:eastAsia="宋体"/>
                                <w:spacing w:val="9"/>
                                <w:w w:val="99"/>
                                <w:sz w:val="21"/>
                              </w:rPr>
                              <w:t>程、尹家渠街</w:t>
                            </w:r>
                            <w:r>
                              <w:rPr>
                                <w:rFonts w:ascii="宋体" w:hAnsi="宋体" w:eastAsia="宋体"/>
                                <w:spacing w:val="11"/>
                                <w:w w:val="99"/>
                                <w:sz w:val="21"/>
                              </w:rPr>
                              <w:t>（北京路</w:t>
                            </w:r>
                            <w:r>
                              <w:rPr>
                                <w:rFonts w:ascii="Calibri" w:hAnsi="Calibri" w:eastAsia="Calibri"/>
                                <w:spacing w:val="8"/>
                                <w:w w:val="99"/>
                                <w:sz w:val="21"/>
                              </w:rPr>
                              <w:t>-</w:t>
                            </w:r>
                            <w:r>
                              <w:rPr>
                                <w:rFonts w:ascii="宋体" w:hAnsi="宋体" w:eastAsia="宋体"/>
                                <w:spacing w:val="11"/>
                                <w:w w:val="99"/>
                                <w:sz w:val="21"/>
                              </w:rPr>
                              <w:t>贺兰山路</w:t>
                            </w:r>
                            <w:r>
                              <w:rPr>
                                <w:rFonts w:ascii="宋体" w:hAnsi="宋体" w:eastAsia="宋体"/>
                                <w:spacing w:val="4"/>
                                <w:w w:val="99"/>
                                <w:sz w:val="21"/>
                              </w:rPr>
                              <w:t>）</w:t>
                            </w:r>
                            <w:r>
                              <w:rPr>
                                <w:rFonts w:ascii="宋体" w:hAnsi="宋体" w:eastAsia="宋体"/>
                                <w:spacing w:val="9"/>
                                <w:w w:val="99"/>
                                <w:sz w:val="21"/>
                              </w:rPr>
                              <w:t>道路改造工程、金凤十二街</w:t>
                            </w:r>
                            <w:r>
                              <w:rPr>
                                <w:rFonts w:ascii="宋体" w:hAnsi="宋体" w:eastAsia="宋体"/>
                                <w:spacing w:val="11"/>
                                <w:w w:val="99"/>
                                <w:sz w:val="21"/>
                              </w:rPr>
                              <w:t>（</w:t>
                            </w:r>
                            <w:r>
                              <w:rPr>
                                <w:rFonts w:ascii="宋体" w:hAnsi="宋体" w:eastAsia="宋体"/>
                                <w:spacing w:val="12"/>
                                <w:w w:val="99"/>
                                <w:sz w:val="21"/>
                              </w:rPr>
                              <w:t>六盘山路</w:t>
                            </w:r>
                            <w:r>
                              <w:rPr>
                                <w:rFonts w:ascii="Calibri" w:hAnsi="Calibri" w:eastAsia="Calibri"/>
                                <w:spacing w:val="5"/>
                                <w:w w:val="99"/>
                                <w:sz w:val="21"/>
                              </w:rPr>
                              <w:t>-</w:t>
                            </w:r>
                            <w:r>
                              <w:rPr>
                                <w:rFonts w:ascii="宋体" w:hAnsi="宋体" w:eastAsia="宋体"/>
                                <w:spacing w:val="11"/>
                                <w:w w:val="99"/>
                                <w:sz w:val="21"/>
                              </w:rPr>
                              <w:t>金凤八路</w:t>
                            </w:r>
                            <w:r>
                              <w:rPr>
                                <w:rFonts w:ascii="宋体" w:hAnsi="宋体" w:eastAsia="宋体"/>
                                <w:spacing w:val="4"/>
                                <w:w w:val="99"/>
                                <w:sz w:val="21"/>
                              </w:rPr>
                              <w:t>）</w:t>
                            </w:r>
                            <w:r>
                              <w:rPr>
                                <w:rFonts w:ascii="宋体" w:hAnsi="宋体" w:eastAsia="宋体"/>
                                <w:spacing w:val="7"/>
                                <w:w w:val="99"/>
                                <w:sz w:val="21"/>
                              </w:rPr>
                              <w:t>道路</w:t>
                            </w:r>
                            <w:r>
                              <w:rPr>
                                <w:rFonts w:ascii="宋体" w:hAnsi="宋体" w:eastAsia="宋体"/>
                                <w:spacing w:val="14"/>
                                <w:w w:val="99"/>
                                <w:sz w:val="21"/>
                              </w:rPr>
                              <w:t>及给排水工程、金凤十七路</w:t>
                            </w:r>
                            <w:r>
                              <w:rPr>
                                <w:rFonts w:ascii="宋体" w:hAnsi="宋体" w:eastAsia="宋体"/>
                                <w:spacing w:val="16"/>
                                <w:w w:val="99"/>
                                <w:sz w:val="21"/>
                              </w:rPr>
                              <w:t>（</w:t>
                            </w:r>
                            <w:r>
                              <w:rPr>
                                <w:rFonts w:ascii="宋体" w:hAnsi="宋体" w:eastAsia="宋体"/>
                                <w:spacing w:val="14"/>
                                <w:w w:val="99"/>
                                <w:sz w:val="21"/>
                              </w:rPr>
                              <w:t>金凤十街—金凤十一街）</w:t>
                            </w:r>
                            <w:r>
                              <w:rPr>
                                <w:rFonts w:ascii="宋体" w:hAnsi="宋体" w:eastAsia="宋体"/>
                                <w:spacing w:val="13"/>
                                <w:w w:val="99"/>
                                <w:sz w:val="21"/>
                              </w:rPr>
                              <w:t>道路及给排水工程、通达北街打通</w:t>
                            </w:r>
                            <w:r>
                              <w:rPr>
                                <w:rFonts w:ascii="宋体" w:hAnsi="宋体" w:eastAsia="宋体"/>
                                <w:spacing w:val="11"/>
                                <w:w w:val="99"/>
                                <w:sz w:val="21"/>
                              </w:rPr>
                              <w:t>工程、金凤五路</w:t>
                            </w:r>
                            <w:r>
                              <w:rPr>
                                <w:rFonts w:ascii="宋体" w:hAnsi="宋体" w:eastAsia="宋体"/>
                                <w:spacing w:val="14"/>
                                <w:w w:val="99"/>
                                <w:sz w:val="21"/>
                              </w:rPr>
                              <w:t>（</w:t>
                            </w:r>
                            <w:r>
                              <w:rPr>
                                <w:rFonts w:ascii="宋体" w:hAnsi="宋体" w:eastAsia="宋体"/>
                                <w:spacing w:val="13"/>
                                <w:w w:val="99"/>
                                <w:sz w:val="21"/>
                              </w:rPr>
                              <w:t>金凤九街</w:t>
                            </w:r>
                            <w:r>
                              <w:rPr>
                                <w:rFonts w:ascii="Calibri" w:hAnsi="Calibri" w:eastAsia="Calibri"/>
                                <w:spacing w:val="8"/>
                                <w:w w:val="99"/>
                                <w:sz w:val="21"/>
                              </w:rPr>
                              <w:t>-</w:t>
                            </w:r>
                            <w:r>
                              <w:rPr>
                                <w:rFonts w:ascii="宋体" w:hAnsi="宋体" w:eastAsia="宋体"/>
                                <w:spacing w:val="13"/>
                                <w:w w:val="99"/>
                                <w:sz w:val="21"/>
                              </w:rPr>
                              <w:t>凤凰街</w:t>
                            </w:r>
                            <w:r>
                              <w:rPr>
                                <w:rFonts w:ascii="宋体" w:hAnsi="宋体" w:eastAsia="宋体"/>
                                <w:spacing w:val="14"/>
                                <w:w w:val="99"/>
                                <w:sz w:val="21"/>
                              </w:rPr>
                              <w:t>）</w:t>
                            </w:r>
                            <w:r>
                              <w:rPr>
                                <w:rFonts w:ascii="宋体" w:hAnsi="宋体" w:eastAsia="宋体"/>
                                <w:spacing w:val="12"/>
                                <w:w w:val="99"/>
                                <w:sz w:val="21"/>
                              </w:rPr>
                              <w:t>道路工程、福州南街</w:t>
                            </w:r>
                            <w:r>
                              <w:rPr>
                                <w:rFonts w:ascii="宋体" w:hAnsi="宋体" w:eastAsia="宋体"/>
                                <w:spacing w:val="14"/>
                                <w:w w:val="99"/>
                                <w:sz w:val="21"/>
                              </w:rPr>
                              <w:t>（</w:t>
                            </w:r>
                            <w:r>
                              <w:rPr>
                                <w:rFonts w:ascii="宋体" w:hAnsi="宋体" w:eastAsia="宋体"/>
                                <w:spacing w:val="11"/>
                                <w:w w:val="99"/>
                                <w:sz w:val="21"/>
                              </w:rPr>
                              <w:t>南侧路—宝湖路</w:t>
                            </w:r>
                            <w:r>
                              <w:rPr>
                                <w:rFonts w:ascii="宋体" w:hAnsi="宋体" w:eastAsia="宋体"/>
                                <w:spacing w:val="14"/>
                                <w:w w:val="99"/>
                                <w:sz w:val="21"/>
                              </w:rPr>
                              <w:t>）</w:t>
                            </w:r>
                            <w:r>
                              <w:rPr>
                                <w:rFonts w:ascii="宋体" w:hAnsi="宋体" w:eastAsia="宋体"/>
                                <w:spacing w:val="10"/>
                                <w:w w:val="99"/>
                                <w:sz w:val="21"/>
                              </w:rPr>
                              <w:t>道路及雨水</w:t>
                            </w:r>
                            <w:r>
                              <w:rPr>
                                <w:rFonts w:ascii="宋体" w:hAnsi="宋体" w:eastAsia="宋体"/>
                                <w:spacing w:val="14"/>
                                <w:w w:val="99"/>
                                <w:sz w:val="21"/>
                              </w:rPr>
                              <w:t>等附属设施工程、盈南砖渠村康居六号路（福州南街—满城南街</w:t>
                            </w:r>
                            <w:r>
                              <w:rPr>
                                <w:rFonts w:ascii="宋体" w:hAnsi="宋体" w:eastAsia="宋体"/>
                                <w:spacing w:val="16"/>
                                <w:w w:val="99"/>
                                <w:sz w:val="21"/>
                              </w:rPr>
                              <w:t>）</w:t>
                            </w:r>
                            <w:r>
                              <w:rPr>
                                <w:rFonts w:ascii="宋体" w:hAnsi="宋体" w:eastAsia="宋体"/>
                                <w:spacing w:val="12"/>
                                <w:w w:val="99"/>
                                <w:sz w:val="21"/>
                              </w:rPr>
                              <w:t>道路及给排水工程等项</w:t>
                            </w:r>
                          </w:p>
                          <w:p w14:paraId="473011D4">
                            <w:pPr>
                              <w:spacing w:line="264" w:lineRule="exact"/>
                              <w:ind w:left="102"/>
                              <w:rPr>
                                <w:rFonts w:ascii="宋体" w:eastAsia="宋体"/>
                                <w:sz w:val="21"/>
                              </w:rPr>
                            </w:pPr>
                            <w:r>
                              <w:rPr>
                                <w:rFonts w:ascii="宋体" w:eastAsia="宋体"/>
                                <w:spacing w:val="11"/>
                                <w:w w:val="95"/>
                                <w:sz w:val="21"/>
                              </w:rPr>
                              <w:t>目</w:t>
                            </w:r>
                            <w:r>
                              <w:rPr>
                                <w:rFonts w:ascii="宋体" w:eastAsia="宋体"/>
                                <w:spacing w:val="-10"/>
                                <w:sz w:val="21"/>
                              </w:rPr>
                              <w:t>。</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260.5pt;width:448.4pt;" filled="f" stroked="t" coordsize="21600,21600" o:gfxdata="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gGfazTAAAABQEAAA8AAAAAAAAAAQAgAAAAIgAAAGRycy9k&#10;b3ducmV2LnhtbFBLAQIUABQAAAAIAIdO4kB945F6QAIAAGoEAAAOAAAAAAAAAAEAIAAAACIBAABk&#10;cnMvZTJvRG9jLnhtbFBLBQYAAAAABgAGAFkBAADUBQAAAAA=&#10;">
                <v:fill on="f" focussize="0,0"/>
                <v:stroke weight="0.48pt" color="#000000" miterlimit="8" joinstyle="miter"/>
                <v:imagedata o:title=""/>
                <o:lock v:ext="edit" aspectratio="f"/>
                <v:textbox inset="0mm,0mm,0mm,0mm">
                  <w:txbxContent>
                    <w:p w14:paraId="146111BA">
                      <w:pPr>
                        <w:spacing w:before="110" w:line="355" w:lineRule="auto"/>
                        <w:ind w:left="102" w:right="115"/>
                        <w:rPr>
                          <w:rFonts w:ascii="宋体" w:eastAsia="宋体"/>
                          <w:sz w:val="21"/>
                        </w:rPr>
                      </w:pPr>
                      <w:r>
                        <w:rPr>
                          <w:rFonts w:ascii="宋体" w:eastAsia="宋体"/>
                          <w:spacing w:val="11"/>
                          <w:sz w:val="21"/>
                        </w:rPr>
                        <w:t>务中心、金凤区政务服务信息便民一体化、金凤区城市居民区无接触配送体系、金凤区智</w:t>
                      </w:r>
                      <w:r>
                        <w:rPr>
                          <w:rFonts w:ascii="宋体" w:eastAsia="宋体"/>
                          <w:spacing w:val="-2"/>
                          <w:sz w:val="21"/>
                        </w:rPr>
                        <w:t>慧社区等项目。</w:t>
                      </w:r>
                    </w:p>
                    <w:p w14:paraId="6AF1CB6F">
                      <w:pPr>
                        <w:spacing w:before="3" w:line="357" w:lineRule="auto"/>
                        <w:ind w:left="102" w:right="108" w:firstLine="444"/>
                        <w:jc w:val="both"/>
                        <w:rPr>
                          <w:rFonts w:ascii="宋体" w:eastAsia="宋体"/>
                          <w:sz w:val="21"/>
                        </w:rPr>
                      </w:pPr>
                      <w:r>
                        <w:rPr>
                          <w:rFonts w:hint="eastAsia" w:ascii="宋体" w:eastAsia="宋体"/>
                          <w:b/>
                          <w:spacing w:val="13"/>
                          <w:sz w:val="21"/>
                        </w:rPr>
                        <w:t>市政基础设施项目。</w:t>
                      </w:r>
                      <w:r>
                        <w:rPr>
                          <w:rFonts w:ascii="宋体" w:eastAsia="宋体"/>
                          <w:spacing w:val="13"/>
                          <w:sz w:val="21"/>
                        </w:rPr>
                        <w:t>良田镇保留庄点提升改造、团结路综合管廊、丰登镇排水供热改</w:t>
                      </w:r>
                      <w:r>
                        <w:rPr>
                          <w:rFonts w:ascii="宋体" w:eastAsia="宋体"/>
                          <w:spacing w:val="11"/>
                          <w:sz w:val="21"/>
                        </w:rPr>
                        <w:t>造升级、良田镇镇区污水处理设施和配套管网、中继能源站、换热站大温差供热改造、良</w:t>
                      </w:r>
                      <w:r>
                        <w:rPr>
                          <w:rFonts w:ascii="宋体" w:eastAsia="宋体"/>
                          <w:spacing w:val="8"/>
                          <w:sz w:val="21"/>
                        </w:rPr>
                        <w:t>田镇拟保留庄点天然气、移动公司新型基础设施建设、丰泽美居智慧社区等项目。</w:t>
                      </w:r>
                    </w:p>
                    <w:p w14:paraId="59164A5F">
                      <w:pPr>
                        <w:spacing w:line="357" w:lineRule="auto"/>
                        <w:ind w:left="102" w:right="108" w:firstLine="444"/>
                        <w:jc w:val="both"/>
                        <w:rPr>
                          <w:rFonts w:ascii="宋体" w:hAnsi="宋体" w:eastAsia="宋体"/>
                          <w:sz w:val="21"/>
                        </w:rPr>
                      </w:pPr>
                      <w:r>
                        <w:rPr>
                          <w:rFonts w:hint="eastAsia" w:ascii="宋体" w:hAnsi="宋体" w:eastAsia="宋体"/>
                          <w:b/>
                          <w:spacing w:val="16"/>
                          <w:w w:val="99"/>
                          <w:sz w:val="21"/>
                        </w:rPr>
                        <w:t>区域路网项目。</w:t>
                      </w:r>
                      <w:r>
                        <w:rPr>
                          <w:rFonts w:ascii="宋体" w:hAnsi="宋体" w:eastAsia="宋体"/>
                          <w:spacing w:val="13"/>
                          <w:w w:val="99"/>
                          <w:sz w:val="21"/>
                        </w:rPr>
                        <w:t>亲水大街高架快速通道工程、宝湖路快速通道工程、贺兰山路快速通</w:t>
                      </w:r>
                      <w:r>
                        <w:rPr>
                          <w:rFonts w:ascii="宋体" w:hAnsi="宋体" w:eastAsia="宋体"/>
                          <w:spacing w:val="9"/>
                          <w:w w:val="99"/>
                          <w:sz w:val="21"/>
                        </w:rPr>
                        <w:t>道工程、康平路</w:t>
                      </w:r>
                      <w:r>
                        <w:rPr>
                          <w:rFonts w:ascii="宋体" w:hAnsi="宋体" w:eastAsia="宋体"/>
                          <w:spacing w:val="11"/>
                          <w:w w:val="99"/>
                          <w:sz w:val="21"/>
                        </w:rPr>
                        <w:t>（</w:t>
                      </w:r>
                      <w:r>
                        <w:rPr>
                          <w:rFonts w:ascii="宋体" w:hAnsi="宋体" w:eastAsia="宋体"/>
                          <w:spacing w:val="12"/>
                          <w:w w:val="99"/>
                          <w:sz w:val="21"/>
                        </w:rPr>
                        <w:t>凤凰街</w:t>
                      </w:r>
                      <w:r>
                        <w:rPr>
                          <w:rFonts w:ascii="Calibri" w:hAnsi="Calibri" w:eastAsia="Calibri"/>
                          <w:spacing w:val="8"/>
                          <w:w w:val="99"/>
                          <w:sz w:val="21"/>
                        </w:rPr>
                        <w:t>-</w:t>
                      </w:r>
                      <w:r>
                        <w:rPr>
                          <w:rFonts w:ascii="宋体" w:hAnsi="宋体" w:eastAsia="宋体"/>
                          <w:spacing w:val="11"/>
                          <w:w w:val="99"/>
                          <w:sz w:val="21"/>
                        </w:rPr>
                        <w:t>正源街</w:t>
                      </w:r>
                      <w:r>
                        <w:rPr>
                          <w:rFonts w:ascii="宋体" w:hAnsi="宋体" w:eastAsia="宋体"/>
                          <w:spacing w:val="4"/>
                          <w:w w:val="99"/>
                          <w:sz w:val="21"/>
                        </w:rPr>
                        <w:t>）</w:t>
                      </w:r>
                      <w:r>
                        <w:rPr>
                          <w:rFonts w:ascii="宋体" w:hAnsi="宋体" w:eastAsia="宋体"/>
                          <w:spacing w:val="9"/>
                          <w:w w:val="99"/>
                          <w:sz w:val="21"/>
                        </w:rPr>
                        <w:t>道路改造工程、湖畔路</w:t>
                      </w:r>
                      <w:r>
                        <w:rPr>
                          <w:rFonts w:ascii="宋体" w:hAnsi="宋体" w:eastAsia="宋体"/>
                          <w:spacing w:val="11"/>
                          <w:w w:val="99"/>
                          <w:sz w:val="21"/>
                        </w:rPr>
                        <w:t>（</w:t>
                      </w:r>
                      <w:r>
                        <w:rPr>
                          <w:rFonts w:ascii="宋体" w:hAnsi="宋体" w:eastAsia="宋体"/>
                          <w:spacing w:val="12"/>
                          <w:w w:val="99"/>
                          <w:sz w:val="21"/>
                        </w:rPr>
                        <w:t>亲水大街</w:t>
                      </w:r>
                      <w:r>
                        <w:rPr>
                          <w:rFonts w:ascii="Calibri" w:hAnsi="Calibri" w:eastAsia="Calibri"/>
                          <w:spacing w:val="5"/>
                          <w:w w:val="99"/>
                          <w:sz w:val="21"/>
                        </w:rPr>
                        <w:t>-</w:t>
                      </w:r>
                      <w:r>
                        <w:rPr>
                          <w:rFonts w:ascii="宋体" w:hAnsi="宋体" w:eastAsia="宋体"/>
                          <w:spacing w:val="12"/>
                          <w:w w:val="99"/>
                          <w:sz w:val="21"/>
                        </w:rPr>
                        <w:t>塔渠街</w:t>
                      </w:r>
                      <w:r>
                        <w:rPr>
                          <w:rFonts w:ascii="宋体" w:hAnsi="宋体" w:eastAsia="宋体"/>
                          <w:spacing w:val="4"/>
                          <w:w w:val="99"/>
                          <w:sz w:val="21"/>
                        </w:rPr>
                        <w:t>）</w:t>
                      </w:r>
                      <w:r>
                        <w:rPr>
                          <w:rFonts w:ascii="宋体" w:hAnsi="宋体" w:eastAsia="宋体"/>
                          <w:spacing w:val="8"/>
                          <w:w w:val="99"/>
                          <w:sz w:val="21"/>
                        </w:rPr>
                        <w:t>道路改造工程、新昌路</w:t>
                      </w:r>
                      <w:r>
                        <w:rPr>
                          <w:rFonts w:ascii="宋体" w:hAnsi="宋体" w:eastAsia="宋体"/>
                          <w:spacing w:val="11"/>
                          <w:w w:val="99"/>
                          <w:sz w:val="21"/>
                        </w:rPr>
                        <w:t>（</w:t>
                      </w:r>
                      <w:r>
                        <w:rPr>
                          <w:rFonts w:ascii="宋体" w:hAnsi="宋体" w:eastAsia="宋体"/>
                          <w:spacing w:val="12"/>
                          <w:w w:val="99"/>
                          <w:sz w:val="21"/>
                        </w:rPr>
                        <w:t>凤凰街</w:t>
                      </w:r>
                      <w:r>
                        <w:rPr>
                          <w:rFonts w:ascii="Calibri" w:hAnsi="Calibri" w:eastAsia="Calibri"/>
                          <w:spacing w:val="8"/>
                          <w:w w:val="99"/>
                          <w:sz w:val="21"/>
                        </w:rPr>
                        <w:t>-</w:t>
                      </w:r>
                      <w:r>
                        <w:rPr>
                          <w:rFonts w:ascii="宋体" w:hAnsi="宋体" w:eastAsia="宋体"/>
                          <w:spacing w:val="11"/>
                          <w:w w:val="99"/>
                          <w:sz w:val="21"/>
                        </w:rPr>
                        <w:t>亲水大街</w:t>
                      </w:r>
                      <w:r>
                        <w:rPr>
                          <w:rFonts w:ascii="宋体" w:hAnsi="宋体" w:eastAsia="宋体"/>
                          <w:spacing w:val="4"/>
                          <w:w w:val="99"/>
                          <w:sz w:val="21"/>
                        </w:rPr>
                        <w:t>）</w:t>
                      </w:r>
                      <w:r>
                        <w:rPr>
                          <w:rFonts w:ascii="宋体" w:hAnsi="宋体" w:eastAsia="宋体"/>
                          <w:spacing w:val="9"/>
                          <w:w w:val="99"/>
                          <w:sz w:val="21"/>
                        </w:rPr>
                        <w:t>道路改造工程、康银巷</w:t>
                      </w:r>
                      <w:r>
                        <w:rPr>
                          <w:rFonts w:ascii="宋体" w:hAnsi="宋体" w:eastAsia="宋体"/>
                          <w:spacing w:val="11"/>
                          <w:w w:val="99"/>
                          <w:sz w:val="21"/>
                        </w:rPr>
                        <w:t>（宝湖中路</w:t>
                      </w:r>
                      <w:r>
                        <w:rPr>
                          <w:rFonts w:ascii="Calibri" w:hAnsi="Calibri" w:eastAsia="Calibri"/>
                          <w:spacing w:val="8"/>
                          <w:w w:val="99"/>
                          <w:sz w:val="21"/>
                        </w:rPr>
                        <w:t>-</w:t>
                      </w:r>
                      <w:r>
                        <w:rPr>
                          <w:rFonts w:ascii="宋体" w:hAnsi="宋体" w:eastAsia="宋体"/>
                          <w:spacing w:val="11"/>
                          <w:w w:val="99"/>
                          <w:sz w:val="21"/>
                        </w:rPr>
                        <w:t>金凤五路</w:t>
                      </w:r>
                      <w:r>
                        <w:rPr>
                          <w:rFonts w:ascii="宋体" w:hAnsi="宋体" w:eastAsia="宋体"/>
                          <w:spacing w:val="4"/>
                          <w:w w:val="99"/>
                          <w:sz w:val="21"/>
                        </w:rPr>
                        <w:t>）</w:t>
                      </w:r>
                      <w:r>
                        <w:rPr>
                          <w:rFonts w:ascii="宋体" w:hAnsi="宋体" w:eastAsia="宋体"/>
                          <w:spacing w:val="8"/>
                          <w:w w:val="99"/>
                          <w:sz w:val="21"/>
                        </w:rPr>
                        <w:t>道路改造工</w:t>
                      </w:r>
                      <w:r>
                        <w:rPr>
                          <w:rFonts w:ascii="宋体" w:hAnsi="宋体" w:eastAsia="宋体"/>
                          <w:spacing w:val="9"/>
                          <w:w w:val="99"/>
                          <w:sz w:val="21"/>
                        </w:rPr>
                        <w:t>程、尹家渠街</w:t>
                      </w:r>
                      <w:r>
                        <w:rPr>
                          <w:rFonts w:ascii="宋体" w:hAnsi="宋体" w:eastAsia="宋体"/>
                          <w:spacing w:val="11"/>
                          <w:w w:val="99"/>
                          <w:sz w:val="21"/>
                        </w:rPr>
                        <w:t>（北京路</w:t>
                      </w:r>
                      <w:r>
                        <w:rPr>
                          <w:rFonts w:ascii="Calibri" w:hAnsi="Calibri" w:eastAsia="Calibri"/>
                          <w:spacing w:val="8"/>
                          <w:w w:val="99"/>
                          <w:sz w:val="21"/>
                        </w:rPr>
                        <w:t>-</w:t>
                      </w:r>
                      <w:r>
                        <w:rPr>
                          <w:rFonts w:ascii="宋体" w:hAnsi="宋体" w:eastAsia="宋体"/>
                          <w:spacing w:val="11"/>
                          <w:w w:val="99"/>
                          <w:sz w:val="21"/>
                        </w:rPr>
                        <w:t>贺兰山路</w:t>
                      </w:r>
                      <w:r>
                        <w:rPr>
                          <w:rFonts w:ascii="宋体" w:hAnsi="宋体" w:eastAsia="宋体"/>
                          <w:spacing w:val="4"/>
                          <w:w w:val="99"/>
                          <w:sz w:val="21"/>
                        </w:rPr>
                        <w:t>）</w:t>
                      </w:r>
                      <w:r>
                        <w:rPr>
                          <w:rFonts w:ascii="宋体" w:hAnsi="宋体" w:eastAsia="宋体"/>
                          <w:spacing w:val="9"/>
                          <w:w w:val="99"/>
                          <w:sz w:val="21"/>
                        </w:rPr>
                        <w:t>道路改造工程、金凤十二街</w:t>
                      </w:r>
                      <w:r>
                        <w:rPr>
                          <w:rFonts w:ascii="宋体" w:hAnsi="宋体" w:eastAsia="宋体"/>
                          <w:spacing w:val="11"/>
                          <w:w w:val="99"/>
                          <w:sz w:val="21"/>
                        </w:rPr>
                        <w:t>（</w:t>
                      </w:r>
                      <w:r>
                        <w:rPr>
                          <w:rFonts w:ascii="宋体" w:hAnsi="宋体" w:eastAsia="宋体"/>
                          <w:spacing w:val="12"/>
                          <w:w w:val="99"/>
                          <w:sz w:val="21"/>
                        </w:rPr>
                        <w:t>六盘山路</w:t>
                      </w:r>
                      <w:r>
                        <w:rPr>
                          <w:rFonts w:ascii="Calibri" w:hAnsi="Calibri" w:eastAsia="Calibri"/>
                          <w:spacing w:val="5"/>
                          <w:w w:val="99"/>
                          <w:sz w:val="21"/>
                        </w:rPr>
                        <w:t>-</w:t>
                      </w:r>
                      <w:r>
                        <w:rPr>
                          <w:rFonts w:ascii="宋体" w:hAnsi="宋体" w:eastAsia="宋体"/>
                          <w:spacing w:val="11"/>
                          <w:w w:val="99"/>
                          <w:sz w:val="21"/>
                        </w:rPr>
                        <w:t>金凤八路</w:t>
                      </w:r>
                      <w:r>
                        <w:rPr>
                          <w:rFonts w:ascii="宋体" w:hAnsi="宋体" w:eastAsia="宋体"/>
                          <w:spacing w:val="4"/>
                          <w:w w:val="99"/>
                          <w:sz w:val="21"/>
                        </w:rPr>
                        <w:t>）</w:t>
                      </w:r>
                      <w:r>
                        <w:rPr>
                          <w:rFonts w:ascii="宋体" w:hAnsi="宋体" w:eastAsia="宋体"/>
                          <w:spacing w:val="7"/>
                          <w:w w:val="99"/>
                          <w:sz w:val="21"/>
                        </w:rPr>
                        <w:t>道路</w:t>
                      </w:r>
                      <w:r>
                        <w:rPr>
                          <w:rFonts w:ascii="宋体" w:hAnsi="宋体" w:eastAsia="宋体"/>
                          <w:spacing w:val="14"/>
                          <w:w w:val="99"/>
                          <w:sz w:val="21"/>
                        </w:rPr>
                        <w:t>及给排水工程、金凤十七路</w:t>
                      </w:r>
                      <w:r>
                        <w:rPr>
                          <w:rFonts w:ascii="宋体" w:hAnsi="宋体" w:eastAsia="宋体"/>
                          <w:spacing w:val="16"/>
                          <w:w w:val="99"/>
                          <w:sz w:val="21"/>
                        </w:rPr>
                        <w:t>（</w:t>
                      </w:r>
                      <w:r>
                        <w:rPr>
                          <w:rFonts w:ascii="宋体" w:hAnsi="宋体" w:eastAsia="宋体"/>
                          <w:spacing w:val="14"/>
                          <w:w w:val="99"/>
                          <w:sz w:val="21"/>
                        </w:rPr>
                        <w:t>金凤十街—金凤十一街）</w:t>
                      </w:r>
                      <w:r>
                        <w:rPr>
                          <w:rFonts w:ascii="宋体" w:hAnsi="宋体" w:eastAsia="宋体"/>
                          <w:spacing w:val="13"/>
                          <w:w w:val="99"/>
                          <w:sz w:val="21"/>
                        </w:rPr>
                        <w:t>道路及给排水工程、通达北街打通</w:t>
                      </w:r>
                      <w:r>
                        <w:rPr>
                          <w:rFonts w:ascii="宋体" w:hAnsi="宋体" w:eastAsia="宋体"/>
                          <w:spacing w:val="11"/>
                          <w:w w:val="99"/>
                          <w:sz w:val="21"/>
                        </w:rPr>
                        <w:t>工程、金凤五路</w:t>
                      </w:r>
                      <w:r>
                        <w:rPr>
                          <w:rFonts w:ascii="宋体" w:hAnsi="宋体" w:eastAsia="宋体"/>
                          <w:spacing w:val="14"/>
                          <w:w w:val="99"/>
                          <w:sz w:val="21"/>
                        </w:rPr>
                        <w:t>（</w:t>
                      </w:r>
                      <w:r>
                        <w:rPr>
                          <w:rFonts w:ascii="宋体" w:hAnsi="宋体" w:eastAsia="宋体"/>
                          <w:spacing w:val="13"/>
                          <w:w w:val="99"/>
                          <w:sz w:val="21"/>
                        </w:rPr>
                        <w:t>金凤九街</w:t>
                      </w:r>
                      <w:r>
                        <w:rPr>
                          <w:rFonts w:ascii="Calibri" w:hAnsi="Calibri" w:eastAsia="Calibri"/>
                          <w:spacing w:val="8"/>
                          <w:w w:val="99"/>
                          <w:sz w:val="21"/>
                        </w:rPr>
                        <w:t>-</w:t>
                      </w:r>
                      <w:r>
                        <w:rPr>
                          <w:rFonts w:ascii="宋体" w:hAnsi="宋体" w:eastAsia="宋体"/>
                          <w:spacing w:val="13"/>
                          <w:w w:val="99"/>
                          <w:sz w:val="21"/>
                        </w:rPr>
                        <w:t>凤凰街</w:t>
                      </w:r>
                      <w:r>
                        <w:rPr>
                          <w:rFonts w:ascii="宋体" w:hAnsi="宋体" w:eastAsia="宋体"/>
                          <w:spacing w:val="14"/>
                          <w:w w:val="99"/>
                          <w:sz w:val="21"/>
                        </w:rPr>
                        <w:t>）</w:t>
                      </w:r>
                      <w:r>
                        <w:rPr>
                          <w:rFonts w:ascii="宋体" w:hAnsi="宋体" w:eastAsia="宋体"/>
                          <w:spacing w:val="12"/>
                          <w:w w:val="99"/>
                          <w:sz w:val="21"/>
                        </w:rPr>
                        <w:t>道路工程、福州南街</w:t>
                      </w:r>
                      <w:r>
                        <w:rPr>
                          <w:rFonts w:ascii="宋体" w:hAnsi="宋体" w:eastAsia="宋体"/>
                          <w:spacing w:val="14"/>
                          <w:w w:val="99"/>
                          <w:sz w:val="21"/>
                        </w:rPr>
                        <w:t>（</w:t>
                      </w:r>
                      <w:r>
                        <w:rPr>
                          <w:rFonts w:ascii="宋体" w:hAnsi="宋体" w:eastAsia="宋体"/>
                          <w:spacing w:val="11"/>
                          <w:w w:val="99"/>
                          <w:sz w:val="21"/>
                        </w:rPr>
                        <w:t>南侧路—宝湖路</w:t>
                      </w:r>
                      <w:r>
                        <w:rPr>
                          <w:rFonts w:ascii="宋体" w:hAnsi="宋体" w:eastAsia="宋体"/>
                          <w:spacing w:val="14"/>
                          <w:w w:val="99"/>
                          <w:sz w:val="21"/>
                        </w:rPr>
                        <w:t>）</w:t>
                      </w:r>
                      <w:r>
                        <w:rPr>
                          <w:rFonts w:ascii="宋体" w:hAnsi="宋体" w:eastAsia="宋体"/>
                          <w:spacing w:val="10"/>
                          <w:w w:val="99"/>
                          <w:sz w:val="21"/>
                        </w:rPr>
                        <w:t>道路及雨水</w:t>
                      </w:r>
                      <w:r>
                        <w:rPr>
                          <w:rFonts w:ascii="宋体" w:hAnsi="宋体" w:eastAsia="宋体"/>
                          <w:spacing w:val="14"/>
                          <w:w w:val="99"/>
                          <w:sz w:val="21"/>
                        </w:rPr>
                        <w:t>等附属设施工程、盈南砖渠村康居六号路（福州南街—满城南街</w:t>
                      </w:r>
                      <w:r>
                        <w:rPr>
                          <w:rFonts w:ascii="宋体" w:hAnsi="宋体" w:eastAsia="宋体"/>
                          <w:spacing w:val="16"/>
                          <w:w w:val="99"/>
                          <w:sz w:val="21"/>
                        </w:rPr>
                        <w:t>）</w:t>
                      </w:r>
                      <w:r>
                        <w:rPr>
                          <w:rFonts w:ascii="宋体" w:hAnsi="宋体" w:eastAsia="宋体"/>
                          <w:spacing w:val="12"/>
                          <w:w w:val="99"/>
                          <w:sz w:val="21"/>
                        </w:rPr>
                        <w:t>道路及给排水工程等项</w:t>
                      </w:r>
                    </w:p>
                    <w:p w14:paraId="473011D4">
                      <w:pPr>
                        <w:spacing w:line="264" w:lineRule="exact"/>
                        <w:ind w:left="102"/>
                        <w:rPr>
                          <w:rFonts w:ascii="宋体" w:eastAsia="宋体"/>
                          <w:sz w:val="21"/>
                        </w:rPr>
                      </w:pPr>
                      <w:r>
                        <w:rPr>
                          <w:rFonts w:ascii="宋体" w:eastAsia="宋体"/>
                          <w:spacing w:val="11"/>
                          <w:w w:val="95"/>
                          <w:sz w:val="21"/>
                        </w:rPr>
                        <w:t>目</w:t>
                      </w:r>
                      <w:r>
                        <w:rPr>
                          <w:rFonts w:ascii="宋体" w:eastAsia="宋体"/>
                          <w:spacing w:val="-10"/>
                          <w:sz w:val="21"/>
                        </w:rPr>
                        <w:t>。</w:t>
                      </w:r>
                    </w:p>
                  </w:txbxContent>
                </v:textbox>
                <w10:wrap type="none"/>
                <w10:anchorlock/>
              </v:shape>
            </w:pict>
          </mc:Fallback>
        </mc:AlternateContent>
      </w:r>
    </w:p>
    <w:p w14:paraId="30FD8BF2">
      <w:pPr>
        <w:rPr>
          <w:rFonts w:ascii="Times New Roman"/>
          <w:sz w:val="20"/>
        </w:rPr>
        <w:sectPr>
          <w:footerReference r:id="rId27" w:type="default"/>
          <w:footerReference r:id="rId28" w:type="even"/>
          <w:pgSz w:w="11910" w:h="16840"/>
          <w:pgMar w:top="1680" w:right="1200" w:bottom="1160" w:left="1260" w:header="0" w:footer="975" w:gutter="0"/>
          <w:pgNumType w:start="83"/>
          <w:cols w:space="720" w:num="1"/>
        </w:sectPr>
      </w:pPr>
    </w:p>
    <w:p w14:paraId="1B5B0996">
      <w:pPr>
        <w:rPr>
          <w:rFonts w:ascii="Times New Roman"/>
          <w:sz w:val="20"/>
          <w:szCs w:val="32"/>
        </w:rPr>
      </w:pPr>
    </w:p>
    <w:p w14:paraId="0E8B8AB9">
      <w:pPr>
        <w:rPr>
          <w:rFonts w:ascii="Times New Roman"/>
          <w:sz w:val="20"/>
          <w:szCs w:val="32"/>
        </w:rPr>
      </w:pPr>
    </w:p>
    <w:p w14:paraId="1A559CC6">
      <w:pPr>
        <w:rPr>
          <w:rFonts w:ascii="Times New Roman"/>
          <w:sz w:val="20"/>
          <w:szCs w:val="32"/>
        </w:rPr>
      </w:pPr>
    </w:p>
    <w:p w14:paraId="616C08EE">
      <w:pPr>
        <w:spacing w:before="7"/>
        <w:rPr>
          <w:rFonts w:ascii="Times New Roman"/>
          <w:sz w:val="18"/>
          <w:szCs w:val="32"/>
        </w:rPr>
      </w:pPr>
    </w:p>
    <w:p w14:paraId="089F8AB9">
      <w:pPr>
        <w:tabs>
          <w:tab w:val="left" w:pos="2527"/>
        </w:tabs>
        <w:spacing w:line="634" w:lineRule="exact"/>
        <w:ind w:left="1082"/>
        <w:outlineLvl w:val="0"/>
        <w:rPr>
          <w:rFonts w:ascii="方正小标宋简体" w:hAnsi="方正小标宋简体" w:eastAsia="方正小标宋简体" w:cs="方正小标宋简体"/>
          <w:b/>
          <w:bCs/>
          <w:sz w:val="36"/>
          <w:szCs w:val="36"/>
        </w:rPr>
      </w:pPr>
      <w:r>
        <w:rPr>
          <w:rFonts w:ascii="方正小标宋简体" w:hAnsi="方正小标宋简体" w:eastAsia="方正小标宋简体" w:cs="方正小标宋简体"/>
          <w:b/>
          <w:bCs/>
          <w:w w:val="95"/>
          <w:sz w:val="36"/>
          <w:szCs w:val="36"/>
        </w:rPr>
        <w:t>第五</w:t>
      </w:r>
      <w:r>
        <w:rPr>
          <w:rFonts w:ascii="方正小标宋简体" w:hAnsi="方正小标宋简体" w:eastAsia="方正小标宋简体" w:cs="方正小标宋简体"/>
          <w:b/>
          <w:bCs/>
          <w:spacing w:val="-10"/>
          <w:w w:val="95"/>
          <w:sz w:val="36"/>
          <w:szCs w:val="36"/>
        </w:rPr>
        <w:t>篇</w:t>
      </w:r>
      <w:r>
        <w:rPr>
          <w:rFonts w:ascii="方正小标宋简体" w:hAnsi="方正小标宋简体" w:eastAsia="方正小标宋简体" w:cs="方正小标宋简体"/>
          <w:b/>
          <w:bCs/>
          <w:sz w:val="36"/>
          <w:szCs w:val="36"/>
        </w:rPr>
        <w:tab/>
      </w:r>
      <w:r>
        <w:rPr>
          <w:rFonts w:ascii="方正小标宋简体" w:hAnsi="方正小标宋简体" w:eastAsia="方正小标宋简体" w:cs="方正小标宋简体"/>
          <w:b/>
          <w:bCs/>
          <w:w w:val="95"/>
          <w:sz w:val="36"/>
          <w:szCs w:val="36"/>
        </w:rPr>
        <w:t>推动绿色发展，打造生态园林化城</w:t>
      </w:r>
      <w:r>
        <w:rPr>
          <w:rFonts w:ascii="方正小标宋简体" w:hAnsi="方正小标宋简体" w:eastAsia="方正小标宋简体" w:cs="方正小标宋简体"/>
          <w:b/>
          <w:bCs/>
          <w:spacing w:val="-10"/>
          <w:w w:val="95"/>
          <w:sz w:val="36"/>
          <w:szCs w:val="36"/>
        </w:rPr>
        <w:t>区</w:t>
      </w:r>
    </w:p>
    <w:p w14:paraId="6B99A323">
      <w:pPr>
        <w:spacing w:before="7"/>
        <w:rPr>
          <w:rFonts w:ascii="方正小标宋简体"/>
          <w:b/>
          <w:sz w:val="35"/>
          <w:szCs w:val="32"/>
        </w:rPr>
      </w:pPr>
    </w:p>
    <w:p w14:paraId="00145DF2">
      <w:pPr>
        <w:ind w:left="1053"/>
        <w:rPr>
          <w:rFonts w:ascii="宋体" w:eastAsia="宋体"/>
          <w:b/>
          <w:sz w:val="30"/>
        </w:rPr>
      </w:pPr>
      <w:r>
        <w:rPr>
          <w:rFonts w:hint="eastAsia" w:ascii="宋体" w:eastAsia="宋体"/>
          <w:b/>
          <w:sz w:val="30"/>
        </w:rPr>
        <w:t>第七章</w:t>
      </w:r>
      <w:r>
        <w:rPr>
          <w:rFonts w:hint="eastAsia" w:ascii="宋体" w:eastAsia="宋体"/>
          <w:b/>
          <w:spacing w:val="46"/>
          <w:w w:val="150"/>
          <w:sz w:val="30"/>
        </w:rPr>
        <w:t xml:space="preserve"> </w:t>
      </w:r>
      <w:r>
        <w:rPr>
          <w:rFonts w:hint="eastAsia" w:ascii="宋体" w:eastAsia="宋体"/>
          <w:b/>
          <w:sz w:val="30"/>
        </w:rPr>
        <w:t>全面优化生态空间格</w:t>
      </w:r>
      <w:r>
        <w:rPr>
          <w:rFonts w:hint="eastAsia" w:ascii="宋体" w:eastAsia="宋体"/>
          <w:b/>
          <w:spacing w:val="-10"/>
          <w:sz w:val="30"/>
        </w:rPr>
        <w:t>局</w:t>
      </w:r>
    </w:p>
    <w:p w14:paraId="2864B381">
      <w:pPr>
        <w:spacing w:before="266" w:line="338" w:lineRule="auto"/>
        <w:ind w:left="213" w:right="278" w:firstLine="664"/>
        <w:jc w:val="both"/>
        <w:rPr>
          <w:sz w:val="32"/>
          <w:szCs w:val="32"/>
        </w:rPr>
      </w:pPr>
      <w:r>
        <w:rPr>
          <w:spacing w:val="10"/>
          <w:w w:val="99"/>
          <w:sz w:val="32"/>
          <w:szCs w:val="32"/>
        </w:rPr>
        <w:t>把生态优先战略贯穿到经济社会发展全过程，把生态保护</w:t>
      </w:r>
      <w:r>
        <w:rPr>
          <w:spacing w:val="9"/>
          <w:w w:val="99"/>
          <w:sz w:val="32"/>
          <w:szCs w:val="32"/>
        </w:rPr>
        <w:t>作为高质量发展的底线要求，深化落实自治区“一带三区”总</w:t>
      </w:r>
      <w:r>
        <w:rPr>
          <w:spacing w:val="11"/>
          <w:w w:val="99"/>
          <w:sz w:val="32"/>
          <w:szCs w:val="32"/>
        </w:rPr>
        <w:t>体布局和银川市“三廊三区”功能布局，加大环境保护力度，</w:t>
      </w:r>
      <w:r>
        <w:rPr>
          <w:spacing w:val="10"/>
          <w:w w:val="99"/>
          <w:sz w:val="32"/>
          <w:szCs w:val="32"/>
        </w:rPr>
        <w:t>构筑山水林田湖城生命共同体，加强生态修复与治理，建设宜</w:t>
      </w:r>
      <w:r>
        <w:rPr>
          <w:spacing w:val="7"/>
          <w:w w:val="99"/>
          <w:sz w:val="32"/>
          <w:szCs w:val="32"/>
        </w:rPr>
        <w:t>居公园城市，打造城市“绿肺、绿线、绿廊”，形成人、城、</w:t>
      </w:r>
      <w:r>
        <w:rPr>
          <w:spacing w:val="10"/>
          <w:w w:val="99"/>
          <w:sz w:val="32"/>
          <w:szCs w:val="32"/>
        </w:rPr>
        <w:t>境、业高度和谐统一的大美城市形态的城市发展新模式，构建</w:t>
      </w:r>
      <w:r>
        <w:rPr>
          <w:spacing w:val="9"/>
          <w:w w:val="99"/>
          <w:sz w:val="32"/>
          <w:szCs w:val="32"/>
        </w:rPr>
        <w:t xml:space="preserve">生产空间集约高效、生活空间舒适宜居、生态空间山清水秀的 </w:t>
      </w:r>
      <w:r>
        <w:rPr>
          <w:spacing w:val="11"/>
          <w:w w:val="99"/>
          <w:sz w:val="32"/>
          <w:szCs w:val="32"/>
        </w:rPr>
        <w:t>“三生融合”城市发展新格局。</w:t>
      </w:r>
    </w:p>
    <w:p w14:paraId="3A47243F">
      <w:pPr>
        <w:spacing w:before="6"/>
        <w:rPr>
          <w:sz w:val="36"/>
          <w:szCs w:val="32"/>
        </w:rPr>
      </w:pPr>
    </w:p>
    <w:p w14:paraId="564657D5">
      <w:pPr>
        <w:ind w:left="2353" w:right="2422"/>
        <w:jc w:val="center"/>
        <w:outlineLvl w:val="2"/>
        <w:rPr>
          <w:rFonts w:ascii="宋体" w:hAnsi="宋体" w:eastAsia="宋体" w:cs="宋体"/>
          <w:b/>
          <w:bCs/>
          <w:sz w:val="32"/>
          <w:szCs w:val="32"/>
        </w:rPr>
      </w:pPr>
      <w:r>
        <w:rPr>
          <w:rFonts w:ascii="宋体" w:hAnsi="宋体" w:eastAsia="宋体" w:cs="宋体"/>
          <w:b/>
          <w:bCs/>
          <w:spacing w:val="14"/>
          <w:sz w:val="32"/>
          <w:szCs w:val="32"/>
        </w:rPr>
        <w:t>第一</w:t>
      </w:r>
      <w:r>
        <w:rPr>
          <w:rFonts w:ascii="宋体" w:hAnsi="宋体" w:eastAsia="宋体" w:cs="宋体"/>
          <w:b/>
          <w:bCs/>
          <w:spacing w:val="56"/>
          <w:sz w:val="32"/>
          <w:szCs w:val="32"/>
        </w:rPr>
        <w:t>节 落</w:t>
      </w:r>
      <w:r>
        <w:rPr>
          <w:rFonts w:ascii="宋体" w:hAnsi="宋体" w:eastAsia="宋体" w:cs="宋体"/>
          <w:b/>
          <w:bCs/>
          <w:spacing w:val="14"/>
          <w:sz w:val="32"/>
          <w:szCs w:val="32"/>
        </w:rPr>
        <w:t>实国</w:t>
      </w:r>
      <w:r>
        <w:rPr>
          <w:rFonts w:ascii="宋体" w:hAnsi="宋体" w:eastAsia="宋体" w:cs="宋体"/>
          <w:b/>
          <w:bCs/>
          <w:spacing w:val="12"/>
          <w:sz w:val="32"/>
          <w:szCs w:val="32"/>
        </w:rPr>
        <w:t>土</w:t>
      </w:r>
      <w:r>
        <w:rPr>
          <w:rFonts w:ascii="宋体" w:hAnsi="宋体" w:eastAsia="宋体" w:cs="宋体"/>
          <w:b/>
          <w:bCs/>
          <w:spacing w:val="14"/>
          <w:sz w:val="32"/>
          <w:szCs w:val="32"/>
        </w:rPr>
        <w:t>空间开发规</w:t>
      </w:r>
      <w:r>
        <w:rPr>
          <w:rFonts w:ascii="宋体" w:hAnsi="宋体" w:eastAsia="宋体" w:cs="宋体"/>
          <w:b/>
          <w:bCs/>
          <w:spacing w:val="-10"/>
          <w:sz w:val="32"/>
          <w:szCs w:val="32"/>
        </w:rPr>
        <w:t>划</w:t>
      </w:r>
    </w:p>
    <w:p w14:paraId="63A46323">
      <w:pPr>
        <w:spacing w:before="2"/>
        <w:rPr>
          <w:rFonts w:ascii="宋体"/>
          <w:b/>
          <w:sz w:val="25"/>
          <w:szCs w:val="32"/>
        </w:rPr>
      </w:pPr>
    </w:p>
    <w:p w14:paraId="347C30F9">
      <w:pPr>
        <w:spacing w:line="338" w:lineRule="auto"/>
        <w:ind w:left="213" w:right="120" w:firstLine="664"/>
        <w:rPr>
          <w:sz w:val="32"/>
          <w:szCs w:val="32"/>
        </w:rPr>
      </w:pPr>
      <w:r>
        <w:rPr>
          <w:spacing w:val="11"/>
          <w:w w:val="99"/>
          <w:sz w:val="32"/>
          <w:szCs w:val="32"/>
        </w:rPr>
        <w:t>强化以“三区三线”划定及管控为核心的全域空间管控，</w:t>
      </w:r>
      <w:r>
        <w:rPr>
          <w:spacing w:val="9"/>
          <w:w w:val="99"/>
          <w:sz w:val="32"/>
          <w:szCs w:val="32"/>
        </w:rPr>
        <w:t>严守生态保护红线、筑牢严守环境质量底线、严控资源利用上</w:t>
      </w:r>
      <w:r>
        <w:rPr>
          <w:spacing w:val="11"/>
          <w:w w:val="99"/>
          <w:sz w:val="32"/>
          <w:szCs w:val="32"/>
        </w:rPr>
        <w:t>线，细化和落实“三线一单”管控要求，实施差别化的区域开</w:t>
      </w:r>
      <w:r>
        <w:rPr>
          <w:spacing w:val="-2"/>
          <w:w w:val="99"/>
          <w:sz w:val="32"/>
          <w:szCs w:val="32"/>
        </w:rPr>
        <w:t>发管理政策，构建科学合理的生产空间、生活空间和生态空间，</w:t>
      </w:r>
      <w:r>
        <w:rPr>
          <w:spacing w:val="10"/>
          <w:w w:val="99"/>
          <w:sz w:val="32"/>
          <w:szCs w:val="32"/>
        </w:rPr>
        <w:t>守好改善生态环境生命线。落实黄河流域生态保护和高质量发</w:t>
      </w:r>
      <w:r>
        <w:rPr>
          <w:spacing w:val="9"/>
          <w:w w:val="99"/>
          <w:sz w:val="32"/>
          <w:szCs w:val="32"/>
        </w:rPr>
        <w:t>展战略，配合实施好宁夏黄河流域生态保护和高质量发展“十</w:t>
      </w:r>
      <w:r>
        <w:rPr>
          <w:spacing w:val="-2"/>
          <w:w w:val="99"/>
          <w:sz w:val="32"/>
          <w:szCs w:val="32"/>
        </w:rPr>
        <w:t>大生态工程”，打好新时代黄河保卫战。</w:t>
      </w:r>
    </w:p>
    <w:p w14:paraId="4DF513D8">
      <w:pPr>
        <w:spacing w:line="338" w:lineRule="auto"/>
        <w:sectPr>
          <w:pgSz w:w="11910" w:h="16840"/>
          <w:pgMar w:top="1920" w:right="1200" w:bottom="1160" w:left="1260" w:header="0" w:footer="975" w:gutter="0"/>
          <w:cols w:space="720" w:num="1"/>
        </w:sectPr>
      </w:pPr>
    </w:p>
    <w:p w14:paraId="2257149B">
      <w:pPr>
        <w:spacing w:before="31"/>
        <w:ind w:left="2353" w:right="2422"/>
        <w:jc w:val="center"/>
        <w:outlineLvl w:val="2"/>
        <w:rPr>
          <w:rFonts w:ascii="宋体" w:hAnsi="宋体" w:eastAsia="宋体" w:cs="宋体"/>
          <w:b/>
          <w:bCs/>
          <w:sz w:val="32"/>
          <w:szCs w:val="32"/>
        </w:rPr>
      </w:pPr>
      <w:r>
        <w:rPr>
          <w:rFonts w:ascii="宋体" w:hAnsi="宋体" w:eastAsia="宋体" w:cs="宋体"/>
          <w:b/>
          <w:bCs/>
          <w:spacing w:val="14"/>
          <w:sz w:val="32"/>
          <w:szCs w:val="32"/>
        </w:rPr>
        <w:t>第二</w:t>
      </w:r>
      <w:r>
        <w:rPr>
          <w:rFonts w:ascii="宋体" w:hAnsi="宋体" w:eastAsia="宋体" w:cs="宋体"/>
          <w:b/>
          <w:bCs/>
          <w:spacing w:val="56"/>
          <w:sz w:val="32"/>
          <w:szCs w:val="32"/>
        </w:rPr>
        <w:t>节 加</w:t>
      </w:r>
      <w:r>
        <w:rPr>
          <w:rFonts w:ascii="宋体" w:hAnsi="宋体" w:eastAsia="宋体" w:cs="宋体"/>
          <w:b/>
          <w:bCs/>
          <w:spacing w:val="14"/>
          <w:sz w:val="32"/>
          <w:szCs w:val="32"/>
        </w:rPr>
        <w:t>快形</w:t>
      </w:r>
      <w:r>
        <w:rPr>
          <w:rFonts w:ascii="宋体" w:hAnsi="宋体" w:eastAsia="宋体" w:cs="宋体"/>
          <w:b/>
          <w:bCs/>
          <w:spacing w:val="12"/>
          <w:sz w:val="32"/>
          <w:szCs w:val="32"/>
        </w:rPr>
        <w:t>成</w:t>
      </w:r>
      <w:r>
        <w:rPr>
          <w:rFonts w:ascii="宋体" w:hAnsi="宋体" w:eastAsia="宋体" w:cs="宋体"/>
          <w:b/>
          <w:bCs/>
          <w:spacing w:val="14"/>
          <w:sz w:val="32"/>
          <w:szCs w:val="32"/>
        </w:rPr>
        <w:t>整体生态系</w:t>
      </w:r>
      <w:r>
        <w:rPr>
          <w:rFonts w:ascii="宋体" w:hAnsi="宋体" w:eastAsia="宋体" w:cs="宋体"/>
          <w:b/>
          <w:bCs/>
          <w:spacing w:val="-10"/>
          <w:sz w:val="32"/>
          <w:szCs w:val="32"/>
        </w:rPr>
        <w:t>统</w:t>
      </w:r>
    </w:p>
    <w:p w14:paraId="01BE33D0">
      <w:pPr>
        <w:spacing w:before="1"/>
        <w:rPr>
          <w:rFonts w:ascii="宋体"/>
          <w:b/>
          <w:sz w:val="25"/>
          <w:szCs w:val="32"/>
        </w:rPr>
      </w:pPr>
    </w:p>
    <w:p w14:paraId="78D65A32">
      <w:pPr>
        <w:spacing w:line="340" w:lineRule="auto"/>
        <w:ind w:left="213" w:right="283" w:firstLine="664"/>
        <w:jc w:val="both"/>
        <w:rPr>
          <w:sz w:val="32"/>
          <w:szCs w:val="32"/>
        </w:rPr>
      </w:pPr>
      <w:r>
        <w:rPr>
          <w:spacing w:val="8"/>
          <w:w w:val="99"/>
          <w:sz w:val="32"/>
          <w:szCs w:val="32"/>
        </w:rPr>
        <w:t>突出湿地、农田、城市生态系统，加强全方位修复、全域</w:t>
      </w:r>
      <w:r>
        <w:rPr>
          <w:spacing w:val="9"/>
          <w:w w:val="99"/>
          <w:sz w:val="32"/>
          <w:szCs w:val="32"/>
        </w:rPr>
        <w:t>化保护、全过程治理，加快形成绿量适宜、布局均衡、网络完</w:t>
      </w:r>
      <w:r>
        <w:rPr>
          <w:spacing w:val="11"/>
          <w:w w:val="99"/>
          <w:sz w:val="32"/>
          <w:szCs w:val="32"/>
        </w:rPr>
        <w:t>备、结构合理、功能完善、稳定高效的整体生态系统。</w:t>
      </w:r>
    </w:p>
    <w:p w14:paraId="524F33BD">
      <w:pPr>
        <w:spacing w:line="338" w:lineRule="auto"/>
        <w:ind w:left="213" w:right="283" w:firstLine="664"/>
        <w:jc w:val="both"/>
        <w:rPr>
          <w:sz w:val="32"/>
          <w:szCs w:val="32"/>
        </w:rPr>
      </w:pPr>
      <w:r>
        <w:rPr>
          <w:b/>
          <w:spacing w:val="11"/>
          <w:w w:val="99"/>
          <w:sz w:val="32"/>
          <w:szCs w:val="32"/>
        </w:rPr>
        <w:t>推进湿地生态系统建设。</w:t>
      </w:r>
      <w:r>
        <w:rPr>
          <w:spacing w:val="11"/>
          <w:w w:val="99"/>
          <w:sz w:val="32"/>
          <w:szCs w:val="32"/>
        </w:rPr>
        <w:t>加强金凤区黄河流域生态保护修</w:t>
      </w:r>
      <w:r>
        <w:rPr>
          <w:spacing w:val="9"/>
          <w:w w:val="99"/>
          <w:sz w:val="32"/>
          <w:szCs w:val="32"/>
        </w:rPr>
        <w:t>复，推进河滩地生态修复，争创“塞上湖城”的“代言人”。</w:t>
      </w:r>
      <w:r>
        <w:rPr>
          <w:spacing w:val="10"/>
          <w:w w:val="99"/>
          <w:sz w:val="32"/>
          <w:szCs w:val="32"/>
        </w:rPr>
        <w:t>构建以阅海湖、七子连湖和典农河水系为生态保障的生态安全空间格局，加强湿地修复与保护，涵养湿地生态功能，实施典</w:t>
      </w:r>
      <w:r>
        <w:rPr>
          <w:spacing w:val="9"/>
          <w:w w:val="99"/>
          <w:sz w:val="32"/>
          <w:szCs w:val="32"/>
        </w:rPr>
        <w:t>农河、元宝湖等河湖生态修复与综合治理工程，启动农村水系综合整治试点工程，增强河湖生态调节能力，促进河湖生态系统建设。</w:t>
      </w:r>
    </w:p>
    <w:p w14:paraId="4380C914">
      <w:pPr>
        <w:spacing w:before="8" w:line="338" w:lineRule="auto"/>
        <w:ind w:left="213" w:right="281" w:firstLine="664"/>
        <w:jc w:val="both"/>
        <w:rPr>
          <w:sz w:val="32"/>
          <w:szCs w:val="32"/>
        </w:rPr>
      </w:pPr>
      <w:r>
        <w:rPr>
          <w:b/>
          <w:spacing w:val="12"/>
          <w:w w:val="99"/>
          <w:sz w:val="32"/>
          <w:szCs w:val="32"/>
        </w:rPr>
        <w:t>推进农田生态系统建设。</w:t>
      </w:r>
      <w:r>
        <w:rPr>
          <w:spacing w:val="9"/>
          <w:w w:val="99"/>
          <w:sz w:val="32"/>
          <w:szCs w:val="32"/>
        </w:rPr>
        <w:t>坚持在保护中利用、在利用中保护，确保农田生态系统稳定健康。加强农田生态系统建设，加</w:t>
      </w:r>
      <w:r>
        <w:rPr>
          <w:spacing w:val="10"/>
          <w:w w:val="99"/>
          <w:sz w:val="32"/>
          <w:szCs w:val="32"/>
        </w:rPr>
        <w:t>大农田建设力度，稳定基本农田，改造中低产田，建设高标准</w:t>
      </w:r>
      <w:r>
        <w:rPr>
          <w:spacing w:val="11"/>
          <w:w w:val="99"/>
          <w:sz w:val="32"/>
          <w:szCs w:val="32"/>
        </w:rPr>
        <w:t>田，发展高效节水灌溉，不断提高农田质量和水平。</w:t>
      </w:r>
    </w:p>
    <w:p w14:paraId="3EAEE1ED">
      <w:pPr>
        <w:spacing w:before="8" w:line="338" w:lineRule="auto"/>
        <w:ind w:left="213" w:right="117" w:firstLine="664"/>
        <w:rPr>
          <w:sz w:val="32"/>
          <w:szCs w:val="32"/>
        </w:rPr>
      </w:pPr>
      <w:r>
        <w:rPr>
          <w:b/>
          <w:spacing w:val="12"/>
          <w:sz w:val="32"/>
          <w:szCs w:val="32"/>
        </w:rPr>
        <w:t>推进城市生态系统建设</w:t>
      </w:r>
      <w:r>
        <w:rPr>
          <w:b/>
          <w:sz w:val="32"/>
          <w:szCs w:val="32"/>
        </w:rPr>
        <w:t>。</w:t>
      </w:r>
      <w:r>
        <w:rPr>
          <w:spacing w:val="12"/>
          <w:sz w:val="32"/>
          <w:szCs w:val="32"/>
        </w:rPr>
        <w:t>积极衔接上位</w:t>
      </w:r>
      <w:r>
        <w:rPr>
          <w:spacing w:val="7"/>
          <w:sz w:val="32"/>
          <w:szCs w:val="32"/>
        </w:rPr>
        <w:t>规划，</w:t>
      </w:r>
      <w:r>
        <w:rPr>
          <w:spacing w:val="12"/>
          <w:sz w:val="32"/>
          <w:szCs w:val="32"/>
        </w:rPr>
        <w:t>合理规</w:t>
      </w:r>
      <w:r>
        <w:rPr>
          <w:spacing w:val="6"/>
          <w:sz w:val="32"/>
          <w:szCs w:val="32"/>
        </w:rPr>
        <w:t>划城</w:t>
      </w:r>
      <w:r>
        <w:rPr>
          <w:spacing w:val="12"/>
          <w:sz w:val="32"/>
          <w:szCs w:val="32"/>
        </w:rPr>
        <w:t>市建设规</w:t>
      </w:r>
      <w:r>
        <w:rPr>
          <w:spacing w:val="8"/>
          <w:sz w:val="32"/>
          <w:szCs w:val="32"/>
        </w:rPr>
        <w:t>模、经济</w:t>
      </w:r>
      <w:r>
        <w:rPr>
          <w:spacing w:val="12"/>
          <w:sz w:val="32"/>
          <w:szCs w:val="32"/>
        </w:rPr>
        <w:t>开发空间、生态环境容量，畅通风道</w:t>
      </w:r>
      <w:r>
        <w:rPr>
          <w:spacing w:val="4"/>
          <w:sz w:val="32"/>
          <w:szCs w:val="32"/>
        </w:rPr>
        <w:t>、完善</w:t>
      </w:r>
      <w:r>
        <w:rPr>
          <w:spacing w:val="7"/>
          <w:w w:val="95"/>
          <w:sz w:val="32"/>
          <w:szCs w:val="32"/>
        </w:rPr>
        <w:t>水系、增加绿地，实现</w:t>
      </w:r>
      <w:r>
        <w:rPr>
          <w:spacing w:val="12"/>
          <w:w w:val="95"/>
          <w:sz w:val="32"/>
          <w:szCs w:val="32"/>
        </w:rPr>
        <w:t>生产空间集约高</w:t>
      </w:r>
      <w:r>
        <w:rPr>
          <w:spacing w:val="9"/>
          <w:w w:val="95"/>
          <w:sz w:val="32"/>
          <w:szCs w:val="32"/>
        </w:rPr>
        <w:t>效、生活</w:t>
      </w:r>
      <w:r>
        <w:rPr>
          <w:spacing w:val="12"/>
          <w:w w:val="95"/>
          <w:sz w:val="32"/>
          <w:szCs w:val="32"/>
        </w:rPr>
        <w:t>空间</w:t>
      </w:r>
      <w:r>
        <w:rPr>
          <w:spacing w:val="9"/>
          <w:w w:val="95"/>
          <w:sz w:val="32"/>
          <w:szCs w:val="32"/>
        </w:rPr>
        <w:t>宜居适度、</w:t>
      </w:r>
      <w:r>
        <w:rPr>
          <w:spacing w:val="10"/>
          <w:sz w:val="32"/>
          <w:szCs w:val="32"/>
        </w:rPr>
        <w:t>生态空间山清水</w:t>
      </w:r>
      <w:r>
        <w:rPr>
          <w:spacing w:val="5"/>
          <w:sz w:val="32"/>
          <w:szCs w:val="32"/>
        </w:rPr>
        <w:t>秀。</w:t>
      </w:r>
    </w:p>
    <w:p w14:paraId="561E1CE2">
      <w:pPr>
        <w:spacing w:before="148"/>
        <w:ind w:left="2353" w:right="2422"/>
        <w:jc w:val="center"/>
        <w:outlineLvl w:val="2"/>
        <w:rPr>
          <w:rFonts w:ascii="宋体" w:hAnsi="宋体" w:eastAsia="宋体" w:cs="宋体"/>
          <w:b/>
          <w:bCs/>
          <w:sz w:val="32"/>
          <w:szCs w:val="32"/>
        </w:rPr>
      </w:pPr>
      <w:r>
        <w:rPr>
          <w:rFonts w:ascii="宋体" w:hAnsi="宋体" w:eastAsia="宋体" w:cs="宋体"/>
          <w:b/>
          <w:bCs/>
          <w:spacing w:val="14"/>
          <w:sz w:val="32"/>
          <w:szCs w:val="32"/>
        </w:rPr>
        <w:t>第三</w:t>
      </w:r>
      <w:r>
        <w:rPr>
          <w:rFonts w:ascii="宋体" w:hAnsi="宋体" w:eastAsia="宋体" w:cs="宋体"/>
          <w:b/>
          <w:bCs/>
          <w:spacing w:val="56"/>
          <w:sz w:val="32"/>
          <w:szCs w:val="32"/>
        </w:rPr>
        <w:t>节 构</w:t>
      </w:r>
      <w:r>
        <w:rPr>
          <w:rFonts w:ascii="宋体" w:hAnsi="宋体" w:eastAsia="宋体" w:cs="宋体"/>
          <w:b/>
          <w:bCs/>
          <w:spacing w:val="14"/>
          <w:sz w:val="32"/>
          <w:szCs w:val="32"/>
        </w:rPr>
        <w:t>建美</w:t>
      </w:r>
      <w:r>
        <w:rPr>
          <w:rFonts w:ascii="宋体" w:hAnsi="宋体" w:eastAsia="宋体" w:cs="宋体"/>
          <w:b/>
          <w:bCs/>
          <w:spacing w:val="12"/>
          <w:sz w:val="32"/>
          <w:szCs w:val="32"/>
        </w:rPr>
        <w:t>丽</w:t>
      </w:r>
      <w:r>
        <w:rPr>
          <w:rFonts w:ascii="宋体" w:hAnsi="宋体" w:eastAsia="宋体" w:cs="宋体"/>
          <w:b/>
          <w:bCs/>
          <w:spacing w:val="14"/>
          <w:sz w:val="32"/>
          <w:szCs w:val="32"/>
        </w:rPr>
        <w:t>宜居公园城</w:t>
      </w:r>
      <w:r>
        <w:rPr>
          <w:rFonts w:ascii="宋体" w:hAnsi="宋体" w:eastAsia="宋体" w:cs="宋体"/>
          <w:b/>
          <w:bCs/>
          <w:spacing w:val="-10"/>
          <w:sz w:val="32"/>
          <w:szCs w:val="32"/>
        </w:rPr>
        <w:t>区</w:t>
      </w:r>
    </w:p>
    <w:p w14:paraId="5C46F77F">
      <w:pPr>
        <w:spacing w:before="1"/>
        <w:rPr>
          <w:rFonts w:ascii="宋体"/>
          <w:b/>
          <w:sz w:val="25"/>
          <w:szCs w:val="32"/>
        </w:rPr>
      </w:pPr>
    </w:p>
    <w:p w14:paraId="2991A478">
      <w:pPr>
        <w:spacing w:before="1" w:line="338" w:lineRule="auto"/>
        <w:ind w:left="213" w:right="283" w:firstLine="664"/>
        <w:rPr>
          <w:sz w:val="32"/>
          <w:szCs w:val="32"/>
        </w:rPr>
      </w:pPr>
      <w:r>
        <w:rPr>
          <w:spacing w:val="9"/>
          <w:w w:val="99"/>
          <w:sz w:val="32"/>
          <w:szCs w:val="32"/>
        </w:rPr>
        <w:t>加快推动生态园林化，优化绿色公共服务供给，扩大城区公共绿地空间，筑牢和保护好生态本底，促进生态资源与城区</w:t>
      </w:r>
    </w:p>
    <w:p w14:paraId="07DB6864">
      <w:pPr>
        <w:spacing w:line="338" w:lineRule="auto"/>
        <w:sectPr>
          <w:pgSz w:w="11910" w:h="16840"/>
          <w:pgMar w:top="1780" w:right="1200" w:bottom="1160" w:left="1260" w:header="0" w:footer="975" w:gutter="0"/>
          <w:cols w:space="720" w:num="1"/>
        </w:sectPr>
      </w:pPr>
    </w:p>
    <w:p w14:paraId="0E14BC3C">
      <w:pPr>
        <w:spacing w:before="28" w:line="340" w:lineRule="auto"/>
        <w:ind w:left="213" w:right="285"/>
        <w:rPr>
          <w:sz w:val="32"/>
          <w:szCs w:val="32"/>
        </w:rPr>
      </w:pPr>
      <w:r>
        <w:rPr>
          <w:spacing w:val="9"/>
          <w:w w:val="99"/>
          <w:sz w:val="32"/>
          <w:szCs w:val="32"/>
        </w:rPr>
        <w:t>建设充分融合和协调发展，全面彰显宜人城区的生态品质，全</w:t>
      </w:r>
      <w:r>
        <w:rPr>
          <w:spacing w:val="12"/>
          <w:w w:val="99"/>
          <w:sz w:val="32"/>
          <w:szCs w:val="32"/>
        </w:rPr>
        <w:t>面打造“</w:t>
      </w:r>
      <w:r>
        <w:rPr>
          <w:rFonts w:ascii="Times New Roman" w:hAnsi="Times New Roman" w:eastAsia="Times New Roman"/>
          <w:spacing w:val="3"/>
          <w:w w:val="99"/>
          <w:sz w:val="32"/>
          <w:szCs w:val="32"/>
        </w:rPr>
        <w:t>1</w:t>
      </w:r>
      <w:r>
        <w:rPr>
          <w:rFonts w:ascii="Times New Roman" w:hAnsi="Times New Roman" w:eastAsia="Times New Roman"/>
          <w:w w:val="99"/>
          <w:sz w:val="32"/>
          <w:szCs w:val="32"/>
        </w:rPr>
        <w:t>5</w:t>
      </w:r>
      <w:r>
        <w:rPr>
          <w:rFonts w:ascii="Times New Roman" w:hAnsi="Times New Roman" w:eastAsia="Times New Roman"/>
          <w:spacing w:val="12"/>
          <w:sz w:val="32"/>
          <w:szCs w:val="32"/>
        </w:rPr>
        <w:t xml:space="preserve"> </w:t>
      </w:r>
      <w:r>
        <w:rPr>
          <w:spacing w:val="-14"/>
          <w:w w:val="99"/>
          <w:sz w:val="32"/>
          <w:szCs w:val="32"/>
        </w:rPr>
        <w:t>分钟生态圈”。</w:t>
      </w:r>
    </w:p>
    <w:p w14:paraId="4C85F0C2">
      <w:pPr>
        <w:spacing w:line="340" w:lineRule="auto"/>
        <w:ind w:left="213" w:right="115" w:firstLine="664"/>
        <w:rPr>
          <w:sz w:val="32"/>
          <w:szCs w:val="32"/>
        </w:rPr>
      </w:pPr>
      <w:r>
        <w:rPr>
          <w:b/>
          <w:spacing w:val="2"/>
          <w:w w:val="99"/>
          <w:sz w:val="32"/>
          <w:szCs w:val="32"/>
        </w:rPr>
        <w:t>保护城区生态本底。</w:t>
      </w:r>
      <w:r>
        <w:rPr>
          <w:spacing w:val="2"/>
          <w:w w:val="99"/>
          <w:sz w:val="32"/>
          <w:szCs w:val="32"/>
        </w:rPr>
        <w:t>严守资源环境生态红线，在经济发展、</w:t>
      </w:r>
      <w:r>
        <w:rPr>
          <w:spacing w:val="10"/>
          <w:w w:val="99"/>
          <w:sz w:val="32"/>
          <w:szCs w:val="32"/>
        </w:rPr>
        <w:t>城市规划、项目引进时均根据土壤、水等资源要素进行环境承</w:t>
      </w:r>
      <w:r>
        <w:rPr>
          <w:spacing w:val="9"/>
          <w:w w:val="99"/>
          <w:sz w:val="32"/>
          <w:szCs w:val="32"/>
        </w:rPr>
        <w:t>载能力和适应性分析，明确资源承载力和生态容量。大力发展</w:t>
      </w:r>
      <w:r>
        <w:rPr>
          <w:spacing w:val="11"/>
          <w:w w:val="99"/>
          <w:sz w:val="32"/>
          <w:szCs w:val="32"/>
        </w:rPr>
        <w:t>邮票绿地、游园绿地、公园广场、健康绿道等公共绿色景观，</w:t>
      </w:r>
      <w:r>
        <w:rPr>
          <w:w w:val="99"/>
          <w:sz w:val="32"/>
          <w:szCs w:val="32"/>
        </w:rPr>
        <w:t>形成调节城市小环境的“生态斑块”。</w:t>
      </w:r>
    </w:p>
    <w:p w14:paraId="49722DB3">
      <w:pPr>
        <w:spacing w:line="338" w:lineRule="auto"/>
        <w:ind w:left="213" w:right="283" w:firstLine="664"/>
        <w:jc w:val="both"/>
        <w:rPr>
          <w:sz w:val="32"/>
          <w:szCs w:val="32"/>
        </w:rPr>
      </w:pPr>
      <w:r>
        <w:rPr>
          <w:b/>
          <w:spacing w:val="12"/>
          <w:w w:val="99"/>
          <w:sz w:val="32"/>
          <w:szCs w:val="32"/>
        </w:rPr>
        <w:t>完善城区生态布局。</w:t>
      </w:r>
      <w:r>
        <w:rPr>
          <w:spacing w:val="9"/>
          <w:w w:val="99"/>
          <w:sz w:val="32"/>
          <w:szCs w:val="32"/>
        </w:rPr>
        <w:t>以“一海一湖三个生态廊道”建设为</w:t>
      </w:r>
      <w:r>
        <w:rPr>
          <w:spacing w:val="10"/>
          <w:w w:val="99"/>
          <w:sz w:val="32"/>
          <w:szCs w:val="32"/>
        </w:rPr>
        <w:t>主要抓手，配合好自治区北部绿色发展区防护林建设，推进南</w:t>
      </w:r>
      <w:r>
        <w:rPr>
          <w:spacing w:val="8"/>
          <w:w w:val="99"/>
          <w:sz w:val="32"/>
          <w:szCs w:val="32"/>
        </w:rPr>
        <w:t>郊植物园、北郊湿地、七子连湖、正源南街湿地、阅海北部湿</w:t>
      </w:r>
      <w:r>
        <w:rPr>
          <w:spacing w:val="9"/>
          <w:w w:val="99"/>
          <w:sz w:val="32"/>
          <w:szCs w:val="32"/>
        </w:rPr>
        <w:t>地等公园建设，将公共服务与公园体系有机融合，构筑城市生</w:t>
      </w:r>
      <w:r>
        <w:rPr>
          <w:spacing w:val="10"/>
          <w:w w:val="99"/>
          <w:sz w:val="32"/>
          <w:szCs w:val="32"/>
        </w:rPr>
        <w:t>态绿肺。优化现状水网及绿脉，统筹城区发展空间结构，梳理</w:t>
      </w:r>
      <w:r>
        <w:rPr>
          <w:spacing w:val="9"/>
          <w:w w:val="99"/>
          <w:sz w:val="32"/>
          <w:szCs w:val="32"/>
        </w:rPr>
        <w:t>重要廊道开放空间，整体打造通透的城区生态景观体系。在现状水系肌理的基础上，整理滨水岸线绿化，以连贯的景观廊道连通区域内各开敞绿地空间。部分地区多点打造通水廊道、通</w:t>
      </w:r>
      <w:r>
        <w:rPr>
          <w:spacing w:val="11"/>
          <w:w w:val="99"/>
          <w:sz w:val="32"/>
          <w:szCs w:val="32"/>
        </w:rPr>
        <w:t>林绿化，以绿化渗入的形式与周边生态要素融为一体。</w:t>
      </w:r>
    </w:p>
    <w:p w14:paraId="3C500318">
      <w:pPr>
        <w:spacing w:before="2" w:line="338" w:lineRule="auto"/>
        <w:ind w:left="213" w:right="117" w:firstLine="664"/>
        <w:rPr>
          <w:sz w:val="32"/>
          <w:szCs w:val="32"/>
        </w:rPr>
      </w:pPr>
      <w:r>
        <w:rPr>
          <w:b/>
          <w:spacing w:val="12"/>
          <w:sz w:val="32"/>
          <w:szCs w:val="32"/>
        </w:rPr>
        <w:t>美化绿色生态空间。</w:t>
      </w:r>
      <w:r>
        <w:rPr>
          <w:spacing w:val="6"/>
          <w:sz w:val="32"/>
          <w:szCs w:val="32"/>
        </w:rPr>
        <w:t>以“</w:t>
      </w:r>
      <w:r>
        <w:rPr>
          <w:spacing w:val="12"/>
          <w:sz w:val="32"/>
          <w:szCs w:val="32"/>
        </w:rPr>
        <w:t>景</w:t>
      </w:r>
      <w:r>
        <w:rPr>
          <w:spacing w:val="8"/>
          <w:sz w:val="32"/>
          <w:szCs w:val="32"/>
        </w:rPr>
        <w:t>观化、景区</w:t>
      </w:r>
      <w:r>
        <w:rPr>
          <w:spacing w:val="12"/>
          <w:sz w:val="32"/>
          <w:szCs w:val="32"/>
        </w:rPr>
        <w:t>化、可</w:t>
      </w:r>
      <w:r>
        <w:rPr>
          <w:spacing w:val="7"/>
          <w:sz w:val="32"/>
          <w:szCs w:val="32"/>
        </w:rPr>
        <w:t>进入、可参</w:t>
      </w:r>
      <w:r>
        <w:rPr>
          <w:spacing w:val="19"/>
          <w:sz w:val="32"/>
          <w:szCs w:val="32"/>
        </w:rPr>
        <w:t>与”理念加快增</w:t>
      </w:r>
      <w:r>
        <w:rPr>
          <w:spacing w:val="17"/>
          <w:sz w:val="32"/>
          <w:szCs w:val="32"/>
        </w:rPr>
        <w:t>加</w:t>
      </w:r>
      <w:r>
        <w:rPr>
          <w:spacing w:val="19"/>
          <w:sz w:val="32"/>
          <w:szCs w:val="32"/>
        </w:rPr>
        <w:t>公园绿地数量，实</w:t>
      </w:r>
      <w:r>
        <w:rPr>
          <w:spacing w:val="8"/>
          <w:sz w:val="32"/>
          <w:szCs w:val="32"/>
        </w:rPr>
        <w:t>现“</w:t>
      </w:r>
      <w:r>
        <w:rPr>
          <w:rFonts w:ascii="Calibri" w:hAnsi="Calibri" w:eastAsia="Calibri"/>
          <w:sz w:val="32"/>
          <w:szCs w:val="32"/>
        </w:rPr>
        <w:t xml:space="preserve">300 </w:t>
      </w:r>
      <w:r>
        <w:rPr>
          <w:spacing w:val="19"/>
          <w:sz w:val="32"/>
          <w:szCs w:val="32"/>
        </w:rPr>
        <w:t>米见绿</w:t>
      </w:r>
      <w:r>
        <w:rPr>
          <w:sz w:val="32"/>
          <w:szCs w:val="32"/>
        </w:rPr>
        <w:t>，</w:t>
      </w:r>
      <w:r>
        <w:rPr>
          <w:rFonts w:ascii="Calibri" w:hAnsi="Calibri" w:eastAsia="Calibri"/>
          <w:sz w:val="32"/>
          <w:szCs w:val="32"/>
        </w:rPr>
        <w:t xml:space="preserve">500 </w:t>
      </w:r>
      <w:r>
        <w:rPr>
          <w:sz w:val="32"/>
          <w:szCs w:val="32"/>
        </w:rPr>
        <w:t>米</w:t>
      </w:r>
      <w:r>
        <w:rPr>
          <w:spacing w:val="17"/>
          <w:sz w:val="32"/>
          <w:szCs w:val="32"/>
        </w:rPr>
        <w:t>见园</w:t>
      </w:r>
      <w:r>
        <w:rPr>
          <w:spacing w:val="-65"/>
          <w:sz w:val="32"/>
          <w:szCs w:val="32"/>
        </w:rPr>
        <w:t>”，</w:t>
      </w:r>
      <w:r>
        <w:rPr>
          <w:spacing w:val="17"/>
          <w:sz w:val="32"/>
          <w:szCs w:val="32"/>
        </w:rPr>
        <w:t>形成布局均衡、级配合理、功能完善、特色鲜明的</w:t>
      </w:r>
      <w:r>
        <w:rPr>
          <w:sz w:val="32"/>
          <w:szCs w:val="32"/>
        </w:rPr>
        <w:t>公</w:t>
      </w:r>
      <w:r>
        <w:rPr>
          <w:spacing w:val="17"/>
          <w:sz w:val="32"/>
          <w:szCs w:val="32"/>
        </w:rPr>
        <w:t>园绿地体系。推动“建链增</w:t>
      </w:r>
      <w:r>
        <w:rPr>
          <w:spacing w:val="-37"/>
          <w:sz w:val="32"/>
          <w:szCs w:val="32"/>
        </w:rPr>
        <w:t>绿”，</w:t>
      </w:r>
      <w:r>
        <w:rPr>
          <w:spacing w:val="17"/>
          <w:sz w:val="32"/>
          <w:szCs w:val="32"/>
        </w:rPr>
        <w:t>把绿道作为生态绿网的核</w:t>
      </w:r>
      <w:r>
        <w:rPr>
          <w:sz w:val="32"/>
          <w:szCs w:val="32"/>
        </w:rPr>
        <w:t>心</w:t>
      </w:r>
      <w:r>
        <w:rPr>
          <w:spacing w:val="12"/>
          <w:w w:val="95"/>
          <w:sz w:val="32"/>
          <w:szCs w:val="32"/>
        </w:rPr>
        <w:t>骨架和公园城区建设的重要</w:t>
      </w:r>
      <w:r>
        <w:rPr>
          <w:spacing w:val="8"/>
          <w:w w:val="95"/>
          <w:sz w:val="32"/>
          <w:szCs w:val="32"/>
        </w:rPr>
        <w:t>支撑，串联</w:t>
      </w:r>
      <w:r>
        <w:rPr>
          <w:spacing w:val="12"/>
          <w:w w:val="95"/>
          <w:sz w:val="32"/>
          <w:szCs w:val="32"/>
        </w:rPr>
        <w:t>生态</w:t>
      </w:r>
      <w:r>
        <w:rPr>
          <w:spacing w:val="6"/>
          <w:w w:val="95"/>
          <w:sz w:val="32"/>
          <w:szCs w:val="32"/>
        </w:rPr>
        <w:t>区、公园、小游园、</w:t>
      </w:r>
      <w:r>
        <w:rPr>
          <w:spacing w:val="12"/>
          <w:sz w:val="32"/>
          <w:szCs w:val="32"/>
        </w:rPr>
        <w:t>微绿地，着力构建全域覆盖、通道连续、功能丰富的三级</w:t>
      </w:r>
      <w:r>
        <w:rPr>
          <w:spacing w:val="6"/>
          <w:sz w:val="32"/>
          <w:szCs w:val="32"/>
        </w:rPr>
        <w:t>绿道</w:t>
      </w:r>
      <w:r>
        <w:rPr>
          <w:spacing w:val="12"/>
          <w:sz w:val="32"/>
          <w:szCs w:val="32"/>
        </w:rPr>
        <w:t>体系。促进“留白增绿</w:t>
      </w:r>
      <w:r>
        <w:rPr>
          <w:spacing w:val="-43"/>
          <w:sz w:val="32"/>
          <w:szCs w:val="32"/>
        </w:rPr>
        <w:t>”，积</w:t>
      </w:r>
      <w:r>
        <w:rPr>
          <w:spacing w:val="12"/>
          <w:sz w:val="32"/>
          <w:szCs w:val="32"/>
        </w:rPr>
        <w:t>极实施“全域增绿</w:t>
      </w:r>
      <w:r>
        <w:rPr>
          <w:spacing w:val="-71"/>
          <w:sz w:val="32"/>
          <w:szCs w:val="32"/>
        </w:rPr>
        <w:t>”“</w:t>
      </w:r>
      <w:r>
        <w:rPr>
          <w:spacing w:val="12"/>
          <w:sz w:val="32"/>
          <w:szCs w:val="32"/>
        </w:rPr>
        <w:t>增</w:t>
      </w:r>
      <w:r>
        <w:rPr>
          <w:spacing w:val="9"/>
          <w:sz w:val="32"/>
          <w:szCs w:val="32"/>
        </w:rPr>
        <w:t>花添彩”</w:t>
      </w:r>
    </w:p>
    <w:p w14:paraId="08CBD9D2">
      <w:pPr>
        <w:spacing w:line="338" w:lineRule="auto"/>
        <w:sectPr>
          <w:pgSz w:w="11910" w:h="16840"/>
          <w:pgMar w:top="1800" w:right="1200" w:bottom="1160" w:left="1260" w:header="0" w:footer="975" w:gutter="0"/>
          <w:cols w:space="720" w:num="1"/>
        </w:sectPr>
      </w:pPr>
    </w:p>
    <w:p w14:paraId="0B72C03A">
      <w:pPr>
        <w:spacing w:before="28" w:line="338" w:lineRule="auto"/>
        <w:ind w:left="213" w:right="278"/>
        <w:jc w:val="both"/>
        <w:rPr>
          <w:sz w:val="32"/>
          <w:szCs w:val="32"/>
        </w:rPr>
      </w:pPr>
      <w:r>
        <w:rPr>
          <w:spacing w:val="9"/>
          <w:w w:val="99"/>
          <w:sz w:val="32"/>
          <w:szCs w:val="32"/>
        </w:rPr>
        <w:t xml:space="preserve">工程，大力推进拆墙透绿、拆违增绿，优化提升公园绿化、滨水绿化、道路绿化、小区绿化，增加优质树种种植范围，做精 </w:t>
      </w:r>
      <w:r>
        <w:rPr>
          <w:spacing w:val="-7"/>
          <w:w w:val="99"/>
          <w:sz w:val="32"/>
          <w:szCs w:val="32"/>
        </w:rPr>
        <w:t>“生态小品”，做优“主题绿园”。积极营造形态优美、富有层</w:t>
      </w:r>
      <w:r>
        <w:rPr>
          <w:spacing w:val="9"/>
          <w:w w:val="99"/>
          <w:sz w:val="32"/>
          <w:szCs w:val="32"/>
        </w:rPr>
        <w:t>次、搭配合理的城市园林绿化业态。实施“立体增绿”，实施</w:t>
      </w:r>
      <w:r>
        <w:rPr>
          <w:spacing w:val="11"/>
          <w:w w:val="99"/>
          <w:sz w:val="32"/>
          <w:szCs w:val="32"/>
        </w:rPr>
        <w:t>景观打造工程，推进以墙体、屋面、阳台、桥体、公交站点、</w:t>
      </w:r>
      <w:r>
        <w:rPr>
          <w:spacing w:val="10"/>
          <w:w w:val="99"/>
          <w:sz w:val="32"/>
          <w:szCs w:val="32"/>
        </w:rPr>
        <w:t>停车场为重点的立体绿化和垂直绿化，积极运用智能绿化、虚</w:t>
      </w:r>
      <w:r>
        <w:rPr>
          <w:spacing w:val="9"/>
          <w:w w:val="99"/>
          <w:sz w:val="32"/>
          <w:szCs w:val="32"/>
        </w:rPr>
        <w:t>拟绿化等新技术提高城区绿化水平，着力彰显“城在绿中、园</w:t>
      </w:r>
      <w:r>
        <w:rPr>
          <w:spacing w:val="11"/>
          <w:w w:val="99"/>
          <w:sz w:val="32"/>
          <w:szCs w:val="32"/>
        </w:rPr>
        <w:t>在城中、城绿相融”的大美意境。</w:t>
      </w:r>
    </w:p>
    <w:p w14:paraId="4C45316F">
      <w:pPr>
        <w:spacing w:before="155"/>
        <w:ind w:left="2353" w:right="2422"/>
        <w:jc w:val="center"/>
        <w:outlineLvl w:val="2"/>
        <w:rPr>
          <w:rFonts w:ascii="宋体" w:hAnsi="宋体" w:eastAsia="宋体" w:cs="宋体"/>
          <w:b/>
          <w:bCs/>
          <w:sz w:val="32"/>
          <w:szCs w:val="32"/>
        </w:rPr>
      </w:pPr>
      <w:r>
        <w:rPr>
          <w:rFonts w:ascii="宋体" w:hAnsi="宋体" w:eastAsia="宋体" w:cs="宋体"/>
          <w:b/>
          <w:bCs/>
          <w:spacing w:val="14"/>
          <w:sz w:val="32"/>
          <w:szCs w:val="32"/>
        </w:rPr>
        <w:t>第四</w:t>
      </w:r>
      <w:r>
        <w:rPr>
          <w:rFonts w:ascii="宋体" w:hAnsi="宋体" w:eastAsia="宋体" w:cs="宋体"/>
          <w:b/>
          <w:bCs/>
          <w:spacing w:val="56"/>
          <w:sz w:val="32"/>
          <w:szCs w:val="32"/>
        </w:rPr>
        <w:t>节 打</w:t>
      </w:r>
      <w:r>
        <w:rPr>
          <w:rFonts w:ascii="宋体" w:hAnsi="宋体" w:eastAsia="宋体" w:cs="宋体"/>
          <w:b/>
          <w:bCs/>
          <w:spacing w:val="14"/>
          <w:sz w:val="32"/>
          <w:szCs w:val="32"/>
        </w:rPr>
        <w:t>造宜</w:t>
      </w:r>
      <w:r>
        <w:rPr>
          <w:rFonts w:ascii="宋体" w:hAnsi="宋体" w:eastAsia="宋体" w:cs="宋体"/>
          <w:b/>
          <w:bCs/>
          <w:spacing w:val="12"/>
          <w:sz w:val="32"/>
          <w:szCs w:val="32"/>
        </w:rPr>
        <w:t>居</w:t>
      </w:r>
      <w:r>
        <w:rPr>
          <w:rFonts w:ascii="宋体" w:hAnsi="宋体" w:eastAsia="宋体" w:cs="宋体"/>
          <w:b/>
          <w:bCs/>
          <w:spacing w:val="14"/>
          <w:sz w:val="32"/>
          <w:szCs w:val="32"/>
        </w:rPr>
        <w:t>生态乡村空</w:t>
      </w:r>
      <w:r>
        <w:rPr>
          <w:rFonts w:ascii="宋体" w:hAnsi="宋体" w:eastAsia="宋体" w:cs="宋体"/>
          <w:b/>
          <w:bCs/>
          <w:spacing w:val="-10"/>
          <w:sz w:val="32"/>
          <w:szCs w:val="32"/>
        </w:rPr>
        <w:t>间</w:t>
      </w:r>
    </w:p>
    <w:p w14:paraId="15864A4A">
      <w:pPr>
        <w:spacing w:before="2"/>
        <w:rPr>
          <w:rFonts w:ascii="宋体"/>
          <w:b/>
          <w:sz w:val="25"/>
          <w:szCs w:val="32"/>
        </w:rPr>
      </w:pPr>
    </w:p>
    <w:p w14:paraId="5BDCBFFD">
      <w:pPr>
        <w:spacing w:line="338" w:lineRule="auto"/>
        <w:ind w:left="213" w:right="283" w:firstLine="664"/>
        <w:jc w:val="both"/>
        <w:rPr>
          <w:sz w:val="32"/>
          <w:szCs w:val="32"/>
        </w:rPr>
      </w:pPr>
      <w:r>
        <w:rPr>
          <w:b/>
          <w:spacing w:val="12"/>
          <w:w w:val="99"/>
          <w:sz w:val="32"/>
          <w:szCs w:val="32"/>
        </w:rPr>
        <w:t>持续推进全域增绿。</w:t>
      </w:r>
      <w:r>
        <w:rPr>
          <w:spacing w:val="9"/>
          <w:w w:val="99"/>
          <w:sz w:val="32"/>
          <w:szCs w:val="32"/>
        </w:rPr>
        <w:t>打造乡村生态、人文、经济功能复合</w:t>
      </w:r>
      <w:r>
        <w:rPr>
          <w:spacing w:val="10"/>
          <w:w w:val="99"/>
          <w:sz w:val="32"/>
          <w:szCs w:val="32"/>
        </w:rPr>
        <w:t>体，构建典农河带状公园和田园村庄点状公园相得益彰的宜居生态格局。实施良田镇生态廊道建设，加强典农河水系岸线保</w:t>
      </w:r>
      <w:r>
        <w:rPr>
          <w:spacing w:val="9"/>
          <w:w w:val="99"/>
          <w:sz w:val="32"/>
          <w:szCs w:val="32"/>
        </w:rPr>
        <w:t>护和主干道路两侧的绿化、美化和景观设计。在城乡结合区域</w:t>
      </w:r>
      <w:r>
        <w:rPr>
          <w:spacing w:val="10"/>
          <w:w w:val="99"/>
          <w:sz w:val="32"/>
          <w:szCs w:val="32"/>
        </w:rPr>
        <w:t>成片造林，构建完整连贯的城乡绿地系统。大力实施村庄绿化</w:t>
      </w:r>
      <w:r>
        <w:rPr>
          <w:spacing w:val="11"/>
          <w:w w:val="99"/>
          <w:sz w:val="32"/>
          <w:szCs w:val="32"/>
        </w:rPr>
        <w:t>工程，构建经济林与生态林互补的生态防护体系。</w:t>
      </w:r>
    </w:p>
    <w:p w14:paraId="3EBE3536">
      <w:pPr>
        <w:spacing w:before="12" w:line="338" w:lineRule="auto"/>
        <w:ind w:left="213" w:right="283" w:firstLine="664"/>
        <w:jc w:val="both"/>
        <w:rPr>
          <w:sz w:val="32"/>
          <w:szCs w:val="32"/>
        </w:rPr>
      </w:pPr>
      <w:r>
        <w:rPr>
          <w:b/>
          <w:spacing w:val="12"/>
          <w:w w:val="99"/>
          <w:sz w:val="32"/>
          <w:szCs w:val="32"/>
        </w:rPr>
        <w:t>加强生态红线管控。</w:t>
      </w:r>
      <w:r>
        <w:rPr>
          <w:spacing w:val="10"/>
          <w:w w:val="99"/>
          <w:sz w:val="32"/>
          <w:szCs w:val="32"/>
        </w:rPr>
        <w:t>统筹生态建设和经济发展，因地制宜</w:t>
      </w:r>
      <w:r>
        <w:rPr>
          <w:spacing w:val="9"/>
          <w:w w:val="99"/>
          <w:sz w:val="32"/>
          <w:szCs w:val="32"/>
        </w:rPr>
        <w:t>逐步限制畜牧养殖业发展，制定禁止发展产业目录，明确产业发展方向和开发强度，强化准入管理和底线约束。严控区域用水总量，强化水资源承载能力刚性约束。严格管制各类开发活</w:t>
      </w:r>
      <w:r>
        <w:rPr>
          <w:spacing w:val="10"/>
          <w:w w:val="99"/>
          <w:sz w:val="32"/>
          <w:szCs w:val="32"/>
        </w:rPr>
        <w:t>动，对依法保护的生态空间实行承载力控制，确保农业生态系统的持续稳定。</w:t>
      </w:r>
    </w:p>
    <w:p w14:paraId="220C2C77">
      <w:pPr>
        <w:spacing w:before="11" w:line="338" w:lineRule="auto"/>
        <w:ind w:left="213" w:right="283" w:firstLine="664"/>
        <w:rPr>
          <w:sz w:val="32"/>
          <w:szCs w:val="32"/>
        </w:rPr>
      </w:pPr>
      <w:r>
        <w:rPr>
          <w:b/>
          <w:spacing w:val="12"/>
          <w:w w:val="99"/>
          <w:sz w:val="32"/>
          <w:szCs w:val="32"/>
        </w:rPr>
        <w:t>扩大生态产品供给。</w:t>
      </w:r>
      <w:r>
        <w:rPr>
          <w:spacing w:val="9"/>
          <w:w w:val="99"/>
          <w:sz w:val="32"/>
          <w:szCs w:val="32"/>
        </w:rPr>
        <w:t>加快发展林地、田园旅游、河湖生态观光等产业，积极开发观光农业、游憩休闲、健康养生、生态</w:t>
      </w:r>
    </w:p>
    <w:p w14:paraId="4FA74FF2">
      <w:pPr>
        <w:spacing w:line="338" w:lineRule="auto"/>
        <w:sectPr>
          <w:pgSz w:w="11910" w:h="16840"/>
          <w:pgMar w:top="1800" w:right="1200" w:bottom="1160" w:left="1260" w:header="0" w:footer="975" w:gutter="0"/>
          <w:cols w:space="720" w:num="1"/>
        </w:sectPr>
      </w:pPr>
    </w:p>
    <w:p w14:paraId="0AF2747D">
      <w:pPr>
        <w:spacing w:before="28" w:line="338" w:lineRule="auto"/>
        <w:ind w:left="213" w:right="283"/>
        <w:jc w:val="both"/>
        <w:rPr>
          <w:sz w:val="32"/>
          <w:szCs w:val="32"/>
        </w:rPr>
      </w:pPr>
      <w:r>
        <w:rPr>
          <w:spacing w:val="15"/>
          <w:w w:val="99"/>
          <w:sz w:val="32"/>
          <w:szCs w:val="32"/>
        </w:rPr>
        <w:t>教育等服务。大力发展“生态+”产业，实施原生态保护，创</w:t>
      </w:r>
      <w:r>
        <w:rPr>
          <w:spacing w:val="10"/>
          <w:w w:val="99"/>
          <w:sz w:val="32"/>
          <w:szCs w:val="32"/>
        </w:rPr>
        <w:t>建一批特色生态旅游示范村和精品线路，打造绿色生态环保的</w:t>
      </w:r>
      <w:r>
        <w:rPr>
          <w:spacing w:val="9"/>
          <w:w w:val="99"/>
          <w:sz w:val="32"/>
          <w:szCs w:val="32"/>
        </w:rPr>
        <w:t>乡村生态旅游产业链。实施生态标志产品建设工程，建设一批</w:t>
      </w:r>
      <w:r>
        <w:rPr>
          <w:spacing w:val="10"/>
          <w:w w:val="99"/>
          <w:sz w:val="32"/>
          <w:szCs w:val="32"/>
        </w:rPr>
        <w:t>林下经济、特色林果、苗木花卉等标准化生产基地，增加优质</w:t>
      </w:r>
      <w:r>
        <w:rPr>
          <w:spacing w:val="9"/>
          <w:w w:val="99"/>
          <w:sz w:val="32"/>
          <w:szCs w:val="32"/>
        </w:rPr>
        <w:t>绿色生态林产品供给。充分发挥林业多种功能，积极推动一二</w:t>
      </w:r>
      <w:r>
        <w:rPr>
          <w:spacing w:val="6"/>
          <w:w w:val="99"/>
          <w:sz w:val="32"/>
          <w:szCs w:val="32"/>
        </w:rPr>
        <w:t>三产融合发展，大力开发林业“新六产”，建设一批观光果园</w:t>
      </w:r>
      <w:r>
        <w:rPr>
          <w:spacing w:val="10"/>
          <w:w w:val="99"/>
          <w:sz w:val="32"/>
          <w:szCs w:val="32"/>
        </w:rPr>
        <w:t>等田园综合体。</w:t>
      </w:r>
    </w:p>
    <w:p w14:paraId="126B8FAB">
      <w:pPr>
        <w:spacing w:before="5"/>
        <w:rPr>
          <w:sz w:val="23"/>
          <w:szCs w:val="32"/>
        </w:rPr>
      </w:pPr>
    </w:p>
    <w:p w14:paraId="437345B3">
      <w:pPr>
        <w:ind w:left="1053"/>
        <w:rPr>
          <w:rFonts w:ascii="宋体" w:eastAsia="宋体"/>
          <w:b/>
          <w:sz w:val="30"/>
        </w:rPr>
      </w:pPr>
      <w:r>
        <w:rPr>
          <w:rFonts w:hint="eastAsia" w:ascii="宋体" w:eastAsia="宋体"/>
          <w:b/>
          <w:sz w:val="30"/>
        </w:rPr>
        <w:t>第八章</w:t>
      </w:r>
      <w:r>
        <w:rPr>
          <w:rFonts w:hint="eastAsia" w:ascii="宋体" w:eastAsia="宋体"/>
          <w:b/>
          <w:spacing w:val="45"/>
          <w:w w:val="150"/>
          <w:sz w:val="30"/>
        </w:rPr>
        <w:t xml:space="preserve"> </w:t>
      </w:r>
      <w:r>
        <w:rPr>
          <w:rFonts w:hint="eastAsia" w:ascii="宋体" w:eastAsia="宋体"/>
          <w:b/>
          <w:spacing w:val="-1"/>
          <w:sz w:val="30"/>
        </w:rPr>
        <w:t>纵深推进污染防治攻坚战</w:t>
      </w:r>
    </w:p>
    <w:p w14:paraId="3845AECE">
      <w:pPr>
        <w:spacing w:before="7"/>
        <w:rPr>
          <w:rFonts w:ascii="宋体"/>
          <w:b/>
          <w:sz w:val="31"/>
          <w:szCs w:val="32"/>
        </w:rPr>
      </w:pPr>
    </w:p>
    <w:p w14:paraId="644FF950">
      <w:pPr>
        <w:spacing w:before="1"/>
        <w:ind w:left="2353" w:right="2422"/>
        <w:jc w:val="center"/>
        <w:outlineLvl w:val="2"/>
        <w:rPr>
          <w:rFonts w:ascii="宋体" w:hAnsi="宋体" w:eastAsia="宋体" w:cs="宋体"/>
          <w:b/>
          <w:bCs/>
          <w:sz w:val="32"/>
          <w:szCs w:val="32"/>
        </w:rPr>
      </w:pPr>
      <w:r>
        <w:rPr>
          <w:rFonts w:ascii="宋体" w:hAnsi="宋体" w:eastAsia="宋体" w:cs="宋体"/>
          <w:b/>
          <w:bCs/>
          <w:spacing w:val="14"/>
          <w:sz w:val="32"/>
          <w:szCs w:val="32"/>
        </w:rPr>
        <w:t>第一</w:t>
      </w:r>
      <w:r>
        <w:rPr>
          <w:rFonts w:ascii="宋体" w:hAnsi="宋体" w:eastAsia="宋体" w:cs="宋体"/>
          <w:b/>
          <w:bCs/>
          <w:spacing w:val="56"/>
          <w:sz w:val="32"/>
          <w:szCs w:val="32"/>
        </w:rPr>
        <w:t>节 坚</w:t>
      </w:r>
      <w:r>
        <w:rPr>
          <w:rFonts w:ascii="宋体" w:hAnsi="宋体" w:eastAsia="宋体" w:cs="宋体"/>
          <w:b/>
          <w:bCs/>
          <w:spacing w:val="14"/>
          <w:sz w:val="32"/>
          <w:szCs w:val="32"/>
        </w:rPr>
        <w:t>持空气“四</w:t>
      </w:r>
      <w:r>
        <w:rPr>
          <w:rFonts w:ascii="宋体" w:hAnsi="宋体" w:eastAsia="宋体" w:cs="宋体"/>
          <w:b/>
          <w:bCs/>
          <w:spacing w:val="13"/>
          <w:sz w:val="32"/>
          <w:szCs w:val="32"/>
        </w:rPr>
        <w:t>尘”</w:t>
      </w:r>
      <w:r>
        <w:rPr>
          <w:rFonts w:ascii="宋体" w:hAnsi="宋体" w:eastAsia="宋体" w:cs="宋体"/>
          <w:b/>
          <w:bCs/>
          <w:spacing w:val="14"/>
          <w:sz w:val="32"/>
          <w:szCs w:val="32"/>
        </w:rPr>
        <w:t>共</w:t>
      </w:r>
      <w:r>
        <w:rPr>
          <w:rFonts w:ascii="宋体" w:hAnsi="宋体" w:eastAsia="宋体" w:cs="宋体"/>
          <w:b/>
          <w:bCs/>
          <w:spacing w:val="-10"/>
          <w:sz w:val="32"/>
          <w:szCs w:val="32"/>
        </w:rPr>
        <w:t>治</w:t>
      </w:r>
    </w:p>
    <w:p w14:paraId="6B1C6227">
      <w:pPr>
        <w:spacing w:before="1"/>
        <w:rPr>
          <w:rFonts w:ascii="宋体"/>
          <w:b/>
          <w:sz w:val="25"/>
          <w:szCs w:val="32"/>
        </w:rPr>
      </w:pPr>
    </w:p>
    <w:p w14:paraId="3AEE682E">
      <w:pPr>
        <w:spacing w:line="338" w:lineRule="auto"/>
        <w:ind w:left="213" w:right="120" w:firstLine="664"/>
        <w:rPr>
          <w:sz w:val="32"/>
          <w:szCs w:val="32"/>
        </w:rPr>
      </w:pPr>
      <w:r>
        <w:rPr>
          <w:spacing w:val="17"/>
          <w:sz w:val="32"/>
          <w:szCs w:val="32"/>
        </w:rPr>
        <w:t>紧盯“碳达峰、碳中和”目标，深入开展“蓝天工程</w:t>
      </w:r>
      <w:r>
        <w:rPr>
          <w:spacing w:val="-74"/>
          <w:sz w:val="32"/>
          <w:szCs w:val="32"/>
        </w:rPr>
        <w:t>”，</w:t>
      </w:r>
      <w:r>
        <w:rPr>
          <w:spacing w:val="12"/>
          <w:sz w:val="32"/>
          <w:szCs w:val="32"/>
        </w:rPr>
        <w:t>以空气质量明显改善为刚性要</w:t>
      </w:r>
      <w:r>
        <w:rPr>
          <w:spacing w:val="8"/>
          <w:sz w:val="32"/>
          <w:szCs w:val="32"/>
        </w:rPr>
        <w:t>求，全地</w:t>
      </w:r>
      <w:r>
        <w:rPr>
          <w:spacing w:val="12"/>
          <w:sz w:val="32"/>
          <w:szCs w:val="32"/>
        </w:rPr>
        <w:t>域、全</w:t>
      </w:r>
      <w:r>
        <w:rPr>
          <w:spacing w:val="7"/>
          <w:sz w:val="32"/>
          <w:szCs w:val="32"/>
        </w:rPr>
        <w:t>时段、全过程推</w:t>
      </w:r>
      <w:r>
        <w:rPr>
          <w:spacing w:val="17"/>
          <w:sz w:val="32"/>
          <w:szCs w:val="32"/>
        </w:rPr>
        <w:t>进“四尘同</w:t>
      </w:r>
      <w:r>
        <w:rPr>
          <w:spacing w:val="-37"/>
          <w:sz w:val="32"/>
          <w:szCs w:val="32"/>
        </w:rPr>
        <w:t>治”，</w:t>
      </w:r>
      <w:r>
        <w:rPr>
          <w:spacing w:val="17"/>
          <w:sz w:val="32"/>
          <w:szCs w:val="32"/>
        </w:rPr>
        <w:t>强化区域联防联控，对标优良天数指标</w:t>
      </w:r>
      <w:r>
        <w:rPr>
          <w:spacing w:val="8"/>
          <w:sz w:val="32"/>
          <w:szCs w:val="32"/>
        </w:rPr>
        <w:t>，狠</w:t>
      </w:r>
      <w:r>
        <w:rPr>
          <w:spacing w:val="12"/>
          <w:w w:val="95"/>
          <w:sz w:val="32"/>
          <w:szCs w:val="32"/>
        </w:rPr>
        <w:t>抓建筑施工扬尘</w:t>
      </w:r>
      <w:r>
        <w:rPr>
          <w:spacing w:val="-6"/>
          <w:w w:val="95"/>
          <w:sz w:val="32"/>
          <w:szCs w:val="32"/>
        </w:rPr>
        <w:t>管控、燃煤</w:t>
      </w:r>
      <w:r>
        <w:rPr>
          <w:spacing w:val="12"/>
          <w:w w:val="95"/>
          <w:sz w:val="32"/>
          <w:szCs w:val="32"/>
        </w:rPr>
        <w:t>锅炉淘汰治理</w:t>
      </w:r>
      <w:r>
        <w:rPr>
          <w:spacing w:val="-16"/>
          <w:w w:val="95"/>
          <w:sz w:val="32"/>
          <w:szCs w:val="32"/>
        </w:rPr>
        <w:t>、农村</w:t>
      </w:r>
      <w:r>
        <w:rPr>
          <w:spacing w:val="12"/>
          <w:w w:val="95"/>
          <w:sz w:val="32"/>
          <w:szCs w:val="32"/>
        </w:rPr>
        <w:t>清洁能源替代</w:t>
      </w:r>
      <w:r>
        <w:rPr>
          <w:w w:val="95"/>
          <w:sz w:val="32"/>
          <w:szCs w:val="32"/>
        </w:rPr>
        <w:t>、</w:t>
      </w:r>
      <w:r>
        <w:rPr>
          <w:spacing w:val="80"/>
          <w:w w:val="150"/>
          <w:sz w:val="32"/>
          <w:szCs w:val="32"/>
        </w:rPr>
        <w:t xml:space="preserve"> </w:t>
      </w:r>
      <w:r>
        <w:rPr>
          <w:spacing w:val="12"/>
          <w:sz w:val="32"/>
          <w:szCs w:val="32"/>
        </w:rPr>
        <w:t>“散乱污”企业治理、餐饮油烟等问题</w:t>
      </w:r>
      <w:r>
        <w:rPr>
          <w:spacing w:val="8"/>
          <w:sz w:val="32"/>
          <w:szCs w:val="32"/>
        </w:rPr>
        <w:t>防控，有效</w:t>
      </w:r>
      <w:r>
        <w:rPr>
          <w:spacing w:val="12"/>
          <w:sz w:val="32"/>
          <w:szCs w:val="32"/>
        </w:rPr>
        <w:t>降低</w:t>
      </w:r>
      <w:r>
        <w:rPr>
          <w:spacing w:val="8"/>
          <w:sz w:val="32"/>
          <w:szCs w:val="32"/>
        </w:rPr>
        <w:t>二氧化</w:t>
      </w:r>
      <w:r>
        <w:rPr>
          <w:spacing w:val="12"/>
          <w:sz w:val="32"/>
          <w:szCs w:val="32"/>
        </w:rPr>
        <w:t>碳排放强</w:t>
      </w:r>
      <w:r>
        <w:rPr>
          <w:spacing w:val="8"/>
          <w:sz w:val="32"/>
          <w:szCs w:val="32"/>
        </w:rPr>
        <w:t>度，空气</w:t>
      </w:r>
      <w:r>
        <w:rPr>
          <w:spacing w:val="12"/>
          <w:sz w:val="32"/>
          <w:szCs w:val="32"/>
        </w:rPr>
        <w:t>质量优良天数比例高于全市平均</w:t>
      </w:r>
      <w:r>
        <w:rPr>
          <w:spacing w:val="7"/>
          <w:sz w:val="32"/>
          <w:szCs w:val="32"/>
        </w:rPr>
        <w:t xml:space="preserve">水平，继续巩固改善 </w:t>
      </w:r>
      <w:r>
        <w:rPr>
          <w:rFonts w:ascii="Times New Roman" w:hAnsi="Times New Roman" w:eastAsia="Times New Roman"/>
          <w:sz w:val="32"/>
          <w:szCs w:val="32"/>
        </w:rPr>
        <w:t>PM</w:t>
      </w:r>
      <w:r>
        <w:rPr>
          <w:rFonts w:ascii="Times New Roman" w:hAnsi="Times New Roman" w:eastAsia="Times New Roman"/>
          <w:sz w:val="32"/>
          <w:szCs w:val="32"/>
          <w:vertAlign w:val="subscript"/>
        </w:rPr>
        <w:t>2.5</w:t>
      </w:r>
      <w:r>
        <w:rPr>
          <w:spacing w:val="12"/>
          <w:sz w:val="32"/>
          <w:szCs w:val="32"/>
        </w:rPr>
        <w:t>、</w:t>
      </w:r>
      <w:r>
        <w:rPr>
          <w:rFonts w:ascii="Times New Roman" w:hAnsi="Times New Roman" w:eastAsia="Times New Roman"/>
          <w:sz w:val="32"/>
          <w:szCs w:val="32"/>
        </w:rPr>
        <w:t>PM</w:t>
      </w:r>
      <w:r>
        <w:rPr>
          <w:rFonts w:ascii="Times New Roman" w:hAnsi="Times New Roman" w:eastAsia="Times New Roman"/>
          <w:sz w:val="32"/>
          <w:szCs w:val="32"/>
          <w:vertAlign w:val="subscript"/>
        </w:rPr>
        <w:t>10</w:t>
      </w:r>
      <w:r>
        <w:rPr>
          <w:rFonts w:ascii="Times New Roman" w:hAnsi="Times New Roman" w:eastAsia="Times New Roman"/>
          <w:sz w:val="32"/>
          <w:szCs w:val="32"/>
        </w:rPr>
        <w:t xml:space="preserve"> </w:t>
      </w:r>
      <w:r>
        <w:rPr>
          <w:spacing w:val="13"/>
          <w:sz w:val="32"/>
          <w:szCs w:val="32"/>
        </w:rPr>
        <w:t>平均</w:t>
      </w:r>
      <w:r>
        <w:rPr>
          <w:spacing w:val="12"/>
          <w:sz w:val="32"/>
          <w:szCs w:val="32"/>
        </w:rPr>
        <w:t>浓度</w:t>
      </w:r>
      <w:r>
        <w:rPr>
          <w:sz w:val="32"/>
          <w:szCs w:val="32"/>
        </w:rPr>
        <w:t>。</w:t>
      </w:r>
    </w:p>
    <w:p w14:paraId="671F89D8">
      <w:pPr>
        <w:spacing w:before="154"/>
        <w:ind w:left="2353" w:right="2422"/>
        <w:jc w:val="center"/>
        <w:outlineLvl w:val="2"/>
        <w:rPr>
          <w:rFonts w:ascii="宋体" w:hAnsi="宋体" w:eastAsia="宋体" w:cs="宋体"/>
          <w:b/>
          <w:bCs/>
          <w:sz w:val="32"/>
          <w:szCs w:val="32"/>
        </w:rPr>
      </w:pPr>
      <w:r>
        <w:rPr>
          <w:rFonts w:ascii="宋体" w:hAnsi="宋体" w:eastAsia="宋体" w:cs="宋体"/>
          <w:b/>
          <w:bCs/>
          <w:spacing w:val="14"/>
          <w:sz w:val="32"/>
          <w:szCs w:val="32"/>
        </w:rPr>
        <w:t>第二</w:t>
      </w:r>
      <w:r>
        <w:rPr>
          <w:rFonts w:ascii="宋体" w:hAnsi="宋体" w:eastAsia="宋体" w:cs="宋体"/>
          <w:b/>
          <w:bCs/>
          <w:spacing w:val="56"/>
          <w:sz w:val="32"/>
          <w:szCs w:val="32"/>
        </w:rPr>
        <w:t>节 坚</w:t>
      </w:r>
      <w:r>
        <w:rPr>
          <w:rFonts w:ascii="宋体" w:hAnsi="宋体" w:eastAsia="宋体" w:cs="宋体"/>
          <w:b/>
          <w:bCs/>
          <w:spacing w:val="14"/>
          <w:sz w:val="32"/>
          <w:szCs w:val="32"/>
        </w:rPr>
        <w:t>持水体“五</w:t>
      </w:r>
      <w:r>
        <w:rPr>
          <w:rFonts w:ascii="宋体" w:hAnsi="宋体" w:eastAsia="宋体" w:cs="宋体"/>
          <w:b/>
          <w:bCs/>
          <w:spacing w:val="13"/>
          <w:sz w:val="32"/>
          <w:szCs w:val="32"/>
        </w:rPr>
        <w:t>水”</w:t>
      </w:r>
      <w:r>
        <w:rPr>
          <w:rFonts w:ascii="宋体" w:hAnsi="宋体" w:eastAsia="宋体" w:cs="宋体"/>
          <w:b/>
          <w:bCs/>
          <w:spacing w:val="14"/>
          <w:sz w:val="32"/>
          <w:szCs w:val="32"/>
        </w:rPr>
        <w:t>同</w:t>
      </w:r>
      <w:r>
        <w:rPr>
          <w:rFonts w:ascii="宋体" w:hAnsi="宋体" w:eastAsia="宋体" w:cs="宋体"/>
          <w:b/>
          <w:bCs/>
          <w:spacing w:val="-10"/>
          <w:sz w:val="32"/>
          <w:szCs w:val="32"/>
        </w:rPr>
        <w:t>治</w:t>
      </w:r>
    </w:p>
    <w:p w14:paraId="3FF81B34">
      <w:pPr>
        <w:spacing w:before="1"/>
        <w:rPr>
          <w:rFonts w:ascii="宋体"/>
          <w:b/>
          <w:sz w:val="25"/>
          <w:szCs w:val="32"/>
        </w:rPr>
      </w:pPr>
    </w:p>
    <w:p w14:paraId="2C387DC6">
      <w:pPr>
        <w:spacing w:line="340" w:lineRule="auto"/>
        <w:ind w:left="213" w:right="120" w:firstLine="664"/>
        <w:rPr>
          <w:sz w:val="32"/>
          <w:szCs w:val="32"/>
        </w:rPr>
      </w:pPr>
      <w:r>
        <w:rPr>
          <w:spacing w:val="11"/>
          <w:w w:val="99"/>
          <w:sz w:val="32"/>
          <w:szCs w:val="32"/>
        </w:rPr>
        <w:t>严格落实河</w:t>
      </w:r>
      <w:r>
        <w:rPr>
          <w:spacing w:val="12"/>
          <w:w w:val="99"/>
          <w:sz w:val="32"/>
          <w:szCs w:val="32"/>
        </w:rPr>
        <w:t>（</w:t>
      </w:r>
      <w:r>
        <w:rPr>
          <w:spacing w:val="14"/>
          <w:w w:val="99"/>
          <w:sz w:val="32"/>
          <w:szCs w:val="32"/>
        </w:rPr>
        <w:t>湖</w:t>
      </w:r>
      <w:r>
        <w:rPr>
          <w:spacing w:val="12"/>
          <w:w w:val="99"/>
          <w:sz w:val="32"/>
          <w:szCs w:val="32"/>
        </w:rPr>
        <w:t>）</w:t>
      </w:r>
      <w:r>
        <w:rPr>
          <w:spacing w:val="11"/>
          <w:w w:val="99"/>
          <w:sz w:val="32"/>
          <w:szCs w:val="32"/>
        </w:rPr>
        <w:t>长制，持续巩固河湖“清四乱”专项整</w:t>
      </w:r>
      <w:r>
        <w:rPr>
          <w:spacing w:val="9"/>
          <w:w w:val="99"/>
          <w:sz w:val="32"/>
          <w:szCs w:val="32"/>
        </w:rPr>
        <w:t>治成果，确保重点入黄排水沟水质综合评价达到Ⅳ类。抢抓黄</w:t>
      </w:r>
      <w:r>
        <w:rPr>
          <w:spacing w:val="2"/>
          <w:w w:val="99"/>
          <w:sz w:val="32"/>
          <w:szCs w:val="32"/>
        </w:rPr>
        <w:t>河流域生态环境保护和高质量发展机遇，扎实推进“挖湖造景”</w:t>
      </w:r>
      <w:r>
        <w:rPr>
          <w:spacing w:val="9"/>
          <w:w w:val="99"/>
          <w:sz w:val="32"/>
          <w:szCs w:val="32"/>
        </w:rPr>
        <w:t>专项治理，以水而定、量水而行，谋划一批生态环保项目。在</w:t>
      </w:r>
      <w:r>
        <w:rPr>
          <w:spacing w:val="10"/>
          <w:w w:val="99"/>
          <w:sz w:val="32"/>
          <w:szCs w:val="32"/>
        </w:rPr>
        <w:t>农村梯次推进生活污水处理设施建设，逐年提升中心村污水处</w:t>
      </w:r>
    </w:p>
    <w:p w14:paraId="101FDB62">
      <w:pPr>
        <w:spacing w:line="340" w:lineRule="auto"/>
        <w:sectPr>
          <w:pgSz w:w="11910" w:h="16840"/>
          <w:pgMar w:top="1800" w:right="1200" w:bottom="1160" w:left="1260" w:header="0" w:footer="975" w:gutter="0"/>
          <w:cols w:space="720" w:num="1"/>
        </w:sectPr>
      </w:pPr>
    </w:p>
    <w:p w14:paraId="73F8E70B">
      <w:pPr>
        <w:spacing w:before="28" w:line="338" w:lineRule="auto"/>
        <w:ind w:left="213" w:right="283"/>
        <w:jc w:val="both"/>
        <w:rPr>
          <w:sz w:val="32"/>
          <w:szCs w:val="32"/>
        </w:rPr>
      </w:pPr>
      <w:r>
        <w:rPr>
          <w:spacing w:val="10"/>
          <w:w w:val="99"/>
          <w:sz w:val="32"/>
          <w:szCs w:val="32"/>
        </w:rPr>
        <w:t>理覆盖率。加强饮用水源保护，协同防治土壤、地下水与地表</w:t>
      </w:r>
      <w:r>
        <w:rPr>
          <w:spacing w:val="9"/>
          <w:w w:val="99"/>
          <w:sz w:val="32"/>
          <w:szCs w:val="32"/>
        </w:rPr>
        <w:t>水污染，建立地下水污染防治管理体系，有效防控地下水污染</w:t>
      </w:r>
      <w:r>
        <w:rPr>
          <w:spacing w:val="11"/>
          <w:w w:val="99"/>
          <w:sz w:val="32"/>
          <w:szCs w:val="32"/>
        </w:rPr>
        <w:t>风险源，确保饮用水源安全。</w:t>
      </w:r>
    </w:p>
    <w:p w14:paraId="2EC4916D">
      <w:pPr>
        <w:spacing w:before="144"/>
        <w:ind w:left="2353" w:right="2422"/>
        <w:jc w:val="center"/>
        <w:outlineLvl w:val="2"/>
        <w:rPr>
          <w:rFonts w:ascii="宋体" w:hAnsi="宋体" w:eastAsia="宋体" w:cs="宋体"/>
          <w:b/>
          <w:bCs/>
          <w:sz w:val="32"/>
          <w:szCs w:val="32"/>
        </w:rPr>
      </w:pPr>
      <w:r>
        <w:rPr>
          <w:rFonts w:ascii="宋体" w:hAnsi="宋体" w:eastAsia="宋体" w:cs="宋体"/>
          <w:b/>
          <w:bCs/>
          <w:spacing w:val="14"/>
          <w:sz w:val="32"/>
          <w:szCs w:val="32"/>
        </w:rPr>
        <w:t>第三</w:t>
      </w:r>
      <w:r>
        <w:rPr>
          <w:rFonts w:ascii="宋体" w:hAnsi="宋体" w:eastAsia="宋体" w:cs="宋体"/>
          <w:b/>
          <w:bCs/>
          <w:spacing w:val="56"/>
          <w:sz w:val="32"/>
          <w:szCs w:val="32"/>
        </w:rPr>
        <w:t>节 坚</w:t>
      </w:r>
      <w:r>
        <w:rPr>
          <w:rFonts w:ascii="宋体" w:hAnsi="宋体" w:eastAsia="宋体" w:cs="宋体"/>
          <w:b/>
          <w:bCs/>
          <w:spacing w:val="14"/>
          <w:sz w:val="32"/>
          <w:szCs w:val="32"/>
        </w:rPr>
        <w:t>持土壤“六</w:t>
      </w:r>
      <w:r>
        <w:rPr>
          <w:rFonts w:ascii="宋体" w:hAnsi="宋体" w:eastAsia="宋体" w:cs="宋体"/>
          <w:b/>
          <w:bCs/>
          <w:spacing w:val="13"/>
          <w:sz w:val="32"/>
          <w:szCs w:val="32"/>
        </w:rPr>
        <w:t>废”</w:t>
      </w:r>
      <w:r>
        <w:rPr>
          <w:rFonts w:ascii="宋体" w:hAnsi="宋体" w:eastAsia="宋体" w:cs="宋体"/>
          <w:b/>
          <w:bCs/>
          <w:spacing w:val="14"/>
          <w:sz w:val="32"/>
          <w:szCs w:val="32"/>
        </w:rPr>
        <w:t>联</w:t>
      </w:r>
      <w:r>
        <w:rPr>
          <w:rFonts w:ascii="宋体" w:hAnsi="宋体" w:eastAsia="宋体" w:cs="宋体"/>
          <w:b/>
          <w:bCs/>
          <w:spacing w:val="-10"/>
          <w:sz w:val="32"/>
          <w:szCs w:val="32"/>
        </w:rPr>
        <w:t>治</w:t>
      </w:r>
    </w:p>
    <w:p w14:paraId="460BC2F6">
      <w:pPr>
        <w:spacing w:before="2"/>
        <w:rPr>
          <w:rFonts w:ascii="宋体"/>
          <w:b/>
          <w:sz w:val="25"/>
          <w:szCs w:val="32"/>
        </w:rPr>
      </w:pPr>
    </w:p>
    <w:p w14:paraId="4C433254">
      <w:pPr>
        <w:spacing w:line="338" w:lineRule="auto"/>
        <w:ind w:left="213" w:right="278" w:firstLine="664"/>
        <w:jc w:val="both"/>
        <w:rPr>
          <w:sz w:val="32"/>
          <w:szCs w:val="32"/>
        </w:rPr>
      </w:pPr>
      <w:r>
        <w:rPr>
          <w:spacing w:val="5"/>
          <w:w w:val="99"/>
          <w:sz w:val="32"/>
          <w:szCs w:val="32"/>
        </w:rPr>
        <w:t>稳步实施“净土工程”，防治土壤污染，健全土壤监测网</w:t>
      </w:r>
      <w:r>
        <w:rPr>
          <w:spacing w:val="11"/>
          <w:w w:val="99"/>
          <w:sz w:val="32"/>
          <w:szCs w:val="32"/>
        </w:rPr>
        <w:t>络体系和法规标准体系，建立污染地块清单和优先管控名录，</w:t>
      </w:r>
      <w:r>
        <w:rPr>
          <w:spacing w:val="4"/>
          <w:w w:val="99"/>
          <w:sz w:val="32"/>
          <w:szCs w:val="32"/>
        </w:rPr>
        <w:t>统筹推进“六废联治”，综合防治土壤污染。结合农村人居环</w:t>
      </w:r>
      <w:r>
        <w:rPr>
          <w:spacing w:val="9"/>
          <w:w w:val="99"/>
          <w:sz w:val="32"/>
          <w:szCs w:val="32"/>
        </w:rPr>
        <w:t>境整治行动，统筹推进农村垃圾、污水、畜禽废弃物等农村污染治理工作，整治垃圾污染，推进城市生活垃圾分类处置和资源化利用，完善垃圾焚烧、无害化处理设施，整治非正规垃圾填埋场；建立健全农村垃圾收运处置体系，深化农村生活垃圾</w:t>
      </w:r>
      <w:r>
        <w:rPr>
          <w:spacing w:val="11"/>
          <w:w w:val="99"/>
          <w:sz w:val="32"/>
          <w:szCs w:val="32"/>
        </w:rPr>
        <w:t>分类和资源化利用示范县区、示范乡村创建。</w:t>
      </w:r>
    </w:p>
    <w:p w14:paraId="48EEADFC">
      <w:pPr>
        <w:tabs>
          <w:tab w:val="left" w:pos="4031"/>
        </w:tabs>
        <w:spacing w:before="116"/>
        <w:ind w:left="2592"/>
        <w:outlineLvl w:val="1"/>
        <w:rPr>
          <w:rFonts w:ascii="宋体" w:hAnsi="宋体" w:eastAsia="宋体" w:cs="宋体"/>
          <w:sz w:val="36"/>
          <w:szCs w:val="36"/>
        </w:rPr>
      </w:pPr>
      <w:r>
        <w:rPr>
          <w:rFonts w:ascii="宋体" w:hAnsi="宋体" w:eastAsia="宋体" w:cs="宋体"/>
          <w:sz w:val="36"/>
          <w:szCs w:val="36"/>
        </w:rPr>
        <w:t>第九</w:t>
      </w:r>
      <w:r>
        <w:rPr>
          <w:rFonts w:ascii="宋体" w:hAnsi="宋体" w:eastAsia="宋体" w:cs="宋体"/>
          <w:spacing w:val="-10"/>
          <w:sz w:val="36"/>
          <w:szCs w:val="36"/>
        </w:rPr>
        <w:t>章</w:t>
      </w:r>
      <w:r>
        <w:rPr>
          <w:rFonts w:ascii="宋体" w:hAnsi="宋体" w:eastAsia="宋体" w:cs="宋体"/>
          <w:sz w:val="36"/>
          <w:szCs w:val="36"/>
        </w:rPr>
        <w:tab/>
      </w:r>
      <w:r>
        <w:rPr>
          <w:rFonts w:ascii="宋体" w:hAnsi="宋体" w:eastAsia="宋体" w:cs="宋体"/>
          <w:sz w:val="36"/>
          <w:szCs w:val="36"/>
        </w:rPr>
        <w:t>倡导绿色生产生活方</w:t>
      </w:r>
      <w:r>
        <w:rPr>
          <w:rFonts w:ascii="宋体" w:hAnsi="宋体" w:eastAsia="宋体" w:cs="宋体"/>
          <w:spacing w:val="-10"/>
          <w:sz w:val="36"/>
          <w:szCs w:val="36"/>
        </w:rPr>
        <w:t>式</w:t>
      </w:r>
    </w:p>
    <w:p w14:paraId="079584DA">
      <w:pPr>
        <w:spacing w:before="294"/>
        <w:ind w:left="2684" w:right="2744"/>
        <w:jc w:val="center"/>
        <w:outlineLvl w:val="2"/>
        <w:rPr>
          <w:rFonts w:ascii="宋体" w:hAnsi="宋体" w:eastAsia="宋体" w:cs="宋体"/>
          <w:b/>
          <w:bCs/>
          <w:sz w:val="32"/>
          <w:szCs w:val="32"/>
        </w:rPr>
      </w:pPr>
      <w:r>
        <w:rPr>
          <w:rFonts w:ascii="宋体" w:hAnsi="宋体" w:eastAsia="宋体" w:cs="宋体"/>
          <w:b/>
          <w:bCs/>
          <w:sz w:val="32"/>
          <w:szCs w:val="32"/>
        </w:rPr>
        <w:t>第一</w:t>
      </w:r>
      <w:r>
        <w:rPr>
          <w:rFonts w:ascii="宋体" w:hAnsi="宋体" w:eastAsia="宋体" w:cs="宋体"/>
          <w:b/>
          <w:bCs/>
          <w:spacing w:val="46"/>
          <w:sz w:val="32"/>
          <w:szCs w:val="32"/>
        </w:rPr>
        <w:t>节 加</w:t>
      </w:r>
      <w:r>
        <w:rPr>
          <w:rFonts w:ascii="宋体" w:hAnsi="宋体" w:eastAsia="宋体" w:cs="宋体"/>
          <w:b/>
          <w:bCs/>
          <w:sz w:val="32"/>
          <w:szCs w:val="32"/>
        </w:rPr>
        <w:t>强资源节约利</w:t>
      </w:r>
      <w:r>
        <w:rPr>
          <w:rFonts w:ascii="宋体" w:hAnsi="宋体" w:eastAsia="宋体" w:cs="宋体"/>
          <w:b/>
          <w:bCs/>
          <w:spacing w:val="-10"/>
          <w:sz w:val="32"/>
          <w:szCs w:val="32"/>
        </w:rPr>
        <w:t>用</w:t>
      </w:r>
    </w:p>
    <w:p w14:paraId="0E164CAE">
      <w:pPr>
        <w:spacing w:before="2"/>
        <w:rPr>
          <w:rFonts w:ascii="宋体"/>
          <w:b/>
          <w:sz w:val="25"/>
          <w:szCs w:val="32"/>
        </w:rPr>
      </w:pPr>
    </w:p>
    <w:p w14:paraId="08886C82">
      <w:pPr>
        <w:spacing w:line="338" w:lineRule="auto"/>
        <w:ind w:left="213" w:right="120" w:firstLine="664"/>
        <w:rPr>
          <w:sz w:val="32"/>
          <w:szCs w:val="32"/>
        </w:rPr>
      </w:pPr>
      <w:r>
        <w:rPr>
          <w:spacing w:val="-2"/>
          <w:w w:val="99"/>
          <w:sz w:val="32"/>
          <w:szCs w:val="32"/>
        </w:rPr>
        <w:t>坚持节约优先，建设资源节约型社会，加强用水需求管理，</w:t>
      </w:r>
      <w:r>
        <w:rPr>
          <w:spacing w:val="9"/>
          <w:w w:val="99"/>
          <w:sz w:val="32"/>
          <w:szCs w:val="32"/>
        </w:rPr>
        <w:t>控制工业和农业用水总量，提高农业灌溉水利用效率，加强城</w:t>
      </w:r>
      <w:r>
        <w:rPr>
          <w:spacing w:val="11"/>
          <w:w w:val="99"/>
          <w:sz w:val="32"/>
          <w:szCs w:val="32"/>
        </w:rPr>
        <w:t>市节水，推进企业节水改造，建立节约用水奖惩机制，实施老</w:t>
      </w:r>
      <w:r>
        <w:rPr>
          <w:spacing w:val="16"/>
          <w:w w:val="99"/>
          <w:sz w:val="32"/>
          <w:szCs w:val="32"/>
        </w:rPr>
        <w:t>旧供水管网改造，到</w:t>
      </w:r>
      <w:r>
        <w:rPr>
          <w:spacing w:val="-57"/>
          <w:sz w:val="32"/>
          <w:szCs w:val="32"/>
        </w:rPr>
        <w:t xml:space="preserve"> </w:t>
      </w:r>
      <w:r>
        <w:rPr>
          <w:rFonts w:ascii="Times New Roman" w:eastAsia="Times New Roman"/>
          <w:spacing w:val="3"/>
          <w:w w:val="99"/>
          <w:sz w:val="32"/>
          <w:szCs w:val="32"/>
        </w:rPr>
        <w:t>2</w:t>
      </w:r>
      <w:r>
        <w:rPr>
          <w:rFonts w:ascii="Times New Roman" w:eastAsia="Times New Roman"/>
          <w:spacing w:val="6"/>
          <w:w w:val="99"/>
          <w:sz w:val="32"/>
          <w:szCs w:val="32"/>
        </w:rPr>
        <w:t>02</w:t>
      </w:r>
      <w:r>
        <w:rPr>
          <w:rFonts w:ascii="Times New Roman" w:eastAsia="Times New Roman"/>
          <w:w w:val="99"/>
          <w:sz w:val="32"/>
          <w:szCs w:val="32"/>
        </w:rPr>
        <w:t>5</w:t>
      </w:r>
      <w:r>
        <w:rPr>
          <w:rFonts w:ascii="Times New Roman" w:eastAsia="Times New Roman"/>
          <w:spacing w:val="17"/>
          <w:sz w:val="32"/>
          <w:szCs w:val="32"/>
        </w:rPr>
        <w:t xml:space="preserve"> </w:t>
      </w:r>
      <w:r>
        <w:rPr>
          <w:spacing w:val="17"/>
          <w:w w:val="99"/>
          <w:sz w:val="32"/>
          <w:szCs w:val="32"/>
        </w:rPr>
        <w:t>年，达到国家节水型城市标准。坚</w:t>
      </w:r>
      <w:r>
        <w:rPr>
          <w:spacing w:val="9"/>
          <w:w w:val="99"/>
          <w:sz w:val="32"/>
          <w:szCs w:val="32"/>
        </w:rPr>
        <w:t>持节约用地，严守永久基本农田，严管城镇开发边界，严格落</w:t>
      </w:r>
      <w:r>
        <w:rPr>
          <w:spacing w:val="10"/>
          <w:w w:val="99"/>
          <w:sz w:val="32"/>
          <w:szCs w:val="32"/>
        </w:rPr>
        <w:t>实耕地占补平衡，盘活利用批而未供及闲置的土地。推进节能</w:t>
      </w:r>
      <w:r>
        <w:rPr>
          <w:spacing w:val="9"/>
          <w:w w:val="99"/>
          <w:sz w:val="32"/>
          <w:szCs w:val="32"/>
        </w:rPr>
        <w:t>降耗，严格能耗准入门槛，深入推进工业、建筑、交通等领域</w:t>
      </w:r>
      <w:r>
        <w:rPr>
          <w:spacing w:val="8"/>
          <w:w w:val="99"/>
          <w:sz w:val="32"/>
          <w:szCs w:val="32"/>
        </w:rPr>
        <w:t>节能。</w:t>
      </w:r>
    </w:p>
    <w:p w14:paraId="289BC40A">
      <w:pPr>
        <w:spacing w:line="338" w:lineRule="auto"/>
        <w:sectPr>
          <w:pgSz w:w="11910" w:h="16840"/>
          <w:pgMar w:top="1800" w:right="1200" w:bottom="1160" w:left="1260" w:header="0" w:footer="975" w:gutter="0"/>
          <w:cols w:space="720" w:num="1"/>
        </w:sectPr>
      </w:pPr>
    </w:p>
    <w:p w14:paraId="391E28BD">
      <w:pPr>
        <w:spacing w:before="31"/>
        <w:ind w:left="2684" w:right="2756"/>
        <w:jc w:val="center"/>
        <w:outlineLvl w:val="2"/>
        <w:rPr>
          <w:rFonts w:ascii="宋体" w:hAnsi="宋体" w:eastAsia="宋体" w:cs="宋体"/>
          <w:b/>
          <w:bCs/>
          <w:sz w:val="32"/>
          <w:szCs w:val="32"/>
        </w:rPr>
      </w:pPr>
      <w:r>
        <w:rPr>
          <w:rFonts w:ascii="宋体" w:hAnsi="宋体" w:eastAsia="宋体" w:cs="宋体"/>
          <w:b/>
          <w:bCs/>
          <w:spacing w:val="14"/>
          <w:sz w:val="32"/>
          <w:szCs w:val="32"/>
        </w:rPr>
        <w:t>第二</w:t>
      </w:r>
      <w:r>
        <w:rPr>
          <w:rFonts w:ascii="宋体" w:hAnsi="宋体" w:eastAsia="宋体" w:cs="宋体"/>
          <w:b/>
          <w:bCs/>
          <w:spacing w:val="58"/>
          <w:sz w:val="32"/>
          <w:szCs w:val="32"/>
        </w:rPr>
        <w:t>节 提</w:t>
      </w:r>
      <w:r>
        <w:rPr>
          <w:rFonts w:ascii="宋体" w:hAnsi="宋体" w:eastAsia="宋体" w:cs="宋体"/>
          <w:b/>
          <w:bCs/>
          <w:spacing w:val="14"/>
          <w:sz w:val="32"/>
          <w:szCs w:val="32"/>
        </w:rPr>
        <w:t>高资</w:t>
      </w:r>
      <w:r>
        <w:rPr>
          <w:rFonts w:ascii="宋体" w:hAnsi="宋体" w:eastAsia="宋体" w:cs="宋体"/>
          <w:b/>
          <w:bCs/>
          <w:spacing w:val="12"/>
          <w:sz w:val="32"/>
          <w:szCs w:val="32"/>
        </w:rPr>
        <w:t>源</w:t>
      </w:r>
      <w:r>
        <w:rPr>
          <w:rFonts w:ascii="宋体" w:hAnsi="宋体" w:eastAsia="宋体" w:cs="宋体"/>
          <w:b/>
          <w:bCs/>
          <w:spacing w:val="14"/>
          <w:sz w:val="32"/>
          <w:szCs w:val="32"/>
        </w:rPr>
        <w:t>综合利</w:t>
      </w:r>
      <w:r>
        <w:rPr>
          <w:rFonts w:ascii="宋体" w:hAnsi="宋体" w:eastAsia="宋体" w:cs="宋体"/>
          <w:b/>
          <w:bCs/>
          <w:spacing w:val="-10"/>
          <w:sz w:val="32"/>
          <w:szCs w:val="32"/>
        </w:rPr>
        <w:t>用</w:t>
      </w:r>
    </w:p>
    <w:p w14:paraId="550DB399">
      <w:pPr>
        <w:spacing w:before="1"/>
        <w:rPr>
          <w:rFonts w:ascii="宋体"/>
          <w:b/>
          <w:sz w:val="25"/>
          <w:szCs w:val="32"/>
        </w:rPr>
      </w:pPr>
    </w:p>
    <w:p w14:paraId="09AFE5BA">
      <w:pPr>
        <w:spacing w:line="338" w:lineRule="auto"/>
        <w:ind w:left="213" w:right="120" w:firstLine="664"/>
        <w:rPr>
          <w:sz w:val="32"/>
          <w:szCs w:val="32"/>
        </w:rPr>
      </w:pPr>
      <w:r>
        <w:rPr>
          <w:spacing w:val="10"/>
          <w:w w:val="99"/>
          <w:sz w:val="32"/>
          <w:szCs w:val="32"/>
        </w:rPr>
        <w:t>完善再生资源回收体系，鼓励废旧家电、废旧轮胎、废塑</w:t>
      </w:r>
      <w:r>
        <w:rPr>
          <w:spacing w:val="9"/>
          <w:w w:val="99"/>
          <w:sz w:val="32"/>
          <w:szCs w:val="32"/>
        </w:rPr>
        <w:t>料、废纸、包装物等回收利用。加快推行城乡居民生活垃圾分</w:t>
      </w:r>
      <w:r>
        <w:rPr>
          <w:w w:val="99"/>
          <w:sz w:val="32"/>
          <w:szCs w:val="32"/>
        </w:rPr>
        <w:t>类和资源化利用，运用现代化数字监控手段，采用</w:t>
      </w:r>
      <w:r>
        <w:rPr>
          <w:rFonts w:ascii="Times New Roman" w:hAnsi="Times New Roman" w:eastAsia="Times New Roman"/>
          <w:spacing w:val="7"/>
          <w:w w:val="99"/>
          <w:sz w:val="32"/>
          <w:szCs w:val="32"/>
        </w:rPr>
        <w:t>“</w:t>
      </w:r>
      <w:r>
        <w:rPr>
          <w:spacing w:val="12"/>
          <w:w w:val="99"/>
          <w:sz w:val="32"/>
          <w:szCs w:val="32"/>
        </w:rPr>
        <w:t>政府</w:t>
      </w:r>
      <w:r>
        <w:rPr>
          <w:rFonts w:ascii="Times New Roman" w:hAnsi="Times New Roman" w:eastAsia="Times New Roman"/>
          <w:spacing w:val="7"/>
          <w:w w:val="99"/>
          <w:sz w:val="32"/>
          <w:szCs w:val="32"/>
        </w:rPr>
        <w:t>+</w:t>
      </w:r>
      <w:r>
        <w:rPr>
          <w:spacing w:val="12"/>
          <w:w w:val="99"/>
          <w:sz w:val="32"/>
          <w:szCs w:val="32"/>
        </w:rPr>
        <w:t>市场</w:t>
      </w:r>
      <w:r>
        <w:rPr>
          <w:rFonts w:ascii="Times New Roman" w:hAnsi="Times New Roman" w:eastAsia="Times New Roman"/>
          <w:w w:val="99"/>
          <w:sz w:val="32"/>
          <w:szCs w:val="32"/>
        </w:rPr>
        <w:t>”</w:t>
      </w:r>
      <w:r>
        <w:rPr>
          <w:spacing w:val="-2"/>
          <w:w w:val="99"/>
          <w:sz w:val="32"/>
          <w:szCs w:val="32"/>
        </w:rPr>
        <w:t>联合运作模式，打造生活垃圾中转站、厨余垃圾资源化利用站、</w:t>
      </w:r>
      <w:r>
        <w:rPr>
          <w:spacing w:val="11"/>
          <w:w w:val="99"/>
          <w:sz w:val="32"/>
          <w:szCs w:val="32"/>
        </w:rPr>
        <w:t>再生资源分选站“三站一体”综合性末端处理区，加强大件垃</w:t>
      </w:r>
      <w:r>
        <w:rPr>
          <w:spacing w:val="8"/>
          <w:w w:val="99"/>
          <w:sz w:val="32"/>
          <w:szCs w:val="32"/>
        </w:rPr>
        <w:t>圾分拣处理、建筑垃圾(渣土)再利用，发展再制造和再生利用</w:t>
      </w:r>
      <w:r>
        <w:rPr>
          <w:spacing w:val="23"/>
          <w:w w:val="99"/>
          <w:sz w:val="32"/>
          <w:szCs w:val="32"/>
        </w:rPr>
        <w:t>产品，建成从源头分类到末端处置一体化的再生资源处理体</w:t>
      </w:r>
      <w:r>
        <w:rPr>
          <w:spacing w:val="8"/>
          <w:w w:val="99"/>
          <w:sz w:val="32"/>
          <w:szCs w:val="32"/>
        </w:rPr>
        <w:t>系，到</w:t>
      </w:r>
      <w:r>
        <w:rPr>
          <w:spacing w:val="-64"/>
          <w:sz w:val="32"/>
          <w:szCs w:val="32"/>
        </w:rPr>
        <w:t xml:space="preserve"> </w:t>
      </w:r>
      <w:r>
        <w:rPr>
          <w:rFonts w:ascii="Times New Roman" w:hAnsi="Times New Roman" w:eastAsia="Times New Roman"/>
          <w:spacing w:val="3"/>
          <w:w w:val="99"/>
          <w:sz w:val="32"/>
          <w:szCs w:val="32"/>
        </w:rPr>
        <w:t>2</w:t>
      </w:r>
      <w:r>
        <w:rPr>
          <w:rFonts w:ascii="Times New Roman" w:hAnsi="Times New Roman" w:eastAsia="Times New Roman"/>
          <w:spacing w:val="6"/>
          <w:w w:val="99"/>
          <w:sz w:val="32"/>
          <w:szCs w:val="32"/>
        </w:rPr>
        <w:t>02</w:t>
      </w:r>
      <w:r>
        <w:rPr>
          <w:rFonts w:ascii="Times New Roman" w:hAnsi="Times New Roman" w:eastAsia="Times New Roman"/>
          <w:w w:val="99"/>
          <w:sz w:val="32"/>
          <w:szCs w:val="32"/>
        </w:rPr>
        <w:t>5</w:t>
      </w:r>
      <w:r>
        <w:rPr>
          <w:rFonts w:ascii="Times New Roman" w:hAnsi="Times New Roman" w:eastAsia="Times New Roman"/>
          <w:spacing w:val="12"/>
          <w:sz w:val="32"/>
          <w:szCs w:val="32"/>
        </w:rPr>
        <w:t xml:space="preserve"> </w:t>
      </w:r>
      <w:r>
        <w:rPr>
          <w:spacing w:val="11"/>
          <w:w w:val="99"/>
          <w:sz w:val="32"/>
          <w:szCs w:val="32"/>
        </w:rPr>
        <w:t>年，城市生活垃圾无害化处理率达到</w:t>
      </w:r>
      <w:r>
        <w:rPr>
          <w:spacing w:val="-64"/>
          <w:sz w:val="32"/>
          <w:szCs w:val="32"/>
        </w:rPr>
        <w:t xml:space="preserve"> </w:t>
      </w:r>
      <w:r>
        <w:rPr>
          <w:rFonts w:ascii="Times New Roman" w:hAnsi="Times New Roman" w:eastAsia="Times New Roman"/>
          <w:spacing w:val="3"/>
          <w:w w:val="99"/>
          <w:sz w:val="32"/>
          <w:szCs w:val="32"/>
        </w:rPr>
        <w:t>1</w:t>
      </w:r>
      <w:r>
        <w:rPr>
          <w:rFonts w:ascii="Times New Roman" w:hAnsi="Times New Roman" w:eastAsia="Times New Roman"/>
          <w:spacing w:val="6"/>
          <w:w w:val="99"/>
          <w:sz w:val="32"/>
          <w:szCs w:val="32"/>
        </w:rPr>
        <w:t>00</w:t>
      </w:r>
      <w:r>
        <w:rPr>
          <w:rFonts w:ascii="Times New Roman" w:hAnsi="Times New Roman" w:eastAsia="Times New Roman"/>
          <w:spacing w:val="10"/>
          <w:w w:val="99"/>
          <w:sz w:val="32"/>
          <w:szCs w:val="32"/>
        </w:rPr>
        <w:t>%</w:t>
      </w:r>
      <w:r>
        <w:rPr>
          <w:w w:val="99"/>
          <w:sz w:val="32"/>
          <w:szCs w:val="32"/>
        </w:rPr>
        <w:t>。</w:t>
      </w:r>
    </w:p>
    <w:p w14:paraId="3C0CCEB0">
      <w:pPr>
        <w:spacing w:before="156"/>
        <w:ind w:left="2684" w:right="2756"/>
        <w:jc w:val="center"/>
        <w:outlineLvl w:val="2"/>
        <w:rPr>
          <w:rFonts w:ascii="宋体" w:hAnsi="宋体" w:eastAsia="宋体" w:cs="宋体"/>
          <w:b/>
          <w:bCs/>
          <w:sz w:val="32"/>
          <w:szCs w:val="32"/>
        </w:rPr>
      </w:pPr>
      <w:r>
        <w:rPr>
          <w:rFonts w:ascii="宋体" w:hAnsi="宋体" w:eastAsia="宋体" w:cs="宋体"/>
          <w:b/>
          <w:bCs/>
          <w:spacing w:val="14"/>
          <w:sz w:val="32"/>
          <w:szCs w:val="32"/>
        </w:rPr>
        <w:t>第三</w:t>
      </w:r>
      <w:r>
        <w:rPr>
          <w:rFonts w:ascii="宋体" w:hAnsi="宋体" w:eastAsia="宋体" w:cs="宋体"/>
          <w:b/>
          <w:bCs/>
          <w:spacing w:val="58"/>
          <w:sz w:val="32"/>
          <w:szCs w:val="32"/>
        </w:rPr>
        <w:t>节 形</w:t>
      </w:r>
      <w:r>
        <w:rPr>
          <w:rFonts w:ascii="宋体" w:hAnsi="宋体" w:eastAsia="宋体" w:cs="宋体"/>
          <w:b/>
          <w:bCs/>
          <w:spacing w:val="14"/>
          <w:sz w:val="32"/>
          <w:szCs w:val="32"/>
        </w:rPr>
        <w:t>成绿色生</w:t>
      </w:r>
      <w:r>
        <w:rPr>
          <w:rFonts w:ascii="宋体" w:hAnsi="宋体" w:eastAsia="宋体" w:cs="宋体"/>
          <w:b/>
          <w:bCs/>
          <w:spacing w:val="5"/>
          <w:sz w:val="32"/>
          <w:szCs w:val="32"/>
        </w:rPr>
        <w:t>活方式</w:t>
      </w:r>
    </w:p>
    <w:p w14:paraId="5261FFAB">
      <w:pPr>
        <w:spacing w:before="2"/>
        <w:rPr>
          <w:rFonts w:ascii="宋体"/>
          <w:b/>
          <w:sz w:val="25"/>
          <w:szCs w:val="32"/>
        </w:rPr>
      </w:pPr>
    </w:p>
    <w:p w14:paraId="149A12C6">
      <w:pPr>
        <w:spacing w:line="338" w:lineRule="auto"/>
        <w:ind w:left="213" w:right="281" w:firstLine="664"/>
        <w:jc w:val="both"/>
        <w:rPr>
          <w:sz w:val="32"/>
          <w:szCs w:val="32"/>
        </w:rPr>
      </w:pPr>
      <w:r>
        <w:rPr>
          <w:spacing w:val="9"/>
          <w:w w:val="99"/>
          <w:sz w:val="32"/>
          <w:szCs w:val="32"/>
        </w:rPr>
        <w:t>完善执行居民用电、用水、用气阶梯价格政策。在全社会</w:t>
      </w:r>
      <w:r>
        <w:rPr>
          <w:spacing w:val="11"/>
          <w:w w:val="99"/>
          <w:sz w:val="32"/>
          <w:szCs w:val="32"/>
        </w:rPr>
        <w:t>范围内鼓励公交、环卫、出租、通勤、快递作业、城市物流等</w:t>
      </w:r>
      <w:r>
        <w:rPr>
          <w:spacing w:val="10"/>
          <w:w w:val="99"/>
          <w:sz w:val="32"/>
          <w:szCs w:val="32"/>
        </w:rPr>
        <w:t>领域新增和更新车辆采用新能源和清洁能源汽车；鼓励建设绿</w:t>
      </w:r>
      <w:r>
        <w:rPr>
          <w:spacing w:val="9"/>
          <w:w w:val="99"/>
          <w:sz w:val="32"/>
          <w:szCs w:val="32"/>
        </w:rPr>
        <w:t>色节能建筑，鼓励长途出行使用公共交通工具，协调银川市公</w:t>
      </w:r>
      <w:r>
        <w:rPr>
          <w:spacing w:val="10"/>
          <w:w w:val="99"/>
          <w:sz w:val="32"/>
          <w:szCs w:val="32"/>
        </w:rPr>
        <w:t>交公司开辟更多南北走向公交线路，短途出行宜步行或骑行以减少碳排放。以社区为单位，大力推广节能家电、高效照明产品、节水器具、绿色建材等绿色产品和新能源汽车；以家庭为</w:t>
      </w:r>
      <w:r>
        <w:rPr>
          <w:spacing w:val="8"/>
          <w:w w:val="99"/>
          <w:sz w:val="32"/>
          <w:szCs w:val="32"/>
        </w:rPr>
        <w:t>单位，大力推广节水节电、废物可循环利用、再生废品回收等</w:t>
      </w:r>
      <w:r>
        <w:rPr>
          <w:spacing w:val="11"/>
          <w:w w:val="99"/>
          <w:sz w:val="32"/>
          <w:szCs w:val="32"/>
        </w:rPr>
        <w:t>绿色生活方式。广泛开展创建节约型机关、绿色家庭、绿色学</w:t>
      </w:r>
      <w:r>
        <w:rPr>
          <w:spacing w:val="8"/>
          <w:w w:val="99"/>
          <w:sz w:val="32"/>
          <w:szCs w:val="32"/>
        </w:rPr>
        <w:t>校、绿色社区等行动，培育绿色商场、绿色街区，掀起绿色生</w:t>
      </w:r>
      <w:r>
        <w:rPr>
          <w:spacing w:val="10"/>
          <w:w w:val="99"/>
          <w:sz w:val="32"/>
          <w:szCs w:val="32"/>
        </w:rPr>
        <w:t>活方式革命。倡导低碳旅游、绿色消费、绿色流通和绿色物流</w:t>
      </w:r>
      <w:r>
        <w:rPr>
          <w:spacing w:val="15"/>
          <w:w w:val="99"/>
          <w:sz w:val="32"/>
          <w:szCs w:val="32"/>
        </w:rPr>
        <w:t>体系建设。到</w:t>
      </w:r>
      <w:r>
        <w:rPr>
          <w:spacing w:val="-59"/>
          <w:sz w:val="32"/>
          <w:szCs w:val="32"/>
        </w:rPr>
        <w:t xml:space="preserve"> </w:t>
      </w:r>
      <w:r>
        <w:rPr>
          <w:rFonts w:ascii="Times New Roman" w:eastAsia="Times New Roman"/>
          <w:spacing w:val="3"/>
          <w:w w:val="99"/>
          <w:sz w:val="32"/>
          <w:szCs w:val="32"/>
        </w:rPr>
        <w:t>2</w:t>
      </w:r>
      <w:r>
        <w:rPr>
          <w:rFonts w:ascii="Times New Roman" w:eastAsia="Times New Roman"/>
          <w:spacing w:val="6"/>
          <w:w w:val="99"/>
          <w:sz w:val="32"/>
          <w:szCs w:val="32"/>
        </w:rPr>
        <w:t>02</w:t>
      </w:r>
      <w:r>
        <w:rPr>
          <w:rFonts w:ascii="Times New Roman" w:eastAsia="Times New Roman"/>
          <w:w w:val="99"/>
          <w:sz w:val="32"/>
          <w:szCs w:val="32"/>
        </w:rPr>
        <w:t>5</w:t>
      </w:r>
      <w:r>
        <w:rPr>
          <w:rFonts w:ascii="Times New Roman" w:eastAsia="Times New Roman"/>
          <w:spacing w:val="19"/>
          <w:sz w:val="32"/>
          <w:szCs w:val="32"/>
        </w:rPr>
        <w:t xml:space="preserve"> </w:t>
      </w:r>
      <w:r>
        <w:rPr>
          <w:spacing w:val="15"/>
          <w:w w:val="99"/>
          <w:sz w:val="32"/>
          <w:szCs w:val="32"/>
        </w:rPr>
        <w:t>年，绿色出行比例达到</w:t>
      </w:r>
      <w:r>
        <w:rPr>
          <w:spacing w:val="-57"/>
          <w:sz w:val="32"/>
          <w:szCs w:val="32"/>
        </w:rPr>
        <w:t xml:space="preserve"> </w:t>
      </w:r>
      <w:r>
        <w:rPr>
          <w:rFonts w:ascii="Times New Roman" w:eastAsia="Times New Roman"/>
          <w:spacing w:val="3"/>
          <w:w w:val="99"/>
          <w:sz w:val="32"/>
          <w:szCs w:val="32"/>
        </w:rPr>
        <w:t>8</w:t>
      </w:r>
      <w:r>
        <w:rPr>
          <w:rFonts w:ascii="Times New Roman" w:eastAsia="Times New Roman"/>
          <w:spacing w:val="6"/>
          <w:w w:val="99"/>
          <w:sz w:val="32"/>
          <w:szCs w:val="32"/>
        </w:rPr>
        <w:t>0</w:t>
      </w:r>
      <w:r>
        <w:rPr>
          <w:rFonts w:ascii="Times New Roman" w:eastAsia="Times New Roman"/>
          <w:spacing w:val="15"/>
          <w:w w:val="99"/>
          <w:sz w:val="32"/>
          <w:szCs w:val="32"/>
        </w:rPr>
        <w:t>%</w:t>
      </w:r>
      <w:r>
        <w:rPr>
          <w:spacing w:val="15"/>
          <w:w w:val="99"/>
          <w:sz w:val="32"/>
          <w:szCs w:val="32"/>
        </w:rPr>
        <w:t>，绿色出行服</w:t>
      </w:r>
    </w:p>
    <w:p w14:paraId="302E2374">
      <w:pPr>
        <w:spacing w:line="338" w:lineRule="auto"/>
        <w:jc w:val="both"/>
        <w:sectPr>
          <w:pgSz w:w="11910" w:h="16840"/>
          <w:pgMar w:top="1780" w:right="1200" w:bottom="1160" w:left="1260" w:header="0" w:footer="975" w:gutter="0"/>
          <w:cols w:space="720" w:num="1"/>
        </w:sectPr>
      </w:pPr>
    </w:p>
    <w:p w14:paraId="1E58A6E5">
      <w:pPr>
        <w:spacing w:before="48" w:line="340" w:lineRule="auto"/>
        <w:ind w:left="213" w:right="283"/>
        <w:rPr>
          <w:sz w:val="32"/>
          <w:szCs w:val="32"/>
        </w:rPr>
      </w:pPr>
      <w:r>
        <w:rPr>
          <w:sz w:val="32"/>
          <w:szCs w:val="32"/>
        </w:rPr>
        <mc:AlternateContent>
          <mc:Choice Requires="wps">
            <w:drawing>
              <wp:anchor distT="0" distB="0" distL="114300" distR="114300" simplePos="0" relativeHeight="251705344" behindDoc="1" locked="0" layoutInCell="1" allowOverlap="1">
                <wp:simplePos x="0" y="0"/>
                <wp:positionH relativeFrom="page">
                  <wp:posOffset>932815</wp:posOffset>
                </wp:positionH>
                <wp:positionV relativeFrom="paragraph">
                  <wp:posOffset>678180</wp:posOffset>
                </wp:positionV>
                <wp:extent cx="5694680" cy="2744470"/>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5694680" cy="2744470"/>
                        </a:xfrm>
                        <a:prstGeom prst="rect">
                          <a:avLst/>
                        </a:prstGeom>
                        <a:noFill/>
                        <a:ln w="6096">
                          <a:solidFill>
                            <a:srgbClr val="000000"/>
                          </a:solidFill>
                          <a:prstDash val="solid"/>
                          <a:miter lim="800000"/>
                        </a:ln>
                      </wps:spPr>
                      <wps:txbx>
                        <w:txbxContent>
                          <w:p w14:paraId="2783A05D">
                            <w:pPr>
                              <w:spacing w:before="3"/>
                              <w:ind w:left="2742" w:right="2751"/>
                              <w:jc w:val="center"/>
                              <w:rPr>
                                <w:rFonts w:ascii="黑体" w:eastAsia="黑体"/>
                                <w:sz w:val="24"/>
                              </w:rPr>
                            </w:pPr>
                            <w:r>
                              <w:rPr>
                                <w:rFonts w:ascii="黑体" w:eastAsia="黑体"/>
                                <w:spacing w:val="-12"/>
                                <w:sz w:val="24"/>
                              </w:rPr>
                              <w:t xml:space="preserve">专栏 </w:t>
                            </w:r>
                            <w:r>
                              <w:rPr>
                                <w:rFonts w:ascii="黑体" w:eastAsia="黑体"/>
                                <w:sz w:val="24"/>
                              </w:rPr>
                              <w:t>6</w:t>
                            </w:r>
                            <w:r>
                              <w:rPr>
                                <w:rFonts w:ascii="黑体" w:eastAsia="黑体"/>
                                <w:spacing w:val="20"/>
                                <w:sz w:val="24"/>
                              </w:rPr>
                              <w:t xml:space="preserve"> 绿色发展重点建设项目</w:t>
                            </w:r>
                          </w:p>
                          <w:p w14:paraId="7FABEA4C">
                            <w:pPr>
                              <w:spacing w:before="111" w:line="357" w:lineRule="auto"/>
                              <w:ind w:left="102" w:right="2" w:firstLine="444"/>
                              <w:rPr>
                                <w:rFonts w:ascii="宋体" w:eastAsia="宋体"/>
                                <w:sz w:val="21"/>
                              </w:rPr>
                            </w:pPr>
                            <w:r>
                              <w:rPr>
                                <w:rFonts w:hint="eastAsia" w:ascii="宋体" w:eastAsia="宋体"/>
                                <w:b/>
                                <w:spacing w:val="15"/>
                                <w:w w:val="99"/>
                                <w:sz w:val="21"/>
                              </w:rPr>
                              <w:t>宜居公园城市建设项目。</w:t>
                            </w:r>
                            <w:r>
                              <w:rPr>
                                <w:rFonts w:ascii="宋体" w:eastAsia="宋体"/>
                                <w:spacing w:val="13"/>
                                <w:w w:val="99"/>
                                <w:sz w:val="21"/>
                              </w:rPr>
                              <w:t>自治区北部绿色发展区防护林、银川典农河及连通湖泊湿地</w:t>
                            </w:r>
                            <w:r>
                              <w:rPr>
                                <w:rFonts w:ascii="宋体" w:eastAsia="宋体"/>
                                <w:spacing w:val="11"/>
                                <w:w w:val="99"/>
                                <w:sz w:val="21"/>
                              </w:rPr>
                              <w:t>修复、银川元宝湖湿地公园（北郊公园</w:t>
                            </w:r>
                            <w:r>
                              <w:rPr>
                                <w:rFonts w:ascii="宋体" w:eastAsia="宋体"/>
                                <w:spacing w:val="-99"/>
                                <w:w w:val="99"/>
                                <w:sz w:val="21"/>
                              </w:rPr>
                              <w:t>）</w:t>
                            </w:r>
                            <w:r>
                              <w:rPr>
                                <w:rFonts w:ascii="宋体" w:eastAsia="宋体"/>
                                <w:spacing w:val="8"/>
                                <w:w w:val="99"/>
                                <w:sz w:val="21"/>
                              </w:rPr>
                              <w:t>、南郊湿地公园、阅海北部湿地公园、正源南街湿</w:t>
                            </w:r>
                            <w:r>
                              <w:rPr>
                                <w:rFonts w:ascii="宋体" w:eastAsia="宋体"/>
                                <w:spacing w:val="14"/>
                                <w:w w:val="99"/>
                                <w:sz w:val="21"/>
                              </w:rPr>
                              <w:t>地公园、七子连湖公园、七子连湖湿地生态修复、银川国家湿地公园（</w:t>
                            </w:r>
                            <w:r>
                              <w:rPr>
                                <w:rFonts w:ascii="宋体" w:eastAsia="宋体"/>
                                <w:spacing w:val="15"/>
                                <w:w w:val="99"/>
                                <w:sz w:val="21"/>
                              </w:rPr>
                              <w:t>阅海园区</w:t>
                            </w:r>
                            <w:r>
                              <w:rPr>
                                <w:rFonts w:ascii="宋体" w:eastAsia="宋体"/>
                                <w:spacing w:val="14"/>
                                <w:w w:val="99"/>
                                <w:sz w:val="21"/>
                              </w:rPr>
                              <w:t>）</w:t>
                            </w:r>
                            <w:r>
                              <w:rPr>
                                <w:rFonts w:ascii="宋体" w:eastAsia="宋体"/>
                                <w:spacing w:val="10"/>
                                <w:w w:val="99"/>
                                <w:sz w:val="21"/>
                              </w:rPr>
                              <w:t>水生态</w:t>
                            </w:r>
                            <w:r>
                              <w:rPr>
                                <w:rFonts w:ascii="宋体" w:eastAsia="宋体"/>
                                <w:spacing w:val="13"/>
                                <w:w w:val="99"/>
                                <w:sz w:val="21"/>
                              </w:rPr>
                              <w:t>修复与治理、良田镇胭川湖湿地恢复、金凤区景观改造提升绿化、城市道路配套绿化、城</w:t>
                            </w:r>
                            <w:r>
                              <w:rPr>
                                <w:rFonts w:ascii="宋体" w:eastAsia="宋体"/>
                                <w:spacing w:val="4"/>
                                <w:w w:val="99"/>
                                <w:sz w:val="21"/>
                              </w:rPr>
                              <w:t>市小微公园建设、两镇庄点绿化、良田渠城市水资源利用保护、泰康街</w:t>
                            </w:r>
                            <w:r>
                              <w:rPr>
                                <w:rFonts w:ascii="宋体" w:eastAsia="宋体"/>
                                <w:spacing w:val="11"/>
                                <w:w w:val="99"/>
                                <w:sz w:val="21"/>
                              </w:rPr>
                              <w:t>（雪绒巷</w:t>
                            </w:r>
                            <w:r>
                              <w:rPr>
                                <w:rFonts w:ascii="Calibri" w:eastAsia="Calibri"/>
                                <w:spacing w:val="5"/>
                                <w:w w:val="99"/>
                                <w:sz w:val="21"/>
                              </w:rPr>
                              <w:t>-</w:t>
                            </w:r>
                            <w:r>
                              <w:rPr>
                                <w:rFonts w:ascii="宋体" w:eastAsia="宋体"/>
                                <w:spacing w:val="12"/>
                                <w:w w:val="99"/>
                                <w:sz w:val="21"/>
                              </w:rPr>
                              <w:t>贺兰山路</w:t>
                            </w:r>
                            <w:r>
                              <w:rPr>
                                <w:rFonts w:ascii="宋体" w:eastAsia="宋体"/>
                                <w:w w:val="99"/>
                                <w:sz w:val="21"/>
                              </w:rPr>
                              <w:t>）</w:t>
                            </w:r>
                            <w:r>
                              <w:rPr>
                                <w:rFonts w:ascii="宋体" w:eastAsia="宋体"/>
                                <w:spacing w:val="9"/>
                                <w:w w:val="99"/>
                                <w:sz w:val="21"/>
                              </w:rPr>
                              <w:t>慢行绿道等项目。</w:t>
                            </w:r>
                          </w:p>
                          <w:p w14:paraId="01484FA3">
                            <w:pPr>
                              <w:spacing w:line="357" w:lineRule="auto"/>
                              <w:ind w:left="102" w:right="107" w:firstLine="444"/>
                              <w:jc w:val="both"/>
                              <w:rPr>
                                <w:rFonts w:ascii="宋体" w:eastAsia="宋体"/>
                                <w:sz w:val="21"/>
                              </w:rPr>
                            </w:pPr>
                            <w:r>
                              <w:rPr>
                                <w:rFonts w:hint="eastAsia" w:ascii="宋体" w:eastAsia="宋体"/>
                                <w:b/>
                                <w:spacing w:val="16"/>
                                <w:w w:val="99"/>
                                <w:sz w:val="21"/>
                              </w:rPr>
                              <w:t>环境治理项目。</w:t>
                            </w:r>
                            <w:r>
                              <w:rPr>
                                <w:rFonts w:ascii="宋体" w:eastAsia="宋体"/>
                                <w:spacing w:val="13"/>
                                <w:w w:val="99"/>
                                <w:sz w:val="21"/>
                              </w:rPr>
                              <w:t>良田镇镇区污水处理设施和配套管网、良田镇东线排沟硬化、良渠沟综合整治、金凤区农村水系综合治理、四二干沟综合整治、第四污水处理厂扩建、餐厨废弃物污水处理能力提升技术改造、餐厨废弃物资源化利用和无害化处理、良田镇人居公共</w:t>
                            </w:r>
                          </w:p>
                          <w:p w14:paraId="4E23D497">
                            <w:pPr>
                              <w:spacing w:line="266" w:lineRule="exact"/>
                              <w:ind w:left="102"/>
                              <w:rPr>
                                <w:rFonts w:ascii="宋体" w:eastAsia="宋体"/>
                                <w:sz w:val="21"/>
                              </w:rPr>
                            </w:pPr>
                            <w:r>
                              <w:rPr>
                                <w:rFonts w:ascii="宋体" w:eastAsia="宋体"/>
                                <w:spacing w:val="9"/>
                                <w:w w:val="95"/>
                                <w:sz w:val="21"/>
                              </w:rPr>
                              <w:t>卫生环境改造提升及新型城镇化、火车站广场公园景观湖湖底防渗及基础设施改造等项目。</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3.45pt;margin-top:53.4pt;height:216.1pt;width:448.4pt;mso-position-horizontal-relative:page;z-index:-251611136;mso-width-relative:page;mso-height-relative:page;" filled="f" stroked="t" coordsize="21600,21600" o:gfxdata="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x+juPYAAAADAEAAA8AAAAAAAAAAQAgAAAAIgAA&#10;AGRycy9kb3ducmV2LnhtbFBLAQIUABQAAAAIAIdO4kBsriPDQQIAAGoEAAAOAAAAAAAAAAEAIAAA&#10;ACcBAABkcnMvZTJvRG9jLnhtbFBLBQYAAAAABgAGAFkBAADaBQAAAAA=&#10;">
                <v:fill on="f" focussize="0,0"/>
                <v:stroke weight="0.48pt" color="#000000" miterlimit="8" joinstyle="miter"/>
                <v:imagedata o:title=""/>
                <o:lock v:ext="edit" aspectratio="f"/>
                <v:textbox inset="0mm,0mm,0mm,0mm">
                  <w:txbxContent>
                    <w:p w14:paraId="2783A05D">
                      <w:pPr>
                        <w:spacing w:before="3"/>
                        <w:ind w:left="2742" w:right="2751"/>
                        <w:jc w:val="center"/>
                        <w:rPr>
                          <w:rFonts w:ascii="黑体" w:eastAsia="黑体"/>
                          <w:sz w:val="24"/>
                        </w:rPr>
                      </w:pPr>
                      <w:r>
                        <w:rPr>
                          <w:rFonts w:ascii="黑体" w:eastAsia="黑体"/>
                          <w:spacing w:val="-12"/>
                          <w:sz w:val="24"/>
                        </w:rPr>
                        <w:t xml:space="preserve">专栏 </w:t>
                      </w:r>
                      <w:r>
                        <w:rPr>
                          <w:rFonts w:ascii="黑体" w:eastAsia="黑体"/>
                          <w:sz w:val="24"/>
                        </w:rPr>
                        <w:t>6</w:t>
                      </w:r>
                      <w:r>
                        <w:rPr>
                          <w:rFonts w:ascii="黑体" w:eastAsia="黑体"/>
                          <w:spacing w:val="20"/>
                          <w:sz w:val="24"/>
                        </w:rPr>
                        <w:t xml:space="preserve"> 绿色发展重点建设项目</w:t>
                      </w:r>
                    </w:p>
                    <w:p w14:paraId="7FABEA4C">
                      <w:pPr>
                        <w:spacing w:before="111" w:line="357" w:lineRule="auto"/>
                        <w:ind w:left="102" w:right="2" w:firstLine="444"/>
                        <w:rPr>
                          <w:rFonts w:ascii="宋体" w:eastAsia="宋体"/>
                          <w:sz w:val="21"/>
                        </w:rPr>
                      </w:pPr>
                      <w:r>
                        <w:rPr>
                          <w:rFonts w:hint="eastAsia" w:ascii="宋体" w:eastAsia="宋体"/>
                          <w:b/>
                          <w:spacing w:val="15"/>
                          <w:w w:val="99"/>
                          <w:sz w:val="21"/>
                        </w:rPr>
                        <w:t>宜居公园城市建设项目。</w:t>
                      </w:r>
                      <w:r>
                        <w:rPr>
                          <w:rFonts w:ascii="宋体" w:eastAsia="宋体"/>
                          <w:spacing w:val="13"/>
                          <w:w w:val="99"/>
                          <w:sz w:val="21"/>
                        </w:rPr>
                        <w:t>自治区北部绿色发展区防护林、银川典农河及连通湖泊湿地</w:t>
                      </w:r>
                      <w:r>
                        <w:rPr>
                          <w:rFonts w:ascii="宋体" w:eastAsia="宋体"/>
                          <w:spacing w:val="11"/>
                          <w:w w:val="99"/>
                          <w:sz w:val="21"/>
                        </w:rPr>
                        <w:t>修复、银川元宝湖湿地公园（北郊公园</w:t>
                      </w:r>
                      <w:r>
                        <w:rPr>
                          <w:rFonts w:ascii="宋体" w:eastAsia="宋体"/>
                          <w:spacing w:val="-99"/>
                          <w:w w:val="99"/>
                          <w:sz w:val="21"/>
                        </w:rPr>
                        <w:t>）</w:t>
                      </w:r>
                      <w:r>
                        <w:rPr>
                          <w:rFonts w:ascii="宋体" w:eastAsia="宋体"/>
                          <w:spacing w:val="8"/>
                          <w:w w:val="99"/>
                          <w:sz w:val="21"/>
                        </w:rPr>
                        <w:t>、南郊湿地公园、阅海北部湿地公园、正源南街湿</w:t>
                      </w:r>
                      <w:r>
                        <w:rPr>
                          <w:rFonts w:ascii="宋体" w:eastAsia="宋体"/>
                          <w:spacing w:val="14"/>
                          <w:w w:val="99"/>
                          <w:sz w:val="21"/>
                        </w:rPr>
                        <w:t>地公园、七子连湖公园、七子连湖湿地生态修复、银川国家湿地公园（</w:t>
                      </w:r>
                      <w:r>
                        <w:rPr>
                          <w:rFonts w:ascii="宋体" w:eastAsia="宋体"/>
                          <w:spacing w:val="15"/>
                          <w:w w:val="99"/>
                          <w:sz w:val="21"/>
                        </w:rPr>
                        <w:t>阅海园区</w:t>
                      </w:r>
                      <w:r>
                        <w:rPr>
                          <w:rFonts w:ascii="宋体" w:eastAsia="宋体"/>
                          <w:spacing w:val="14"/>
                          <w:w w:val="99"/>
                          <w:sz w:val="21"/>
                        </w:rPr>
                        <w:t>）</w:t>
                      </w:r>
                      <w:r>
                        <w:rPr>
                          <w:rFonts w:ascii="宋体" w:eastAsia="宋体"/>
                          <w:spacing w:val="10"/>
                          <w:w w:val="99"/>
                          <w:sz w:val="21"/>
                        </w:rPr>
                        <w:t>水生态</w:t>
                      </w:r>
                      <w:r>
                        <w:rPr>
                          <w:rFonts w:ascii="宋体" w:eastAsia="宋体"/>
                          <w:spacing w:val="13"/>
                          <w:w w:val="99"/>
                          <w:sz w:val="21"/>
                        </w:rPr>
                        <w:t>修复与治理、良田镇胭川湖湿地恢复、金凤区景观改造提升绿化、城市道路配套绿化、城</w:t>
                      </w:r>
                      <w:r>
                        <w:rPr>
                          <w:rFonts w:ascii="宋体" w:eastAsia="宋体"/>
                          <w:spacing w:val="4"/>
                          <w:w w:val="99"/>
                          <w:sz w:val="21"/>
                        </w:rPr>
                        <w:t>市小微公园建设、两镇庄点绿化、良田渠城市水资源利用保护、泰康街</w:t>
                      </w:r>
                      <w:r>
                        <w:rPr>
                          <w:rFonts w:ascii="宋体" w:eastAsia="宋体"/>
                          <w:spacing w:val="11"/>
                          <w:w w:val="99"/>
                          <w:sz w:val="21"/>
                        </w:rPr>
                        <w:t>（雪绒巷</w:t>
                      </w:r>
                      <w:r>
                        <w:rPr>
                          <w:rFonts w:ascii="Calibri" w:eastAsia="Calibri"/>
                          <w:spacing w:val="5"/>
                          <w:w w:val="99"/>
                          <w:sz w:val="21"/>
                        </w:rPr>
                        <w:t>-</w:t>
                      </w:r>
                      <w:r>
                        <w:rPr>
                          <w:rFonts w:ascii="宋体" w:eastAsia="宋体"/>
                          <w:spacing w:val="12"/>
                          <w:w w:val="99"/>
                          <w:sz w:val="21"/>
                        </w:rPr>
                        <w:t>贺兰山路</w:t>
                      </w:r>
                      <w:r>
                        <w:rPr>
                          <w:rFonts w:ascii="宋体" w:eastAsia="宋体"/>
                          <w:w w:val="99"/>
                          <w:sz w:val="21"/>
                        </w:rPr>
                        <w:t>）</w:t>
                      </w:r>
                      <w:r>
                        <w:rPr>
                          <w:rFonts w:ascii="宋体" w:eastAsia="宋体"/>
                          <w:spacing w:val="9"/>
                          <w:w w:val="99"/>
                          <w:sz w:val="21"/>
                        </w:rPr>
                        <w:t>慢行绿道等项目。</w:t>
                      </w:r>
                    </w:p>
                    <w:p w14:paraId="01484FA3">
                      <w:pPr>
                        <w:spacing w:line="357" w:lineRule="auto"/>
                        <w:ind w:left="102" w:right="107" w:firstLine="444"/>
                        <w:jc w:val="both"/>
                        <w:rPr>
                          <w:rFonts w:ascii="宋体" w:eastAsia="宋体"/>
                          <w:sz w:val="21"/>
                        </w:rPr>
                      </w:pPr>
                      <w:r>
                        <w:rPr>
                          <w:rFonts w:hint="eastAsia" w:ascii="宋体" w:eastAsia="宋体"/>
                          <w:b/>
                          <w:spacing w:val="16"/>
                          <w:w w:val="99"/>
                          <w:sz w:val="21"/>
                        </w:rPr>
                        <w:t>环境治理项目。</w:t>
                      </w:r>
                      <w:r>
                        <w:rPr>
                          <w:rFonts w:ascii="宋体" w:eastAsia="宋体"/>
                          <w:spacing w:val="13"/>
                          <w:w w:val="99"/>
                          <w:sz w:val="21"/>
                        </w:rPr>
                        <w:t>良田镇镇区污水处理设施和配套管网、良田镇东线排沟硬化、良渠沟综合整治、金凤区农村水系综合治理、四二干沟综合整治、第四污水处理厂扩建、餐厨废弃物污水处理能力提升技术改造、餐厨废弃物资源化利用和无害化处理、良田镇人居公共</w:t>
                      </w:r>
                    </w:p>
                    <w:p w14:paraId="4E23D497">
                      <w:pPr>
                        <w:spacing w:line="266" w:lineRule="exact"/>
                        <w:ind w:left="102"/>
                        <w:rPr>
                          <w:rFonts w:ascii="宋体" w:eastAsia="宋体"/>
                          <w:sz w:val="21"/>
                        </w:rPr>
                      </w:pPr>
                      <w:r>
                        <w:rPr>
                          <w:rFonts w:ascii="宋体" w:eastAsia="宋体"/>
                          <w:spacing w:val="9"/>
                          <w:w w:val="95"/>
                          <w:sz w:val="21"/>
                        </w:rPr>
                        <w:t>卫生环境改造提升及新型城镇化、火车站广场公园景观湖湖底防渗及基础设施改造等项目。</w:t>
                      </w:r>
                    </w:p>
                  </w:txbxContent>
                </v:textbox>
              </v:shape>
            </w:pict>
          </mc:Fallback>
        </mc:AlternateContent>
      </w:r>
      <w:r>
        <w:rPr>
          <w:spacing w:val="14"/>
          <w:w w:val="95"/>
          <w:sz w:val="32"/>
          <w:szCs w:val="32"/>
        </w:rPr>
        <w:t>务满意</w:t>
      </w:r>
      <w:r>
        <w:rPr>
          <w:spacing w:val="12"/>
          <w:w w:val="95"/>
          <w:sz w:val="32"/>
          <w:szCs w:val="32"/>
        </w:rPr>
        <w:t>率</w:t>
      </w:r>
      <w:r>
        <w:rPr>
          <w:spacing w:val="14"/>
          <w:w w:val="95"/>
          <w:sz w:val="32"/>
          <w:szCs w:val="32"/>
        </w:rPr>
        <w:t>不低</w:t>
      </w:r>
      <w:r>
        <w:rPr>
          <w:w w:val="95"/>
          <w:sz w:val="32"/>
          <w:szCs w:val="32"/>
        </w:rPr>
        <w:t>于</w:t>
      </w:r>
      <w:r>
        <w:rPr>
          <w:spacing w:val="16"/>
          <w:sz w:val="32"/>
          <w:szCs w:val="32"/>
        </w:rPr>
        <w:t xml:space="preserve">  </w:t>
      </w:r>
      <w:r>
        <w:rPr>
          <w:rFonts w:ascii="Times New Roman" w:eastAsia="Times New Roman"/>
          <w:w w:val="95"/>
          <w:sz w:val="32"/>
          <w:szCs w:val="32"/>
        </w:rPr>
        <w:t>90%</w:t>
      </w:r>
      <w:r>
        <w:rPr>
          <w:w w:val="95"/>
          <w:sz w:val="32"/>
          <w:szCs w:val="32"/>
        </w:rPr>
        <w:t>；</w:t>
      </w:r>
      <w:r>
        <w:rPr>
          <w:rFonts w:ascii="Times New Roman" w:eastAsia="Times New Roman"/>
          <w:w w:val="95"/>
          <w:sz w:val="32"/>
          <w:szCs w:val="32"/>
        </w:rPr>
        <w:t>60%</w:t>
      </w:r>
      <w:r>
        <w:rPr>
          <w:spacing w:val="14"/>
          <w:w w:val="95"/>
          <w:sz w:val="32"/>
          <w:szCs w:val="32"/>
        </w:rPr>
        <w:t>以上的</w:t>
      </w:r>
      <w:r>
        <w:rPr>
          <w:spacing w:val="12"/>
          <w:w w:val="95"/>
          <w:sz w:val="32"/>
          <w:szCs w:val="32"/>
        </w:rPr>
        <w:t>大</w:t>
      </w:r>
      <w:r>
        <w:rPr>
          <w:spacing w:val="14"/>
          <w:w w:val="95"/>
          <w:sz w:val="32"/>
          <w:szCs w:val="32"/>
        </w:rPr>
        <w:t>型商场达到绿色</w:t>
      </w:r>
      <w:r>
        <w:rPr>
          <w:spacing w:val="12"/>
          <w:w w:val="95"/>
          <w:sz w:val="32"/>
          <w:szCs w:val="32"/>
        </w:rPr>
        <w:t>商</w:t>
      </w:r>
      <w:r>
        <w:rPr>
          <w:spacing w:val="14"/>
          <w:w w:val="95"/>
          <w:sz w:val="32"/>
          <w:szCs w:val="32"/>
        </w:rPr>
        <w:t>场创</w:t>
      </w:r>
      <w:r>
        <w:rPr>
          <w:w w:val="95"/>
          <w:sz w:val="32"/>
          <w:szCs w:val="32"/>
        </w:rPr>
        <w:t>建</w:t>
      </w:r>
      <w:r>
        <w:rPr>
          <w:spacing w:val="12"/>
          <w:sz w:val="32"/>
          <w:szCs w:val="32"/>
        </w:rPr>
        <w:t>要求，新</w:t>
      </w:r>
      <w:r>
        <w:rPr>
          <w:spacing w:val="14"/>
          <w:sz w:val="32"/>
          <w:szCs w:val="32"/>
        </w:rPr>
        <w:t>建</w:t>
      </w:r>
      <w:r>
        <w:rPr>
          <w:spacing w:val="12"/>
          <w:sz w:val="32"/>
          <w:szCs w:val="32"/>
        </w:rPr>
        <w:t>建筑</w:t>
      </w:r>
      <w:r>
        <w:rPr>
          <w:spacing w:val="14"/>
          <w:sz w:val="32"/>
          <w:szCs w:val="32"/>
        </w:rPr>
        <w:t>中</w:t>
      </w:r>
      <w:r>
        <w:rPr>
          <w:spacing w:val="12"/>
          <w:sz w:val="32"/>
          <w:szCs w:val="32"/>
        </w:rPr>
        <w:t>绿色</w:t>
      </w:r>
      <w:r>
        <w:rPr>
          <w:spacing w:val="14"/>
          <w:sz w:val="32"/>
          <w:szCs w:val="32"/>
        </w:rPr>
        <w:t>建</w:t>
      </w:r>
      <w:r>
        <w:rPr>
          <w:spacing w:val="12"/>
          <w:sz w:val="32"/>
          <w:szCs w:val="32"/>
        </w:rPr>
        <w:t>筑面</w:t>
      </w:r>
      <w:r>
        <w:rPr>
          <w:spacing w:val="14"/>
          <w:sz w:val="32"/>
          <w:szCs w:val="32"/>
        </w:rPr>
        <w:t>积</w:t>
      </w:r>
      <w:r>
        <w:rPr>
          <w:spacing w:val="12"/>
          <w:sz w:val="32"/>
          <w:szCs w:val="32"/>
        </w:rPr>
        <w:t>占比</w:t>
      </w:r>
      <w:r>
        <w:rPr>
          <w:spacing w:val="1"/>
          <w:sz w:val="32"/>
          <w:szCs w:val="32"/>
        </w:rPr>
        <w:t xml:space="preserve">达到 </w:t>
      </w:r>
      <w:r>
        <w:rPr>
          <w:rFonts w:ascii="Times New Roman" w:eastAsia="Times New Roman"/>
          <w:sz w:val="32"/>
          <w:szCs w:val="32"/>
        </w:rPr>
        <w:t>80%</w:t>
      </w:r>
      <w:r>
        <w:rPr>
          <w:sz w:val="32"/>
          <w:szCs w:val="32"/>
        </w:rPr>
        <w:t>。</w:t>
      </w:r>
    </w:p>
    <w:p w14:paraId="72D43D1A">
      <w:pPr>
        <w:spacing w:line="340" w:lineRule="auto"/>
        <w:sectPr>
          <w:pgSz w:w="11910" w:h="16840"/>
          <w:pgMar w:top="1780" w:right="1200" w:bottom="1160" w:left="1260" w:header="0" w:footer="975" w:gutter="0"/>
          <w:cols w:space="720" w:num="1"/>
        </w:sectPr>
      </w:pPr>
    </w:p>
    <w:p w14:paraId="181D6339">
      <w:pPr>
        <w:tabs>
          <w:tab w:val="left" w:pos="2527"/>
        </w:tabs>
        <w:spacing w:line="615" w:lineRule="exact"/>
        <w:ind w:left="1082"/>
        <w:outlineLvl w:val="0"/>
        <w:rPr>
          <w:rFonts w:ascii="方正小标宋简体" w:hAnsi="方正小标宋简体" w:eastAsia="方正小标宋简体" w:cs="方正小标宋简体"/>
          <w:b/>
          <w:bCs/>
          <w:sz w:val="36"/>
          <w:szCs w:val="36"/>
        </w:rPr>
      </w:pPr>
      <w:r>
        <w:rPr>
          <w:rFonts w:ascii="方正小标宋简体" w:hAnsi="方正小标宋简体" w:eastAsia="方正小标宋简体" w:cs="方正小标宋简体"/>
          <w:b/>
          <w:bCs/>
          <w:w w:val="95"/>
          <w:sz w:val="36"/>
          <w:szCs w:val="36"/>
        </w:rPr>
        <w:t>第六</w:t>
      </w:r>
      <w:r>
        <w:rPr>
          <w:rFonts w:ascii="方正小标宋简体" w:hAnsi="方正小标宋简体" w:eastAsia="方正小标宋简体" w:cs="方正小标宋简体"/>
          <w:b/>
          <w:bCs/>
          <w:spacing w:val="-10"/>
          <w:w w:val="95"/>
          <w:sz w:val="36"/>
          <w:szCs w:val="36"/>
        </w:rPr>
        <w:t>篇</w:t>
      </w:r>
      <w:r>
        <w:rPr>
          <w:rFonts w:ascii="方正小标宋简体" w:hAnsi="方正小标宋简体" w:eastAsia="方正小标宋简体" w:cs="方正小标宋简体"/>
          <w:b/>
          <w:bCs/>
          <w:sz w:val="36"/>
          <w:szCs w:val="36"/>
        </w:rPr>
        <w:tab/>
      </w:r>
      <w:r>
        <w:rPr>
          <w:rFonts w:ascii="方正小标宋简体" w:hAnsi="方正小标宋简体" w:eastAsia="方正小标宋简体" w:cs="方正小标宋简体"/>
          <w:b/>
          <w:bCs/>
          <w:w w:val="95"/>
          <w:sz w:val="36"/>
          <w:szCs w:val="36"/>
        </w:rPr>
        <w:t>深化改革开放，优化高效发展新环</w:t>
      </w:r>
      <w:r>
        <w:rPr>
          <w:rFonts w:ascii="方正小标宋简体" w:hAnsi="方正小标宋简体" w:eastAsia="方正小标宋简体" w:cs="方正小标宋简体"/>
          <w:b/>
          <w:bCs/>
          <w:spacing w:val="-10"/>
          <w:w w:val="95"/>
          <w:sz w:val="36"/>
          <w:szCs w:val="36"/>
        </w:rPr>
        <w:t>境</w:t>
      </w:r>
    </w:p>
    <w:p w14:paraId="3A744B5D">
      <w:pPr>
        <w:spacing w:before="9"/>
        <w:rPr>
          <w:rFonts w:ascii="方正小标宋简体"/>
          <w:b/>
          <w:sz w:val="33"/>
          <w:szCs w:val="32"/>
        </w:rPr>
      </w:pPr>
    </w:p>
    <w:p w14:paraId="1A7BF778">
      <w:pPr>
        <w:tabs>
          <w:tab w:val="left" w:pos="3851"/>
        </w:tabs>
        <w:ind w:left="2412"/>
        <w:outlineLvl w:val="1"/>
        <w:rPr>
          <w:rFonts w:ascii="宋体" w:hAnsi="宋体" w:eastAsia="宋体" w:cs="宋体"/>
          <w:sz w:val="36"/>
          <w:szCs w:val="36"/>
        </w:rPr>
      </w:pPr>
      <w:r>
        <w:rPr>
          <w:rFonts w:ascii="宋体" w:hAnsi="宋体" w:eastAsia="宋体" w:cs="宋体"/>
          <w:sz w:val="36"/>
          <w:szCs w:val="36"/>
        </w:rPr>
        <w:t>第十</w:t>
      </w:r>
      <w:r>
        <w:rPr>
          <w:rFonts w:ascii="宋体" w:hAnsi="宋体" w:eastAsia="宋体" w:cs="宋体"/>
          <w:spacing w:val="-10"/>
          <w:sz w:val="36"/>
          <w:szCs w:val="36"/>
        </w:rPr>
        <w:t>章</w:t>
      </w:r>
      <w:r>
        <w:rPr>
          <w:rFonts w:ascii="宋体" w:hAnsi="宋体" w:eastAsia="宋体" w:cs="宋体"/>
          <w:sz w:val="36"/>
          <w:szCs w:val="36"/>
        </w:rPr>
        <w:tab/>
      </w:r>
      <w:r>
        <w:rPr>
          <w:rFonts w:ascii="宋体" w:hAnsi="宋体" w:eastAsia="宋体" w:cs="宋体"/>
          <w:sz w:val="36"/>
          <w:szCs w:val="36"/>
        </w:rPr>
        <w:t>全方位深化对外开放合</w:t>
      </w:r>
      <w:r>
        <w:rPr>
          <w:rFonts w:ascii="宋体" w:hAnsi="宋体" w:eastAsia="宋体" w:cs="宋体"/>
          <w:spacing w:val="-10"/>
          <w:sz w:val="36"/>
          <w:szCs w:val="36"/>
        </w:rPr>
        <w:t>作</w:t>
      </w:r>
    </w:p>
    <w:p w14:paraId="20D1716A">
      <w:pPr>
        <w:spacing w:before="313" w:line="338" w:lineRule="auto"/>
        <w:ind w:left="213" w:right="278" w:firstLine="664"/>
        <w:jc w:val="both"/>
        <w:rPr>
          <w:sz w:val="32"/>
          <w:szCs w:val="32"/>
        </w:rPr>
      </w:pPr>
      <w:r>
        <w:rPr>
          <w:spacing w:val="10"/>
          <w:w w:val="99"/>
          <w:sz w:val="32"/>
          <w:szCs w:val="32"/>
        </w:rPr>
        <w:t>充分认识习近平总书记两次视察宁夏时提出的“宁夏地处西部内陆，虽然不沿边、不靠海，但照样具备开放的条件”的</w:t>
      </w:r>
      <w:r>
        <w:rPr>
          <w:spacing w:val="11"/>
          <w:w w:val="99"/>
          <w:sz w:val="32"/>
          <w:szCs w:val="32"/>
        </w:rPr>
        <w:t>重要论断，破除开放发展“不是时机、没有优势、难成气候”</w:t>
      </w:r>
      <w:r>
        <w:rPr>
          <w:spacing w:val="8"/>
          <w:w w:val="99"/>
          <w:sz w:val="32"/>
          <w:szCs w:val="32"/>
        </w:rPr>
        <w:t>的错误认识，不封闭、不僵化、不守旧，深化改革和扩大开放</w:t>
      </w:r>
      <w:r>
        <w:rPr>
          <w:spacing w:val="11"/>
          <w:w w:val="99"/>
          <w:sz w:val="32"/>
          <w:szCs w:val="32"/>
        </w:rPr>
        <w:t>同步推进，积极融入国内大循环、主动参与国际国内双循环，</w:t>
      </w:r>
      <w:r>
        <w:rPr>
          <w:spacing w:val="10"/>
          <w:w w:val="99"/>
          <w:sz w:val="32"/>
          <w:szCs w:val="32"/>
        </w:rPr>
        <w:t>建设海纳百川的开放包容的金凤，将金凤区打造成为自治区招</w:t>
      </w:r>
      <w:r>
        <w:rPr>
          <w:spacing w:val="11"/>
          <w:w w:val="99"/>
          <w:sz w:val="32"/>
          <w:szCs w:val="32"/>
        </w:rPr>
        <w:t>商引资集中展示中心和银川市城市国际化形象窗口。</w:t>
      </w:r>
    </w:p>
    <w:p w14:paraId="1DF8B98A">
      <w:pPr>
        <w:spacing w:before="154"/>
        <w:ind w:left="2356"/>
        <w:outlineLvl w:val="2"/>
        <w:rPr>
          <w:rFonts w:ascii="宋体" w:hAnsi="宋体" w:eastAsia="宋体" w:cs="宋体"/>
          <w:b/>
          <w:bCs/>
          <w:sz w:val="32"/>
          <w:szCs w:val="32"/>
        </w:rPr>
      </w:pPr>
      <w:r>
        <w:rPr>
          <w:rFonts w:ascii="宋体" w:hAnsi="宋体" w:eastAsia="宋体" w:cs="宋体"/>
          <w:b/>
          <w:bCs/>
          <w:spacing w:val="14"/>
          <w:sz w:val="32"/>
          <w:szCs w:val="32"/>
        </w:rPr>
        <w:t>第一</w:t>
      </w:r>
      <w:r>
        <w:rPr>
          <w:rFonts w:ascii="宋体" w:hAnsi="宋体" w:eastAsia="宋体" w:cs="宋体"/>
          <w:b/>
          <w:bCs/>
          <w:spacing w:val="56"/>
          <w:sz w:val="32"/>
          <w:szCs w:val="32"/>
        </w:rPr>
        <w:t>节 提</w:t>
      </w:r>
      <w:r>
        <w:rPr>
          <w:rFonts w:ascii="宋体" w:hAnsi="宋体" w:eastAsia="宋体" w:cs="宋体"/>
          <w:b/>
          <w:bCs/>
          <w:spacing w:val="14"/>
          <w:sz w:val="32"/>
          <w:szCs w:val="32"/>
        </w:rPr>
        <w:t>升开</w:t>
      </w:r>
      <w:r>
        <w:rPr>
          <w:rFonts w:ascii="宋体" w:hAnsi="宋体" w:eastAsia="宋体" w:cs="宋体"/>
          <w:b/>
          <w:bCs/>
          <w:spacing w:val="12"/>
          <w:sz w:val="32"/>
          <w:szCs w:val="32"/>
        </w:rPr>
        <w:t>放</w:t>
      </w:r>
      <w:r>
        <w:rPr>
          <w:rFonts w:ascii="宋体" w:hAnsi="宋体" w:eastAsia="宋体" w:cs="宋体"/>
          <w:b/>
          <w:bCs/>
          <w:spacing w:val="14"/>
          <w:sz w:val="32"/>
          <w:szCs w:val="32"/>
        </w:rPr>
        <w:t>平台支撑能</w:t>
      </w:r>
      <w:r>
        <w:rPr>
          <w:rFonts w:ascii="宋体" w:hAnsi="宋体" w:eastAsia="宋体" w:cs="宋体"/>
          <w:b/>
          <w:bCs/>
          <w:spacing w:val="-10"/>
          <w:sz w:val="32"/>
          <w:szCs w:val="32"/>
        </w:rPr>
        <w:t>力</w:t>
      </w:r>
    </w:p>
    <w:p w14:paraId="69F2A84A">
      <w:pPr>
        <w:spacing w:before="1"/>
        <w:rPr>
          <w:rFonts w:ascii="宋体"/>
          <w:b/>
          <w:sz w:val="25"/>
          <w:szCs w:val="32"/>
        </w:rPr>
      </w:pPr>
    </w:p>
    <w:p w14:paraId="1D2F11D3">
      <w:pPr>
        <w:spacing w:line="338" w:lineRule="auto"/>
        <w:ind w:left="213" w:right="117" w:firstLine="664"/>
        <w:rPr>
          <w:sz w:val="32"/>
          <w:szCs w:val="32"/>
        </w:rPr>
      </w:pPr>
      <w:r>
        <w:rPr>
          <w:spacing w:val="25"/>
          <w:sz w:val="32"/>
          <w:szCs w:val="32"/>
        </w:rPr>
        <w:t>发挥宁夏内陆开放型经济试验区核心区和银川跨境电</w:t>
      </w:r>
      <w:r>
        <w:rPr>
          <w:sz w:val="32"/>
          <w:szCs w:val="32"/>
        </w:rPr>
        <w:t>子</w:t>
      </w:r>
      <w:r>
        <w:rPr>
          <w:spacing w:val="12"/>
          <w:sz w:val="32"/>
          <w:szCs w:val="32"/>
        </w:rPr>
        <w:t>商务综合试验区的优势，借助中阿博览会永久会址所在</w:t>
      </w:r>
      <w:r>
        <w:rPr>
          <w:spacing w:val="3"/>
          <w:sz w:val="32"/>
          <w:szCs w:val="32"/>
        </w:rPr>
        <w:t>地“金</w:t>
      </w:r>
      <w:r>
        <w:rPr>
          <w:spacing w:val="17"/>
          <w:sz w:val="32"/>
          <w:szCs w:val="32"/>
        </w:rPr>
        <w:t>字招牌</w:t>
      </w:r>
      <w:r>
        <w:rPr>
          <w:spacing w:val="-65"/>
          <w:sz w:val="32"/>
          <w:szCs w:val="32"/>
        </w:rPr>
        <w:t>”，</w:t>
      </w:r>
      <w:r>
        <w:rPr>
          <w:spacing w:val="17"/>
          <w:sz w:val="32"/>
          <w:szCs w:val="32"/>
        </w:rPr>
        <w:t>主动顺应“四向拓展，全域开放”立体全面</w:t>
      </w:r>
      <w:r>
        <w:rPr>
          <w:spacing w:val="11"/>
          <w:sz w:val="32"/>
          <w:szCs w:val="32"/>
        </w:rPr>
        <w:t>开放新</w:t>
      </w:r>
      <w:r>
        <w:rPr>
          <w:spacing w:val="17"/>
          <w:sz w:val="32"/>
          <w:szCs w:val="32"/>
        </w:rPr>
        <w:t>态势，以阅海湾中央商务区为重点推进“引进来</w:t>
      </w:r>
      <w:r>
        <w:rPr>
          <w:spacing w:val="-64"/>
          <w:sz w:val="32"/>
          <w:szCs w:val="32"/>
        </w:rPr>
        <w:t>”，</w:t>
      </w:r>
      <w:r>
        <w:rPr>
          <w:spacing w:val="17"/>
          <w:sz w:val="32"/>
          <w:szCs w:val="32"/>
        </w:rPr>
        <w:t>挖掘阅</w:t>
      </w:r>
      <w:r>
        <w:rPr>
          <w:sz w:val="32"/>
          <w:szCs w:val="32"/>
        </w:rPr>
        <w:t>海</w:t>
      </w:r>
      <w:r>
        <w:rPr>
          <w:spacing w:val="12"/>
          <w:sz w:val="32"/>
          <w:szCs w:val="32"/>
        </w:rPr>
        <w:t>湾中央商务区与丝路经济园融合发展的集聚平台载体优势</w:t>
      </w:r>
      <w:r>
        <w:rPr>
          <w:sz w:val="32"/>
          <w:szCs w:val="32"/>
        </w:rPr>
        <w:t>，发</w:t>
      </w:r>
      <w:r>
        <w:rPr>
          <w:spacing w:val="12"/>
          <w:sz w:val="32"/>
          <w:szCs w:val="32"/>
        </w:rPr>
        <w:t>挥阅海湾中央商务区（丝路经济园）融合发展的政策、资</w:t>
      </w:r>
      <w:r>
        <w:rPr>
          <w:spacing w:val="6"/>
          <w:sz w:val="32"/>
          <w:szCs w:val="32"/>
        </w:rPr>
        <w:t>金、</w:t>
      </w:r>
      <w:r>
        <w:rPr>
          <w:spacing w:val="8"/>
          <w:w w:val="95"/>
          <w:sz w:val="32"/>
          <w:szCs w:val="32"/>
        </w:rPr>
        <w:t>人力、空间</w:t>
      </w:r>
      <w:r>
        <w:rPr>
          <w:spacing w:val="12"/>
          <w:w w:val="95"/>
          <w:sz w:val="32"/>
          <w:szCs w:val="32"/>
        </w:rPr>
        <w:t>等叠</w:t>
      </w:r>
      <w:r>
        <w:rPr>
          <w:spacing w:val="9"/>
          <w:w w:val="95"/>
          <w:sz w:val="32"/>
          <w:szCs w:val="32"/>
        </w:rPr>
        <w:t>加效应，完善</w:t>
      </w:r>
      <w:r>
        <w:rPr>
          <w:spacing w:val="12"/>
          <w:w w:val="95"/>
          <w:sz w:val="32"/>
          <w:szCs w:val="32"/>
        </w:rPr>
        <w:t>阅海湾中央商务</w:t>
      </w:r>
      <w:r>
        <w:rPr>
          <w:w w:val="95"/>
          <w:sz w:val="32"/>
          <w:szCs w:val="32"/>
        </w:rPr>
        <w:t>区</w:t>
      </w:r>
      <w:r>
        <w:rPr>
          <w:spacing w:val="12"/>
          <w:w w:val="95"/>
          <w:sz w:val="32"/>
          <w:szCs w:val="32"/>
        </w:rPr>
        <w:t>（丝路经济园</w:t>
      </w:r>
      <w:r>
        <w:rPr>
          <w:w w:val="95"/>
          <w:sz w:val="32"/>
          <w:szCs w:val="32"/>
        </w:rPr>
        <w:t>）</w:t>
      </w:r>
      <w:r>
        <w:rPr>
          <w:spacing w:val="17"/>
          <w:sz w:val="32"/>
          <w:szCs w:val="32"/>
        </w:rPr>
        <w:t>创新基地、人力资源产业园等平台功能，探索“园区</w:t>
      </w:r>
      <w:r>
        <w:rPr>
          <w:spacing w:val="10"/>
          <w:sz w:val="32"/>
          <w:szCs w:val="32"/>
        </w:rPr>
        <w:t>+</w:t>
      </w:r>
      <w:r>
        <w:rPr>
          <w:spacing w:val="17"/>
          <w:sz w:val="32"/>
          <w:szCs w:val="32"/>
        </w:rPr>
        <w:t>公司</w:t>
      </w:r>
      <w:r>
        <w:rPr>
          <w:sz w:val="32"/>
          <w:szCs w:val="32"/>
        </w:rPr>
        <w:t>”</w:t>
      </w:r>
      <w:r>
        <w:rPr>
          <w:spacing w:val="12"/>
          <w:sz w:val="32"/>
          <w:szCs w:val="32"/>
        </w:rPr>
        <w:t>运营模式，主动抢抓银川获批跨境电子商务综合试验区机</w:t>
      </w:r>
      <w:r>
        <w:rPr>
          <w:spacing w:val="6"/>
          <w:sz w:val="32"/>
          <w:szCs w:val="32"/>
        </w:rPr>
        <w:t>遇，</w:t>
      </w:r>
      <w:r>
        <w:rPr>
          <w:spacing w:val="12"/>
          <w:sz w:val="32"/>
          <w:szCs w:val="32"/>
        </w:rPr>
        <w:t>加快与银川经济技术开</w:t>
      </w:r>
      <w:r>
        <w:rPr>
          <w:spacing w:val="8"/>
          <w:sz w:val="32"/>
          <w:szCs w:val="32"/>
        </w:rPr>
        <w:t>发区、中关</w:t>
      </w:r>
      <w:r>
        <w:rPr>
          <w:spacing w:val="12"/>
          <w:sz w:val="32"/>
          <w:szCs w:val="32"/>
        </w:rPr>
        <w:t>村双创园等园区形成联动</w:t>
      </w:r>
      <w:r>
        <w:rPr>
          <w:sz w:val="32"/>
          <w:szCs w:val="32"/>
        </w:rPr>
        <w:t>发</w:t>
      </w:r>
      <w:r>
        <w:rPr>
          <w:spacing w:val="8"/>
          <w:sz w:val="32"/>
          <w:szCs w:val="32"/>
        </w:rPr>
        <w:t>展格局，主动</w:t>
      </w:r>
      <w:r>
        <w:rPr>
          <w:spacing w:val="12"/>
          <w:sz w:val="32"/>
          <w:szCs w:val="32"/>
        </w:rPr>
        <w:t>研究临空经</w:t>
      </w:r>
      <w:r>
        <w:rPr>
          <w:spacing w:val="9"/>
          <w:sz w:val="32"/>
          <w:szCs w:val="32"/>
        </w:rPr>
        <w:t>济、会展</w:t>
      </w:r>
      <w:r>
        <w:rPr>
          <w:spacing w:val="12"/>
          <w:sz w:val="32"/>
          <w:szCs w:val="32"/>
        </w:rPr>
        <w:t>平台及自贸区扩围蕴涵的</w:t>
      </w:r>
      <w:r>
        <w:rPr>
          <w:sz w:val="32"/>
          <w:szCs w:val="32"/>
        </w:rPr>
        <w:t>市</w:t>
      </w:r>
    </w:p>
    <w:p w14:paraId="31CB978E">
      <w:pPr>
        <w:spacing w:before="28" w:line="340" w:lineRule="auto"/>
        <w:ind w:left="113" w:right="115"/>
        <w:rPr>
          <w:sz w:val="32"/>
          <w:szCs w:val="32"/>
        </w:rPr>
      </w:pPr>
      <w:r>
        <w:rPr>
          <w:spacing w:val="-2"/>
          <w:w w:val="99"/>
          <w:sz w:val="32"/>
          <w:szCs w:val="32"/>
        </w:rPr>
        <w:t>场前景，推动产业、行业、企业全方位开放，促进资金、技术、</w:t>
      </w:r>
      <w:r>
        <w:rPr>
          <w:spacing w:val="10"/>
          <w:w w:val="99"/>
          <w:sz w:val="32"/>
          <w:szCs w:val="32"/>
        </w:rPr>
        <w:t>人才全要素流动。</w:t>
      </w:r>
    </w:p>
    <w:p w14:paraId="6A81FC7F">
      <w:pPr>
        <w:spacing w:before="136"/>
        <w:ind w:left="1758" w:right="1927"/>
        <w:jc w:val="center"/>
        <w:outlineLvl w:val="1"/>
        <w:rPr>
          <w:rFonts w:ascii="宋体" w:hAnsi="宋体" w:eastAsia="宋体" w:cs="宋体"/>
          <w:b/>
          <w:bCs/>
          <w:sz w:val="32"/>
          <w:szCs w:val="32"/>
        </w:rPr>
      </w:pPr>
      <w:r>
        <w:rPr>
          <w:rFonts w:ascii="宋体" w:hAnsi="宋体" w:eastAsia="宋体" w:cs="宋体"/>
          <w:b/>
          <w:bCs/>
          <w:spacing w:val="14"/>
          <w:sz w:val="32"/>
          <w:szCs w:val="32"/>
        </w:rPr>
        <w:t>第二</w:t>
      </w:r>
      <w:r>
        <w:rPr>
          <w:rFonts w:ascii="宋体" w:hAnsi="宋体" w:eastAsia="宋体" w:cs="宋体"/>
          <w:b/>
          <w:bCs/>
          <w:spacing w:val="56"/>
          <w:sz w:val="32"/>
          <w:szCs w:val="32"/>
        </w:rPr>
        <w:t>节 拓</w:t>
      </w:r>
      <w:r>
        <w:rPr>
          <w:rFonts w:ascii="宋体" w:hAnsi="宋体" w:eastAsia="宋体" w:cs="宋体"/>
          <w:b/>
          <w:bCs/>
          <w:spacing w:val="14"/>
          <w:sz w:val="32"/>
          <w:szCs w:val="32"/>
        </w:rPr>
        <w:t>宽对</w:t>
      </w:r>
      <w:r>
        <w:rPr>
          <w:rFonts w:ascii="宋体" w:hAnsi="宋体" w:eastAsia="宋体" w:cs="宋体"/>
          <w:b/>
          <w:bCs/>
          <w:spacing w:val="12"/>
          <w:sz w:val="32"/>
          <w:szCs w:val="32"/>
        </w:rPr>
        <w:t>外</w:t>
      </w:r>
      <w:r>
        <w:rPr>
          <w:rFonts w:ascii="宋体" w:hAnsi="宋体" w:eastAsia="宋体" w:cs="宋体"/>
          <w:b/>
          <w:bCs/>
          <w:spacing w:val="14"/>
          <w:sz w:val="32"/>
          <w:szCs w:val="32"/>
        </w:rPr>
        <w:t>开放合作渠</w:t>
      </w:r>
      <w:r>
        <w:rPr>
          <w:rFonts w:ascii="宋体" w:hAnsi="宋体" w:eastAsia="宋体" w:cs="宋体"/>
          <w:b/>
          <w:bCs/>
          <w:spacing w:val="-10"/>
          <w:sz w:val="32"/>
          <w:szCs w:val="32"/>
        </w:rPr>
        <w:t>道</w:t>
      </w:r>
    </w:p>
    <w:p w14:paraId="17C09325">
      <w:pPr>
        <w:spacing w:before="1"/>
        <w:rPr>
          <w:rFonts w:ascii="宋体"/>
          <w:b/>
          <w:sz w:val="25"/>
          <w:szCs w:val="32"/>
        </w:rPr>
      </w:pPr>
    </w:p>
    <w:p w14:paraId="51D9A159">
      <w:pPr>
        <w:spacing w:before="1" w:line="338" w:lineRule="auto"/>
        <w:ind w:left="113" w:right="120" w:firstLine="664"/>
        <w:rPr>
          <w:sz w:val="32"/>
          <w:szCs w:val="32"/>
        </w:rPr>
      </w:pPr>
      <w:r>
        <w:rPr>
          <w:b/>
          <w:spacing w:val="13"/>
          <w:sz w:val="32"/>
          <w:szCs w:val="32"/>
        </w:rPr>
        <w:t>融入</w:t>
      </w:r>
      <w:r>
        <w:rPr>
          <w:rFonts w:ascii="Calibri" w:hAnsi="Calibri" w:eastAsia="Calibri"/>
          <w:b/>
          <w:sz w:val="32"/>
          <w:szCs w:val="32"/>
        </w:rPr>
        <w:t>“</w:t>
      </w:r>
      <w:r>
        <w:rPr>
          <w:b/>
          <w:spacing w:val="13"/>
          <w:sz w:val="32"/>
          <w:szCs w:val="32"/>
        </w:rPr>
        <w:t>一带一路</w:t>
      </w:r>
      <w:r>
        <w:rPr>
          <w:rFonts w:ascii="Calibri" w:hAnsi="Calibri" w:eastAsia="Calibri"/>
          <w:b/>
          <w:sz w:val="32"/>
          <w:szCs w:val="32"/>
        </w:rPr>
        <w:t>”</w:t>
      </w:r>
      <w:r>
        <w:rPr>
          <w:b/>
          <w:spacing w:val="13"/>
          <w:sz w:val="32"/>
          <w:szCs w:val="32"/>
        </w:rPr>
        <w:t>建设。</w:t>
      </w:r>
      <w:r>
        <w:rPr>
          <w:spacing w:val="13"/>
          <w:sz w:val="32"/>
          <w:szCs w:val="32"/>
        </w:rPr>
        <w:t>把握</w:t>
      </w:r>
      <w:r>
        <w:rPr>
          <w:spacing w:val="12"/>
          <w:sz w:val="32"/>
          <w:szCs w:val="32"/>
        </w:rPr>
        <w:t>内</w:t>
      </w:r>
      <w:r>
        <w:rPr>
          <w:spacing w:val="13"/>
          <w:sz w:val="32"/>
          <w:szCs w:val="32"/>
        </w:rPr>
        <w:t>陆开放</w:t>
      </w:r>
      <w:r>
        <w:rPr>
          <w:spacing w:val="12"/>
          <w:sz w:val="32"/>
          <w:szCs w:val="32"/>
        </w:rPr>
        <w:t>型</w:t>
      </w:r>
      <w:r>
        <w:rPr>
          <w:spacing w:val="13"/>
          <w:sz w:val="32"/>
          <w:szCs w:val="32"/>
        </w:rPr>
        <w:t>经济试验</w:t>
      </w:r>
      <w:r>
        <w:rPr>
          <w:spacing w:val="12"/>
          <w:sz w:val="32"/>
          <w:szCs w:val="32"/>
        </w:rPr>
        <w:t>区</w:t>
      </w:r>
      <w:r>
        <w:rPr>
          <w:spacing w:val="13"/>
          <w:sz w:val="32"/>
          <w:szCs w:val="32"/>
        </w:rPr>
        <w:t>建设</w:t>
      </w:r>
      <w:r>
        <w:rPr>
          <w:sz w:val="32"/>
          <w:szCs w:val="32"/>
        </w:rPr>
        <w:t>契</w:t>
      </w:r>
      <w:r>
        <w:rPr>
          <w:spacing w:val="6"/>
          <w:sz w:val="32"/>
          <w:szCs w:val="32"/>
        </w:rPr>
        <w:t>机，</w:t>
      </w:r>
      <w:r>
        <w:rPr>
          <w:spacing w:val="12"/>
          <w:sz w:val="32"/>
          <w:szCs w:val="32"/>
        </w:rPr>
        <w:t>以中</w:t>
      </w:r>
      <w:r>
        <w:rPr>
          <w:spacing w:val="14"/>
          <w:sz w:val="32"/>
          <w:szCs w:val="32"/>
        </w:rPr>
        <w:t>阿</w:t>
      </w:r>
      <w:r>
        <w:rPr>
          <w:spacing w:val="12"/>
          <w:sz w:val="32"/>
          <w:szCs w:val="32"/>
        </w:rPr>
        <w:t>博览</w:t>
      </w:r>
      <w:r>
        <w:rPr>
          <w:spacing w:val="7"/>
          <w:sz w:val="32"/>
          <w:szCs w:val="32"/>
        </w:rPr>
        <w:t>会、</w:t>
      </w:r>
      <w:r>
        <w:rPr>
          <w:rFonts w:ascii="Calibri" w:hAnsi="Calibri" w:eastAsia="Calibri"/>
          <w:sz w:val="32"/>
          <w:szCs w:val="32"/>
        </w:rPr>
        <w:t xml:space="preserve">TMF </w:t>
      </w:r>
      <w:r>
        <w:rPr>
          <w:spacing w:val="12"/>
          <w:sz w:val="32"/>
          <w:szCs w:val="32"/>
        </w:rPr>
        <w:t>智</w:t>
      </w:r>
      <w:r>
        <w:rPr>
          <w:spacing w:val="14"/>
          <w:sz w:val="32"/>
          <w:szCs w:val="32"/>
        </w:rPr>
        <w:t>慧城</w:t>
      </w:r>
      <w:r>
        <w:rPr>
          <w:spacing w:val="12"/>
          <w:sz w:val="32"/>
          <w:szCs w:val="32"/>
        </w:rPr>
        <w:t>市峰会等</w:t>
      </w:r>
      <w:r>
        <w:rPr>
          <w:spacing w:val="14"/>
          <w:sz w:val="32"/>
          <w:szCs w:val="32"/>
        </w:rPr>
        <w:t>为</w:t>
      </w:r>
      <w:r>
        <w:rPr>
          <w:spacing w:val="12"/>
          <w:sz w:val="32"/>
          <w:szCs w:val="32"/>
        </w:rPr>
        <w:t>平台</w:t>
      </w:r>
      <w:r>
        <w:rPr>
          <w:spacing w:val="13"/>
          <w:sz w:val="32"/>
          <w:szCs w:val="32"/>
        </w:rPr>
        <w:t>着力推</w:t>
      </w:r>
      <w:r>
        <w:rPr>
          <w:spacing w:val="12"/>
          <w:sz w:val="32"/>
          <w:szCs w:val="32"/>
        </w:rPr>
        <w:t>进金</w:t>
      </w:r>
      <w:r>
        <w:rPr>
          <w:sz w:val="32"/>
          <w:szCs w:val="32"/>
        </w:rPr>
        <w:t>凤</w:t>
      </w:r>
      <w:r>
        <w:rPr>
          <w:spacing w:val="17"/>
          <w:sz w:val="32"/>
          <w:szCs w:val="32"/>
        </w:rPr>
        <w:t>企业“走出</w:t>
      </w:r>
      <w:r>
        <w:rPr>
          <w:spacing w:val="-37"/>
          <w:sz w:val="32"/>
          <w:szCs w:val="32"/>
        </w:rPr>
        <w:t>去”，</w:t>
      </w:r>
      <w:r>
        <w:rPr>
          <w:spacing w:val="17"/>
          <w:sz w:val="32"/>
          <w:szCs w:val="32"/>
        </w:rPr>
        <w:t>支持并协助企业抱团拓展“一带一路”沿</w:t>
      </w:r>
      <w:r>
        <w:rPr>
          <w:sz w:val="32"/>
          <w:szCs w:val="32"/>
        </w:rPr>
        <w:t>线</w:t>
      </w:r>
      <w:r>
        <w:rPr>
          <w:spacing w:val="8"/>
          <w:sz w:val="32"/>
          <w:szCs w:val="32"/>
        </w:rPr>
        <w:t>市场，积极</w:t>
      </w:r>
      <w:r>
        <w:rPr>
          <w:spacing w:val="12"/>
          <w:sz w:val="32"/>
          <w:szCs w:val="32"/>
        </w:rPr>
        <w:t>发展丝路电</w:t>
      </w:r>
      <w:r>
        <w:rPr>
          <w:spacing w:val="9"/>
          <w:sz w:val="32"/>
          <w:szCs w:val="32"/>
        </w:rPr>
        <w:t>商。深化</w:t>
      </w:r>
      <w:r>
        <w:rPr>
          <w:spacing w:val="12"/>
          <w:sz w:val="32"/>
          <w:szCs w:val="32"/>
        </w:rPr>
        <w:t>与沿海发达地区交</w:t>
      </w:r>
      <w:r>
        <w:rPr>
          <w:spacing w:val="7"/>
          <w:sz w:val="32"/>
          <w:szCs w:val="32"/>
        </w:rPr>
        <w:t>流合作，在</w:t>
      </w:r>
      <w:r>
        <w:rPr>
          <w:spacing w:val="12"/>
          <w:sz w:val="32"/>
          <w:szCs w:val="32"/>
        </w:rPr>
        <w:t>更宽领域融入全国乃至全球产业分工和市场体系。围</w:t>
      </w:r>
      <w:r>
        <w:rPr>
          <w:spacing w:val="8"/>
          <w:sz w:val="32"/>
          <w:szCs w:val="32"/>
        </w:rPr>
        <w:t>绕文创、</w:t>
      </w:r>
      <w:r>
        <w:rPr>
          <w:spacing w:val="12"/>
          <w:sz w:val="32"/>
          <w:szCs w:val="32"/>
        </w:rPr>
        <w:t>大健康、金融、电子商务等主导产业发展和新</w:t>
      </w:r>
      <w:r>
        <w:rPr>
          <w:spacing w:val="6"/>
          <w:sz w:val="32"/>
          <w:szCs w:val="32"/>
        </w:rPr>
        <w:t>经济、新动能培</w:t>
      </w:r>
      <w:r>
        <w:rPr>
          <w:spacing w:val="19"/>
          <w:sz w:val="32"/>
          <w:szCs w:val="32"/>
        </w:rPr>
        <w:t>育，瞄</w:t>
      </w:r>
      <w:r>
        <w:rPr>
          <w:spacing w:val="17"/>
          <w:sz w:val="32"/>
          <w:szCs w:val="32"/>
        </w:rPr>
        <w:t>准“</w:t>
      </w:r>
      <w:r>
        <w:rPr>
          <w:spacing w:val="19"/>
          <w:sz w:val="32"/>
          <w:szCs w:val="32"/>
        </w:rPr>
        <w:t>六</w:t>
      </w:r>
      <w:r>
        <w:rPr>
          <w:sz w:val="32"/>
          <w:szCs w:val="32"/>
        </w:rPr>
        <w:t xml:space="preserve">类 </w:t>
      </w:r>
      <w:r>
        <w:rPr>
          <w:rFonts w:ascii="Calibri" w:hAnsi="Calibri" w:eastAsia="Calibri"/>
          <w:sz w:val="32"/>
          <w:szCs w:val="32"/>
        </w:rPr>
        <w:t>500</w:t>
      </w:r>
      <w:r>
        <w:rPr>
          <w:rFonts w:ascii="Calibri" w:hAnsi="Calibri" w:eastAsia="Calibri"/>
          <w:spacing w:val="19"/>
          <w:sz w:val="32"/>
          <w:szCs w:val="32"/>
        </w:rPr>
        <w:t xml:space="preserve"> </w:t>
      </w:r>
      <w:r>
        <w:rPr>
          <w:spacing w:val="-64"/>
          <w:sz w:val="32"/>
          <w:szCs w:val="32"/>
        </w:rPr>
        <w:t>强”</w:t>
      </w:r>
      <w:r>
        <w:rPr>
          <w:spacing w:val="19"/>
          <w:sz w:val="32"/>
          <w:szCs w:val="32"/>
        </w:rPr>
        <w:t>、国</w:t>
      </w:r>
      <w:r>
        <w:rPr>
          <w:spacing w:val="17"/>
          <w:sz w:val="32"/>
          <w:szCs w:val="32"/>
        </w:rPr>
        <w:t>际</w:t>
      </w:r>
      <w:r>
        <w:rPr>
          <w:spacing w:val="19"/>
          <w:sz w:val="32"/>
          <w:szCs w:val="32"/>
        </w:rPr>
        <w:t>前沿技术</w:t>
      </w:r>
      <w:r>
        <w:rPr>
          <w:spacing w:val="17"/>
          <w:sz w:val="32"/>
          <w:szCs w:val="32"/>
        </w:rPr>
        <w:t>和</w:t>
      </w:r>
      <w:r>
        <w:rPr>
          <w:spacing w:val="19"/>
          <w:sz w:val="32"/>
          <w:szCs w:val="32"/>
        </w:rPr>
        <w:t>创新型企业，实</w:t>
      </w:r>
      <w:r>
        <w:rPr>
          <w:sz w:val="32"/>
          <w:szCs w:val="32"/>
        </w:rPr>
        <w:t xml:space="preserve">施 </w:t>
      </w:r>
      <w:r>
        <w:rPr>
          <w:spacing w:val="12"/>
          <w:w w:val="95"/>
          <w:sz w:val="32"/>
          <w:szCs w:val="32"/>
        </w:rPr>
        <w:t>“精</w:t>
      </w:r>
      <w:r>
        <w:rPr>
          <w:spacing w:val="6"/>
          <w:w w:val="95"/>
          <w:sz w:val="32"/>
          <w:szCs w:val="32"/>
        </w:rPr>
        <w:t>准引进”计划。密切</w:t>
      </w:r>
      <w:r>
        <w:rPr>
          <w:spacing w:val="12"/>
          <w:w w:val="95"/>
          <w:sz w:val="32"/>
          <w:szCs w:val="32"/>
        </w:rPr>
        <w:t>科技人文交</w:t>
      </w:r>
      <w:r>
        <w:rPr>
          <w:spacing w:val="9"/>
          <w:w w:val="95"/>
          <w:sz w:val="32"/>
          <w:szCs w:val="32"/>
        </w:rPr>
        <w:t>流，广泛</w:t>
      </w:r>
      <w:r>
        <w:rPr>
          <w:spacing w:val="12"/>
          <w:w w:val="95"/>
          <w:sz w:val="32"/>
          <w:szCs w:val="32"/>
        </w:rPr>
        <w:t>开展</w:t>
      </w:r>
      <w:r>
        <w:rPr>
          <w:spacing w:val="8"/>
          <w:w w:val="95"/>
          <w:sz w:val="32"/>
          <w:szCs w:val="32"/>
        </w:rPr>
        <w:t>教育、</w:t>
      </w:r>
      <w:r>
        <w:rPr>
          <w:spacing w:val="12"/>
          <w:w w:val="95"/>
          <w:sz w:val="32"/>
          <w:szCs w:val="32"/>
        </w:rPr>
        <w:t>文化</w:t>
      </w:r>
      <w:r>
        <w:rPr>
          <w:w w:val="95"/>
          <w:sz w:val="32"/>
          <w:szCs w:val="32"/>
        </w:rPr>
        <w:t>、</w:t>
      </w:r>
      <w:r>
        <w:rPr>
          <w:spacing w:val="8"/>
          <w:sz w:val="32"/>
          <w:szCs w:val="32"/>
        </w:rPr>
        <w:t>科技、人才</w:t>
      </w:r>
      <w:r>
        <w:rPr>
          <w:spacing w:val="12"/>
          <w:sz w:val="32"/>
          <w:szCs w:val="32"/>
        </w:rPr>
        <w:t>等合</w:t>
      </w:r>
      <w:r>
        <w:rPr>
          <w:spacing w:val="9"/>
          <w:sz w:val="32"/>
          <w:szCs w:val="32"/>
        </w:rPr>
        <w:t>作，拓展</w:t>
      </w:r>
      <w:r>
        <w:rPr>
          <w:spacing w:val="12"/>
          <w:sz w:val="32"/>
          <w:szCs w:val="32"/>
        </w:rPr>
        <w:t>国际友好合</w:t>
      </w:r>
      <w:r>
        <w:rPr>
          <w:spacing w:val="9"/>
          <w:sz w:val="32"/>
          <w:szCs w:val="32"/>
        </w:rPr>
        <w:t>作关系，缔结</w:t>
      </w:r>
      <w:r>
        <w:rPr>
          <w:spacing w:val="12"/>
          <w:sz w:val="32"/>
          <w:szCs w:val="32"/>
        </w:rPr>
        <w:t>更多</w:t>
      </w:r>
      <w:r>
        <w:rPr>
          <w:spacing w:val="8"/>
          <w:sz w:val="32"/>
          <w:szCs w:val="32"/>
        </w:rPr>
        <w:t>国际友</w:t>
      </w:r>
      <w:r>
        <w:rPr>
          <w:spacing w:val="17"/>
          <w:sz w:val="32"/>
          <w:szCs w:val="32"/>
        </w:rPr>
        <w:t>好城市（区</w:t>
      </w:r>
      <w:r>
        <w:rPr>
          <w:spacing w:val="-147"/>
          <w:sz w:val="32"/>
          <w:szCs w:val="32"/>
        </w:rPr>
        <w:t>）</w:t>
      </w:r>
      <w:r>
        <w:rPr>
          <w:spacing w:val="17"/>
          <w:sz w:val="32"/>
          <w:szCs w:val="32"/>
        </w:rPr>
        <w:t>。协调推进官方与民间友好交往，加强与海外</w:t>
      </w:r>
      <w:r>
        <w:rPr>
          <w:sz w:val="32"/>
          <w:szCs w:val="32"/>
        </w:rPr>
        <w:t>华</w:t>
      </w:r>
      <w:r>
        <w:rPr>
          <w:spacing w:val="12"/>
          <w:sz w:val="32"/>
          <w:szCs w:val="32"/>
        </w:rPr>
        <w:t>侨华人联谊，进一步用好海外侨务资</w:t>
      </w:r>
      <w:r>
        <w:rPr>
          <w:spacing w:val="6"/>
          <w:sz w:val="32"/>
          <w:szCs w:val="32"/>
        </w:rPr>
        <w:t>源。</w:t>
      </w:r>
    </w:p>
    <w:p w14:paraId="250FA1EF">
      <w:pPr>
        <w:spacing w:before="20" w:line="338" w:lineRule="auto"/>
        <w:ind w:left="113" w:right="281" w:firstLine="664"/>
        <w:jc w:val="both"/>
        <w:rPr>
          <w:sz w:val="32"/>
          <w:szCs w:val="32"/>
        </w:rPr>
      </w:pPr>
      <w:r>
        <w:rPr>
          <w:b/>
          <w:spacing w:val="11"/>
          <w:w w:val="99"/>
          <w:sz w:val="32"/>
          <w:szCs w:val="32"/>
        </w:rPr>
        <w:t>参与区域合作发展。</w:t>
      </w:r>
      <w:r>
        <w:rPr>
          <w:spacing w:val="11"/>
          <w:w w:val="99"/>
          <w:sz w:val="32"/>
          <w:szCs w:val="32"/>
        </w:rPr>
        <w:t>在国内大循环和国内国际双循环中找准定位，从生产、分配、流通、消费各环节多点发力，积极参</w:t>
      </w:r>
      <w:r>
        <w:rPr>
          <w:spacing w:val="10"/>
          <w:w w:val="99"/>
          <w:sz w:val="32"/>
          <w:szCs w:val="32"/>
        </w:rPr>
        <w:t>与新发展格局，加快区域交通互联互通、产业协同发展、科技</w:t>
      </w:r>
      <w:r>
        <w:rPr>
          <w:spacing w:val="11"/>
          <w:w w:val="99"/>
          <w:sz w:val="32"/>
          <w:szCs w:val="32"/>
        </w:rPr>
        <w:t>创新合作、旅游文化合作、生态环境共治、宜居健康共建、公</w:t>
      </w:r>
      <w:r>
        <w:rPr>
          <w:spacing w:val="10"/>
          <w:w w:val="99"/>
          <w:sz w:val="32"/>
          <w:szCs w:val="32"/>
        </w:rPr>
        <w:t>共服务一体化建设，全面形成与黄河“几”字弯都市圈高质量</w:t>
      </w:r>
      <w:r>
        <w:rPr>
          <w:spacing w:val="9"/>
          <w:w w:val="99"/>
          <w:sz w:val="32"/>
          <w:szCs w:val="32"/>
        </w:rPr>
        <w:t>一体化发展的新格局。以银西高铁通车和包银、中兰高铁建设为契机，推动火车站商圈提升能级，全面放大高铁经济带动效</w:t>
      </w:r>
      <w:r>
        <w:rPr>
          <w:spacing w:val="10"/>
          <w:w w:val="99"/>
          <w:sz w:val="32"/>
          <w:szCs w:val="32"/>
        </w:rPr>
        <w:t>应。密切与兴庆区、西夏区之间的合作，加快推进城区间的产业分工和城市功能互补，强化城区连接部的城市规划和建设协</w:t>
      </w:r>
    </w:p>
    <w:p w14:paraId="4AC10A15">
      <w:pPr>
        <w:spacing w:line="338" w:lineRule="auto"/>
        <w:jc w:val="both"/>
        <w:sectPr>
          <w:footerReference r:id="rId29" w:type="default"/>
          <w:footerReference r:id="rId30" w:type="even"/>
          <w:pgSz w:w="11910" w:h="16840"/>
          <w:pgMar w:top="1800" w:right="1200" w:bottom="1160" w:left="1360" w:header="0" w:footer="975" w:gutter="0"/>
          <w:pgNumType w:start="93"/>
          <w:cols w:space="720" w:num="1"/>
        </w:sectPr>
      </w:pPr>
    </w:p>
    <w:p w14:paraId="748EF4D1">
      <w:pPr>
        <w:spacing w:before="28"/>
        <w:ind w:left="113"/>
        <w:rPr>
          <w:sz w:val="32"/>
          <w:szCs w:val="32"/>
        </w:rPr>
      </w:pPr>
      <w:r>
        <w:rPr>
          <w:spacing w:val="12"/>
          <w:w w:val="95"/>
          <w:sz w:val="32"/>
          <w:szCs w:val="32"/>
        </w:rPr>
        <w:t>同合作</w:t>
      </w:r>
      <w:r>
        <w:rPr>
          <w:spacing w:val="13"/>
          <w:w w:val="95"/>
          <w:sz w:val="32"/>
          <w:szCs w:val="32"/>
        </w:rPr>
        <w:t>，共</w:t>
      </w:r>
      <w:r>
        <w:rPr>
          <w:spacing w:val="12"/>
          <w:w w:val="95"/>
          <w:sz w:val="32"/>
          <w:szCs w:val="32"/>
        </w:rPr>
        <w:t>同提</w:t>
      </w:r>
      <w:r>
        <w:rPr>
          <w:spacing w:val="14"/>
          <w:w w:val="95"/>
          <w:sz w:val="32"/>
          <w:szCs w:val="32"/>
        </w:rPr>
        <w:t>升</w:t>
      </w:r>
      <w:r>
        <w:rPr>
          <w:spacing w:val="12"/>
          <w:w w:val="95"/>
          <w:sz w:val="32"/>
          <w:szCs w:val="32"/>
        </w:rPr>
        <w:t>城市</w:t>
      </w:r>
      <w:r>
        <w:rPr>
          <w:spacing w:val="14"/>
          <w:w w:val="95"/>
          <w:sz w:val="32"/>
          <w:szCs w:val="32"/>
        </w:rPr>
        <w:t>承</w:t>
      </w:r>
      <w:r>
        <w:rPr>
          <w:spacing w:val="12"/>
          <w:w w:val="95"/>
          <w:sz w:val="32"/>
          <w:szCs w:val="32"/>
        </w:rPr>
        <w:t>载能</w:t>
      </w:r>
      <w:r>
        <w:rPr>
          <w:spacing w:val="2"/>
          <w:w w:val="95"/>
          <w:sz w:val="32"/>
          <w:szCs w:val="32"/>
        </w:rPr>
        <w:t>力。</w:t>
      </w:r>
    </w:p>
    <w:p w14:paraId="2B52FF0C">
      <w:pPr>
        <w:spacing w:before="2"/>
        <w:rPr>
          <w:sz w:val="24"/>
          <w:szCs w:val="32"/>
        </w:rPr>
      </w:pPr>
    </w:p>
    <w:p w14:paraId="2A0F326C">
      <w:pPr>
        <w:ind w:left="1758" w:right="1927"/>
        <w:jc w:val="center"/>
        <w:outlineLvl w:val="1"/>
        <w:rPr>
          <w:rFonts w:ascii="宋体" w:hAnsi="宋体" w:eastAsia="宋体" w:cs="宋体"/>
          <w:b/>
          <w:bCs/>
          <w:sz w:val="32"/>
          <w:szCs w:val="32"/>
        </w:rPr>
      </w:pPr>
      <w:r>
        <w:rPr>
          <w:rFonts w:ascii="宋体" w:hAnsi="宋体" w:eastAsia="宋体" w:cs="宋体"/>
          <w:b/>
          <w:bCs/>
          <w:spacing w:val="14"/>
          <w:sz w:val="32"/>
          <w:szCs w:val="32"/>
        </w:rPr>
        <w:t>第三</w:t>
      </w:r>
      <w:r>
        <w:rPr>
          <w:rFonts w:ascii="宋体" w:hAnsi="宋体" w:eastAsia="宋体" w:cs="宋体"/>
          <w:b/>
          <w:bCs/>
          <w:spacing w:val="56"/>
          <w:sz w:val="32"/>
          <w:szCs w:val="32"/>
        </w:rPr>
        <w:t>节 融</w:t>
      </w:r>
      <w:r>
        <w:rPr>
          <w:rFonts w:ascii="宋体" w:hAnsi="宋体" w:eastAsia="宋体" w:cs="宋体"/>
          <w:b/>
          <w:bCs/>
          <w:spacing w:val="14"/>
          <w:sz w:val="32"/>
          <w:szCs w:val="32"/>
        </w:rPr>
        <w:t>入沿</w:t>
      </w:r>
      <w:r>
        <w:rPr>
          <w:rFonts w:ascii="宋体" w:hAnsi="宋体" w:eastAsia="宋体" w:cs="宋体"/>
          <w:b/>
          <w:bCs/>
          <w:spacing w:val="12"/>
          <w:sz w:val="32"/>
          <w:szCs w:val="32"/>
        </w:rPr>
        <w:t>黄</w:t>
      </w:r>
      <w:r>
        <w:rPr>
          <w:rFonts w:ascii="宋体" w:hAnsi="宋体" w:eastAsia="宋体" w:cs="宋体"/>
          <w:b/>
          <w:bCs/>
          <w:spacing w:val="14"/>
          <w:sz w:val="32"/>
          <w:szCs w:val="32"/>
        </w:rPr>
        <w:t>城市群一体</w:t>
      </w:r>
      <w:r>
        <w:rPr>
          <w:rFonts w:ascii="宋体" w:hAnsi="宋体" w:eastAsia="宋体" w:cs="宋体"/>
          <w:b/>
          <w:bCs/>
          <w:spacing w:val="-10"/>
          <w:sz w:val="32"/>
          <w:szCs w:val="32"/>
        </w:rPr>
        <w:t>化</w:t>
      </w:r>
    </w:p>
    <w:p w14:paraId="240E2284">
      <w:pPr>
        <w:spacing w:before="1"/>
        <w:rPr>
          <w:rFonts w:ascii="宋体"/>
          <w:b/>
          <w:sz w:val="25"/>
          <w:szCs w:val="32"/>
        </w:rPr>
      </w:pPr>
    </w:p>
    <w:p w14:paraId="4D4EEE28">
      <w:pPr>
        <w:spacing w:before="1" w:line="338" w:lineRule="auto"/>
        <w:ind w:left="113" w:right="281" w:firstLine="664"/>
        <w:jc w:val="both"/>
        <w:rPr>
          <w:sz w:val="32"/>
          <w:szCs w:val="32"/>
        </w:rPr>
      </w:pPr>
      <w:r>
        <w:rPr>
          <w:spacing w:val="11"/>
          <w:w w:val="99"/>
          <w:sz w:val="32"/>
          <w:szCs w:val="32"/>
        </w:rPr>
        <w:t>坚持“更全面、更深入、更务实”新开放观，紧抓黄河流</w:t>
      </w:r>
      <w:r>
        <w:rPr>
          <w:spacing w:val="23"/>
          <w:w w:val="99"/>
          <w:sz w:val="32"/>
          <w:szCs w:val="32"/>
        </w:rPr>
        <w:t>域生态保护和高质量发展以及新时代推进西部大开发的重大</w:t>
      </w:r>
      <w:r>
        <w:rPr>
          <w:spacing w:val="9"/>
          <w:w w:val="99"/>
          <w:sz w:val="32"/>
          <w:szCs w:val="32"/>
        </w:rPr>
        <w:t>机遇，健全区域合作机制，积极参与黄河“几”字弯都市圈等</w:t>
      </w:r>
      <w:r>
        <w:rPr>
          <w:spacing w:val="10"/>
          <w:w w:val="99"/>
          <w:sz w:val="32"/>
          <w:szCs w:val="32"/>
        </w:rPr>
        <w:t>区域协同发展。</w:t>
      </w:r>
    </w:p>
    <w:p w14:paraId="681343F4">
      <w:pPr>
        <w:spacing w:before="8" w:line="338" w:lineRule="auto"/>
        <w:ind w:left="113" w:right="278" w:firstLine="664"/>
        <w:jc w:val="both"/>
        <w:rPr>
          <w:sz w:val="32"/>
          <w:szCs w:val="32"/>
        </w:rPr>
      </w:pPr>
      <w:r>
        <w:rPr>
          <w:b/>
          <w:spacing w:val="14"/>
          <w:w w:val="99"/>
          <w:sz w:val="32"/>
          <w:szCs w:val="32"/>
        </w:rPr>
        <w:t>打造消费的中心。</w:t>
      </w:r>
      <w:r>
        <w:rPr>
          <w:spacing w:val="14"/>
          <w:w w:val="99"/>
          <w:sz w:val="32"/>
          <w:szCs w:val="32"/>
        </w:rPr>
        <w:t>促进消费、转型、创新</w:t>
      </w:r>
      <w:r>
        <w:rPr>
          <w:rFonts w:ascii="Calibri" w:hAnsi="Calibri" w:eastAsia="Calibri"/>
          <w:spacing w:val="8"/>
          <w:w w:val="99"/>
          <w:sz w:val="32"/>
          <w:szCs w:val="32"/>
        </w:rPr>
        <w:t>“</w:t>
      </w:r>
      <w:r>
        <w:rPr>
          <w:spacing w:val="14"/>
          <w:w w:val="99"/>
          <w:sz w:val="32"/>
          <w:szCs w:val="32"/>
        </w:rPr>
        <w:t>三者互动</w:t>
      </w:r>
      <w:r>
        <w:rPr>
          <w:rFonts w:ascii="Calibri" w:hAnsi="Calibri" w:eastAsia="Calibri"/>
          <w:spacing w:val="8"/>
          <w:w w:val="99"/>
          <w:sz w:val="32"/>
          <w:szCs w:val="32"/>
        </w:rPr>
        <w:t>”</w:t>
      </w:r>
      <w:r>
        <w:rPr>
          <w:spacing w:val="7"/>
          <w:w w:val="99"/>
          <w:sz w:val="32"/>
          <w:szCs w:val="32"/>
        </w:rPr>
        <w:t>，打</w:t>
      </w:r>
      <w:r>
        <w:rPr>
          <w:spacing w:val="8"/>
          <w:w w:val="99"/>
          <w:sz w:val="32"/>
          <w:szCs w:val="32"/>
        </w:rPr>
        <w:t>造方圆</w:t>
      </w:r>
      <w:r>
        <w:rPr>
          <w:spacing w:val="-64"/>
          <w:sz w:val="32"/>
          <w:szCs w:val="32"/>
        </w:rPr>
        <w:t xml:space="preserve"> </w:t>
      </w:r>
      <w:r>
        <w:rPr>
          <w:rFonts w:ascii="Calibri" w:hAnsi="Calibri" w:eastAsia="Calibri"/>
          <w:spacing w:val="1"/>
          <w:w w:val="99"/>
          <w:sz w:val="32"/>
          <w:szCs w:val="32"/>
        </w:rPr>
        <w:t>5</w:t>
      </w:r>
      <w:r>
        <w:rPr>
          <w:rFonts w:ascii="Calibri" w:hAnsi="Calibri" w:eastAsia="Calibri"/>
          <w:spacing w:val="6"/>
          <w:w w:val="99"/>
          <w:sz w:val="32"/>
          <w:szCs w:val="32"/>
        </w:rPr>
        <w:t>0</w:t>
      </w:r>
      <w:r>
        <w:rPr>
          <w:rFonts w:ascii="Calibri" w:hAnsi="Calibri" w:eastAsia="Calibri"/>
          <w:w w:val="99"/>
          <w:sz w:val="32"/>
          <w:szCs w:val="32"/>
        </w:rPr>
        <w:t>0</w:t>
      </w:r>
      <w:r>
        <w:rPr>
          <w:rFonts w:ascii="Calibri" w:hAnsi="Calibri" w:eastAsia="Calibri"/>
          <w:spacing w:val="22"/>
          <w:sz w:val="32"/>
          <w:szCs w:val="32"/>
        </w:rPr>
        <w:t xml:space="preserve"> </w:t>
      </w:r>
      <w:r>
        <w:rPr>
          <w:spacing w:val="8"/>
          <w:w w:val="99"/>
          <w:sz w:val="32"/>
          <w:szCs w:val="32"/>
        </w:rPr>
        <w:t>公里以内，涵盖陕、甘、宁、内蒙古周边地区的展</w:t>
      </w:r>
      <w:r>
        <w:rPr>
          <w:spacing w:val="10"/>
          <w:w w:val="99"/>
          <w:sz w:val="32"/>
          <w:szCs w:val="32"/>
        </w:rPr>
        <w:t>示时尚、引领潮流的西北消费之都。鼓励发展买手制百货、体</w:t>
      </w:r>
      <w:r>
        <w:rPr>
          <w:spacing w:val="14"/>
          <w:w w:val="99"/>
          <w:sz w:val="32"/>
          <w:szCs w:val="32"/>
        </w:rPr>
        <w:t>验型购物中心、主题概念店、</w:t>
      </w:r>
      <w:r>
        <w:rPr>
          <w:rFonts w:ascii="Calibri" w:hAnsi="Calibri" w:eastAsia="Calibri"/>
          <w:spacing w:val="2"/>
          <w:w w:val="99"/>
          <w:sz w:val="32"/>
          <w:szCs w:val="32"/>
        </w:rPr>
        <w:t>A</w:t>
      </w:r>
      <w:r>
        <w:rPr>
          <w:rFonts w:ascii="Calibri" w:hAnsi="Calibri" w:eastAsia="Calibri"/>
          <w:spacing w:val="6"/>
          <w:w w:val="99"/>
          <w:sz w:val="32"/>
          <w:szCs w:val="32"/>
        </w:rPr>
        <w:t>R/V</w:t>
      </w:r>
      <w:r>
        <w:rPr>
          <w:rFonts w:ascii="Calibri" w:hAnsi="Calibri" w:eastAsia="Calibri"/>
          <w:w w:val="99"/>
          <w:sz w:val="32"/>
          <w:szCs w:val="32"/>
        </w:rPr>
        <w:t>R</w:t>
      </w:r>
      <w:r>
        <w:rPr>
          <w:rFonts w:ascii="Calibri" w:hAnsi="Calibri" w:eastAsia="Calibri"/>
          <w:spacing w:val="23"/>
          <w:sz w:val="32"/>
          <w:szCs w:val="32"/>
        </w:rPr>
        <w:t xml:space="preserve"> </w:t>
      </w:r>
      <w:r>
        <w:rPr>
          <w:spacing w:val="12"/>
          <w:w w:val="99"/>
          <w:sz w:val="32"/>
          <w:szCs w:val="32"/>
        </w:rPr>
        <w:t>体验购物店等新兴业态，</w:t>
      </w:r>
      <w:r>
        <w:rPr>
          <w:spacing w:val="11"/>
          <w:w w:val="99"/>
          <w:sz w:val="32"/>
          <w:szCs w:val="32"/>
        </w:rPr>
        <w:t>促进个性化定制、商品众筹、社区团购等新型消费模式发展。培育信息、绿色、健康养老、旅游休闲、文体教育等消费新热</w:t>
      </w:r>
      <w:r>
        <w:rPr>
          <w:spacing w:val="10"/>
          <w:w w:val="99"/>
          <w:sz w:val="32"/>
          <w:szCs w:val="32"/>
        </w:rPr>
        <w:t>点，打造智能终端、智能家居、无人机等时尚消费发源地。深</w:t>
      </w:r>
      <w:r>
        <w:rPr>
          <w:spacing w:val="9"/>
          <w:w w:val="99"/>
          <w:sz w:val="32"/>
          <w:szCs w:val="32"/>
        </w:rPr>
        <w:t>入推进六大商圈融合发展，提升凤凰里、大阅城中街等为引领</w:t>
      </w:r>
      <w:r>
        <w:rPr>
          <w:spacing w:val="8"/>
          <w:w w:val="99"/>
          <w:sz w:val="32"/>
          <w:szCs w:val="32"/>
        </w:rPr>
        <w:t>的“夜间经济”知名度，全面提升“夜游银川”、南部休闲观</w:t>
      </w:r>
      <w:r>
        <w:rPr>
          <w:spacing w:val="4"/>
          <w:w w:val="99"/>
          <w:sz w:val="32"/>
          <w:szCs w:val="32"/>
        </w:rPr>
        <w:t>光旅游带为载体的“旅游经济”。实施名品进名店、名店进名</w:t>
      </w:r>
      <w:r>
        <w:rPr>
          <w:spacing w:val="9"/>
          <w:w w:val="99"/>
          <w:sz w:val="32"/>
          <w:szCs w:val="32"/>
        </w:rPr>
        <w:t>街战略，运用大数据改造提升传统商贸业态。推进旅游休闲购物街区、旅游购物商店和创新创业街区的建设，大力促进文化旅游消费。</w:t>
      </w:r>
    </w:p>
    <w:p w14:paraId="4622D629">
      <w:pPr>
        <w:spacing w:before="23" w:line="338" w:lineRule="auto"/>
        <w:ind w:left="113" w:right="278" w:firstLine="664"/>
        <w:jc w:val="both"/>
        <w:rPr>
          <w:sz w:val="32"/>
          <w:szCs w:val="32"/>
        </w:rPr>
      </w:pPr>
      <w:r>
        <w:rPr>
          <w:b/>
          <w:spacing w:val="12"/>
          <w:w w:val="99"/>
          <w:sz w:val="32"/>
          <w:szCs w:val="32"/>
        </w:rPr>
        <w:t>打造产业的中心。</w:t>
      </w:r>
      <w:r>
        <w:rPr>
          <w:spacing w:val="10"/>
          <w:w w:val="99"/>
          <w:sz w:val="32"/>
          <w:szCs w:val="32"/>
        </w:rPr>
        <w:t>进一步挖掘资源禀赋，以高质量发展为</w:t>
      </w:r>
      <w:r>
        <w:rPr>
          <w:spacing w:val="11"/>
          <w:w w:val="99"/>
          <w:sz w:val="32"/>
          <w:szCs w:val="32"/>
        </w:rPr>
        <w:t>目标，推进产业高端化、链条化，资源配置高质化、高效化，</w:t>
      </w:r>
      <w:r>
        <w:rPr>
          <w:spacing w:val="17"/>
          <w:w w:val="99"/>
          <w:sz w:val="32"/>
          <w:szCs w:val="32"/>
        </w:rPr>
        <w:t>区域协作均衡化。依托阅海湾中央商务区</w:t>
      </w:r>
      <w:r>
        <w:rPr>
          <w:spacing w:val="19"/>
          <w:w w:val="99"/>
          <w:sz w:val="32"/>
          <w:szCs w:val="32"/>
        </w:rPr>
        <w:t>（</w:t>
      </w:r>
      <w:r>
        <w:rPr>
          <w:spacing w:val="18"/>
          <w:w w:val="99"/>
          <w:sz w:val="32"/>
          <w:szCs w:val="32"/>
        </w:rPr>
        <w:t>丝路经济园</w:t>
      </w:r>
      <w:r>
        <w:rPr>
          <w:spacing w:val="-147"/>
          <w:w w:val="99"/>
          <w:sz w:val="32"/>
          <w:szCs w:val="32"/>
        </w:rPr>
        <w:t>）</w:t>
      </w:r>
      <w:r>
        <w:rPr>
          <w:spacing w:val="9"/>
          <w:w w:val="99"/>
          <w:sz w:val="32"/>
          <w:szCs w:val="32"/>
        </w:rPr>
        <w:t>，大力实施创新驱动战略，以国家支持新基建项目为契机，推进数</w:t>
      </w:r>
    </w:p>
    <w:p w14:paraId="79032813">
      <w:pPr>
        <w:spacing w:line="338" w:lineRule="auto"/>
        <w:jc w:val="both"/>
        <w:sectPr>
          <w:pgSz w:w="11910" w:h="16840"/>
          <w:pgMar w:top="1800" w:right="1200" w:bottom="1160" w:left="1360" w:header="0" w:footer="975" w:gutter="0"/>
          <w:cols w:space="720" w:num="1"/>
        </w:sectPr>
      </w:pPr>
    </w:p>
    <w:p w14:paraId="35A56F46">
      <w:pPr>
        <w:spacing w:before="28" w:line="338" w:lineRule="auto"/>
        <w:ind w:left="113" w:right="117"/>
        <w:rPr>
          <w:sz w:val="32"/>
          <w:szCs w:val="32"/>
        </w:rPr>
      </w:pPr>
      <w:r>
        <w:rPr>
          <w:w w:val="99"/>
          <w:sz w:val="32"/>
          <w:szCs w:val="32"/>
        </w:rPr>
        <w:t>字产业化及产业数字化，发展互联网数字经济，发展现代物流、</w:t>
      </w:r>
      <w:r>
        <w:rPr>
          <w:spacing w:val="11"/>
          <w:w w:val="99"/>
          <w:sz w:val="32"/>
          <w:szCs w:val="32"/>
        </w:rPr>
        <w:t>信息软件服务等现代服务业。深度挖掘和保护黄河文化资源，</w:t>
      </w:r>
      <w:r>
        <w:rPr>
          <w:spacing w:val="10"/>
          <w:w w:val="99"/>
          <w:sz w:val="32"/>
          <w:szCs w:val="32"/>
        </w:rPr>
        <w:t>与黄河沿线上下游城市共同打造黄河文化旅游带，构建高效生</w:t>
      </w:r>
      <w:r>
        <w:rPr>
          <w:spacing w:val="9"/>
          <w:w w:val="99"/>
          <w:sz w:val="32"/>
          <w:szCs w:val="32"/>
        </w:rPr>
        <w:t>态产业体系。加强与京津冀、长三角、粤港澳大湾区的交流协</w:t>
      </w:r>
      <w:r>
        <w:rPr>
          <w:spacing w:val="11"/>
          <w:w w:val="99"/>
          <w:sz w:val="32"/>
          <w:szCs w:val="32"/>
        </w:rPr>
        <w:t>作，主动承接东部地区产业转移，聚焦教育医疗、医药健康、</w:t>
      </w:r>
      <w:r>
        <w:rPr>
          <w:spacing w:val="8"/>
          <w:w w:val="99"/>
          <w:sz w:val="32"/>
          <w:szCs w:val="32"/>
        </w:rPr>
        <w:t xml:space="preserve">电子信息、跨境电商、文化旅游、科技创新等重点领域，探索 </w:t>
      </w:r>
      <w:r>
        <w:rPr>
          <w:spacing w:val="-12"/>
          <w:w w:val="99"/>
          <w:sz w:val="32"/>
          <w:szCs w:val="32"/>
        </w:rPr>
        <w:t>“飞地经济”“数字经济”“智能经济”“共享经济”等新模式，</w:t>
      </w:r>
      <w:r>
        <w:rPr>
          <w:spacing w:val="10"/>
          <w:w w:val="99"/>
          <w:sz w:val="32"/>
          <w:szCs w:val="32"/>
        </w:rPr>
        <w:t>加强协作平台和载体建设，争取在线培训、专业医院、人工智</w:t>
      </w:r>
      <w:r>
        <w:rPr>
          <w:spacing w:val="11"/>
          <w:w w:val="99"/>
          <w:sz w:val="32"/>
          <w:szCs w:val="32"/>
        </w:rPr>
        <w:t>能、大数据服务、首店品牌、数字艺术、科创总部等项目签约</w:t>
      </w:r>
      <w:r>
        <w:rPr>
          <w:spacing w:val="10"/>
          <w:w w:val="99"/>
          <w:sz w:val="32"/>
          <w:szCs w:val="32"/>
        </w:rPr>
        <w:t>落地，做实共建项目。</w:t>
      </w:r>
    </w:p>
    <w:p w14:paraId="26AA92F8">
      <w:pPr>
        <w:spacing w:before="19" w:line="338" w:lineRule="auto"/>
        <w:ind w:left="113" w:right="283" w:firstLine="664"/>
        <w:jc w:val="both"/>
        <w:rPr>
          <w:sz w:val="32"/>
          <w:szCs w:val="32"/>
        </w:rPr>
      </w:pPr>
      <w:r>
        <w:rPr>
          <w:b/>
          <w:spacing w:val="12"/>
          <w:w w:val="99"/>
          <w:sz w:val="32"/>
          <w:szCs w:val="32"/>
        </w:rPr>
        <w:t>打造居住的中心。</w:t>
      </w:r>
      <w:r>
        <w:rPr>
          <w:spacing w:val="10"/>
          <w:w w:val="99"/>
          <w:sz w:val="32"/>
          <w:szCs w:val="32"/>
        </w:rPr>
        <w:t>充分利用金凤区自身区位优势、资源优</w:t>
      </w:r>
      <w:r>
        <w:rPr>
          <w:spacing w:val="9"/>
          <w:w w:val="99"/>
          <w:sz w:val="32"/>
          <w:szCs w:val="32"/>
        </w:rPr>
        <w:t>势、集聚人居环境优势，打造方圆</w:t>
      </w:r>
      <w:r>
        <w:rPr>
          <w:spacing w:val="-64"/>
          <w:sz w:val="32"/>
          <w:szCs w:val="32"/>
        </w:rPr>
        <w:t xml:space="preserve"> </w:t>
      </w:r>
      <w:r>
        <w:rPr>
          <w:rFonts w:ascii="Calibri" w:hAnsi="Calibri" w:eastAsia="Calibri"/>
          <w:spacing w:val="1"/>
          <w:w w:val="99"/>
          <w:sz w:val="32"/>
          <w:szCs w:val="32"/>
        </w:rPr>
        <w:t>5</w:t>
      </w:r>
      <w:r>
        <w:rPr>
          <w:rFonts w:ascii="Calibri" w:hAnsi="Calibri" w:eastAsia="Calibri"/>
          <w:spacing w:val="6"/>
          <w:w w:val="99"/>
          <w:sz w:val="32"/>
          <w:szCs w:val="32"/>
        </w:rPr>
        <w:t>0</w:t>
      </w:r>
      <w:r>
        <w:rPr>
          <w:rFonts w:ascii="Calibri" w:hAnsi="Calibri" w:eastAsia="Calibri"/>
          <w:w w:val="99"/>
          <w:sz w:val="32"/>
          <w:szCs w:val="32"/>
        </w:rPr>
        <w:t>0</w:t>
      </w:r>
      <w:r>
        <w:rPr>
          <w:rFonts w:ascii="Calibri" w:hAnsi="Calibri" w:eastAsia="Calibri"/>
          <w:spacing w:val="22"/>
          <w:sz w:val="32"/>
          <w:szCs w:val="32"/>
        </w:rPr>
        <w:t xml:space="preserve"> </w:t>
      </w:r>
      <w:r>
        <w:rPr>
          <w:spacing w:val="10"/>
          <w:w w:val="99"/>
          <w:sz w:val="32"/>
          <w:szCs w:val="32"/>
        </w:rPr>
        <w:t>公里以内的西北最佳人</w:t>
      </w:r>
      <w:r>
        <w:rPr>
          <w:spacing w:val="9"/>
          <w:w w:val="99"/>
          <w:sz w:val="32"/>
          <w:szCs w:val="32"/>
        </w:rPr>
        <w:t>居环境中心。提升城市综合承载力和公共服务水平，基础设施实现互联互通，都市圈交通承载力显著提高。城市文化软实力</w:t>
      </w:r>
      <w:r>
        <w:rPr>
          <w:spacing w:val="10"/>
          <w:w w:val="99"/>
          <w:sz w:val="32"/>
          <w:szCs w:val="32"/>
        </w:rPr>
        <w:t>和国际影响力显著增强，文化、教育、医疗、养老等公共服务</w:t>
      </w:r>
      <w:r>
        <w:rPr>
          <w:spacing w:val="14"/>
          <w:w w:val="99"/>
          <w:sz w:val="32"/>
          <w:szCs w:val="32"/>
        </w:rPr>
        <w:t>体系逐步完善，打造“</w:t>
      </w:r>
      <w:r>
        <w:rPr>
          <w:rFonts w:ascii="Calibri" w:hAnsi="Calibri" w:eastAsia="Calibri"/>
          <w:spacing w:val="3"/>
          <w:w w:val="99"/>
          <w:sz w:val="32"/>
          <w:szCs w:val="32"/>
        </w:rPr>
        <w:t>1</w:t>
      </w:r>
      <w:r>
        <w:rPr>
          <w:rFonts w:ascii="Calibri" w:hAnsi="Calibri" w:eastAsia="Calibri"/>
          <w:w w:val="99"/>
          <w:sz w:val="32"/>
          <w:szCs w:val="32"/>
        </w:rPr>
        <w:t>5</w:t>
      </w:r>
      <w:r>
        <w:rPr>
          <w:rFonts w:ascii="Calibri" w:hAnsi="Calibri" w:eastAsia="Calibri"/>
          <w:spacing w:val="22"/>
          <w:sz w:val="32"/>
          <w:szCs w:val="32"/>
        </w:rPr>
        <w:t xml:space="preserve"> </w:t>
      </w:r>
      <w:r>
        <w:rPr>
          <w:spacing w:val="1"/>
          <w:w w:val="99"/>
          <w:sz w:val="32"/>
          <w:szCs w:val="32"/>
        </w:rPr>
        <w:t>分钟智慧便民服务圈”，基本公共服</w:t>
      </w:r>
      <w:r>
        <w:rPr>
          <w:spacing w:val="10"/>
          <w:w w:val="99"/>
          <w:sz w:val="32"/>
          <w:szCs w:val="32"/>
        </w:rPr>
        <w:t>务均等化水平明显提高，市民获得感、安全感、幸福感大幅提</w:t>
      </w:r>
      <w:r>
        <w:rPr>
          <w:spacing w:val="6"/>
          <w:w w:val="99"/>
          <w:sz w:val="32"/>
          <w:szCs w:val="32"/>
        </w:rPr>
        <w:t>升。</w:t>
      </w:r>
    </w:p>
    <w:p w14:paraId="2320813D">
      <w:pPr>
        <w:spacing w:line="338" w:lineRule="auto"/>
        <w:jc w:val="both"/>
        <w:sectPr>
          <w:pgSz w:w="11910" w:h="16840"/>
          <w:pgMar w:top="1800" w:right="1200" w:bottom="1160" w:left="1360" w:header="0" w:footer="975" w:gutter="0"/>
          <w:cols w:space="720" w:num="1"/>
        </w:sectPr>
      </w:pPr>
    </w:p>
    <w:p w14:paraId="1C798A0E">
      <w:pPr>
        <w:rPr>
          <w:sz w:val="20"/>
          <w:szCs w:val="32"/>
        </w:rPr>
      </w:pPr>
    </w:p>
    <w:p w14:paraId="7DB20809">
      <w:pPr>
        <w:spacing w:before="5"/>
        <w:rPr>
          <w:sz w:val="25"/>
          <w:szCs w:val="32"/>
        </w:rPr>
      </w:pPr>
    </w:p>
    <w:p w14:paraId="31EB3004">
      <w:pPr>
        <w:tabs>
          <w:tab w:val="left" w:pos="2477"/>
        </w:tabs>
        <w:spacing w:before="49"/>
        <w:ind w:left="678"/>
        <w:jc w:val="center"/>
        <w:outlineLvl w:val="0"/>
        <w:rPr>
          <w:rFonts w:ascii="宋体" w:hAnsi="宋体" w:eastAsia="宋体" w:cs="宋体"/>
          <w:sz w:val="36"/>
          <w:szCs w:val="36"/>
        </w:rPr>
      </w:pPr>
      <w:r>
        <w:rPr>
          <w:rFonts w:ascii="宋体" w:hAnsi="宋体" w:eastAsia="宋体" w:cs="宋体"/>
          <w:sz w:val="36"/>
          <w:szCs w:val="36"/>
        </w:rPr>
        <w:t>第十一</w:t>
      </w:r>
      <w:r>
        <w:rPr>
          <w:rFonts w:ascii="宋体" w:hAnsi="宋体" w:eastAsia="宋体" w:cs="宋体"/>
          <w:spacing w:val="-10"/>
          <w:sz w:val="36"/>
          <w:szCs w:val="36"/>
        </w:rPr>
        <w:t>章</w:t>
      </w:r>
      <w:r>
        <w:rPr>
          <w:rFonts w:ascii="宋体" w:hAnsi="宋体" w:eastAsia="宋体" w:cs="宋体"/>
          <w:sz w:val="36"/>
          <w:szCs w:val="36"/>
        </w:rPr>
        <w:tab/>
      </w:r>
      <w:r>
        <w:rPr>
          <w:rFonts w:ascii="宋体" w:hAnsi="宋体" w:eastAsia="宋体" w:cs="宋体"/>
          <w:sz w:val="36"/>
          <w:szCs w:val="36"/>
        </w:rPr>
        <w:t>积极营造国际化营商环</w:t>
      </w:r>
      <w:r>
        <w:rPr>
          <w:rFonts w:ascii="宋体" w:hAnsi="宋体" w:eastAsia="宋体" w:cs="宋体"/>
          <w:spacing w:val="-10"/>
          <w:sz w:val="36"/>
          <w:szCs w:val="36"/>
        </w:rPr>
        <w:t>境</w:t>
      </w:r>
    </w:p>
    <w:p w14:paraId="269DCEEA">
      <w:pPr>
        <w:spacing w:before="296"/>
        <w:ind w:left="1758" w:right="1927"/>
        <w:jc w:val="center"/>
        <w:outlineLvl w:val="1"/>
        <w:rPr>
          <w:rFonts w:ascii="宋体" w:hAnsi="宋体" w:eastAsia="宋体" w:cs="宋体"/>
          <w:b/>
          <w:bCs/>
          <w:sz w:val="32"/>
          <w:szCs w:val="32"/>
        </w:rPr>
      </w:pPr>
      <w:r>
        <w:rPr>
          <w:rFonts w:ascii="宋体" w:hAnsi="宋体" w:eastAsia="宋体" w:cs="宋体"/>
          <w:b/>
          <w:bCs/>
          <w:spacing w:val="14"/>
          <w:sz w:val="32"/>
          <w:szCs w:val="32"/>
        </w:rPr>
        <w:t>第一</w:t>
      </w:r>
      <w:r>
        <w:rPr>
          <w:rFonts w:ascii="宋体" w:hAnsi="宋体" w:eastAsia="宋体" w:cs="宋体"/>
          <w:b/>
          <w:bCs/>
          <w:spacing w:val="52"/>
          <w:sz w:val="32"/>
          <w:szCs w:val="32"/>
        </w:rPr>
        <w:t>节 打</w:t>
      </w:r>
      <w:r>
        <w:rPr>
          <w:rFonts w:ascii="宋体" w:hAnsi="宋体" w:eastAsia="宋体" w:cs="宋体"/>
          <w:b/>
          <w:bCs/>
          <w:spacing w:val="14"/>
          <w:sz w:val="32"/>
          <w:szCs w:val="32"/>
        </w:rPr>
        <w:t>造符</w:t>
      </w:r>
      <w:r>
        <w:rPr>
          <w:rFonts w:ascii="宋体" w:hAnsi="宋体" w:eastAsia="宋体" w:cs="宋体"/>
          <w:b/>
          <w:bCs/>
          <w:spacing w:val="12"/>
          <w:sz w:val="32"/>
          <w:szCs w:val="32"/>
        </w:rPr>
        <w:t>合</w:t>
      </w:r>
      <w:r>
        <w:rPr>
          <w:rFonts w:ascii="宋体" w:hAnsi="宋体" w:eastAsia="宋体" w:cs="宋体"/>
          <w:b/>
          <w:bCs/>
          <w:spacing w:val="14"/>
          <w:sz w:val="32"/>
          <w:szCs w:val="32"/>
        </w:rPr>
        <w:t>国际惯例的政</w:t>
      </w:r>
      <w:r>
        <w:rPr>
          <w:rFonts w:ascii="宋体" w:hAnsi="宋体" w:eastAsia="宋体" w:cs="宋体"/>
          <w:b/>
          <w:bCs/>
          <w:spacing w:val="5"/>
          <w:sz w:val="32"/>
          <w:szCs w:val="32"/>
        </w:rPr>
        <w:t>务环境</w:t>
      </w:r>
    </w:p>
    <w:p w14:paraId="0F17A919">
      <w:pPr>
        <w:spacing w:before="2"/>
        <w:rPr>
          <w:rFonts w:ascii="宋体"/>
          <w:b/>
          <w:sz w:val="25"/>
          <w:szCs w:val="32"/>
        </w:rPr>
      </w:pPr>
    </w:p>
    <w:p w14:paraId="19BEDF81">
      <w:pPr>
        <w:spacing w:line="338" w:lineRule="auto"/>
        <w:ind w:left="113" w:right="117" w:firstLine="664"/>
        <w:rPr>
          <w:sz w:val="32"/>
          <w:szCs w:val="32"/>
        </w:rPr>
      </w:pPr>
      <w:r>
        <w:rPr>
          <w:spacing w:val="9"/>
          <w:w w:val="99"/>
          <w:sz w:val="32"/>
          <w:szCs w:val="32"/>
        </w:rPr>
        <w:t>营造国际化、法治化、便利化的投资营商环境，提升金凤区城市能级和核心竞争力，创建国际化营商环境先进城区。全面提升政务服务效能，对标世界银行营商环境评价体系，继续减少行政审批事项，优化流程、提高效率，打造符合国际惯例</w:t>
      </w:r>
      <w:r>
        <w:rPr>
          <w:spacing w:val="10"/>
          <w:w w:val="99"/>
          <w:sz w:val="32"/>
          <w:szCs w:val="32"/>
        </w:rPr>
        <w:t>的政务服务环境。创新政务服务，以数字化推动管理流程的优化，打破各部门间的信息壁垒，推进各领域改革再突破、创新</w:t>
      </w:r>
      <w:r>
        <w:rPr>
          <w:spacing w:val="-1"/>
          <w:w w:val="99"/>
          <w:sz w:val="32"/>
          <w:szCs w:val="32"/>
        </w:rPr>
        <w:t>再深入、制度再完善，构建线上线下创新融合的政务服务体系。</w:t>
      </w:r>
      <w:r>
        <w:rPr>
          <w:spacing w:val="23"/>
          <w:w w:val="99"/>
          <w:sz w:val="32"/>
          <w:szCs w:val="32"/>
        </w:rPr>
        <w:t>优化营商环境常态化建言机制，进一步激发市场和社会积极</w:t>
      </w:r>
      <w:r>
        <w:rPr>
          <w:spacing w:val="11"/>
          <w:w w:val="99"/>
          <w:sz w:val="32"/>
          <w:szCs w:val="32"/>
        </w:rPr>
        <w:t>性，注重发挥企业家、专业人士的作用，建立企业家参与营商</w:t>
      </w:r>
      <w:r>
        <w:rPr>
          <w:spacing w:val="9"/>
          <w:w w:val="99"/>
          <w:sz w:val="32"/>
          <w:szCs w:val="32"/>
        </w:rPr>
        <w:t>环境优化的社会咨询机制。转变优化营商环境考核导向，坚持</w:t>
      </w:r>
      <w:r>
        <w:rPr>
          <w:spacing w:val="23"/>
          <w:w w:val="99"/>
          <w:sz w:val="32"/>
          <w:szCs w:val="32"/>
        </w:rPr>
        <w:t>以企业的实际感受作为衡量优化营商环境改革成效的首要标</w:t>
      </w:r>
      <w:r>
        <w:rPr>
          <w:spacing w:val="-1"/>
          <w:w w:val="99"/>
          <w:sz w:val="32"/>
          <w:szCs w:val="32"/>
        </w:rPr>
        <w:t>准，转变营商环境指标考核导向模式，从“政府内部考核导向”</w:t>
      </w:r>
      <w:r>
        <w:rPr>
          <w:spacing w:val="4"/>
          <w:w w:val="99"/>
          <w:sz w:val="32"/>
          <w:szCs w:val="32"/>
        </w:rPr>
        <w:t>转向“企业评估导向”，重点关注中小企业、创新型企业营商</w:t>
      </w:r>
      <w:r>
        <w:rPr>
          <w:spacing w:val="1"/>
          <w:w w:val="99"/>
          <w:sz w:val="32"/>
          <w:szCs w:val="32"/>
        </w:rPr>
        <w:t>环境重点指标改善的具体措施。深化政务公开，着力打造公开、</w:t>
      </w:r>
      <w:r>
        <w:rPr>
          <w:spacing w:val="9"/>
          <w:w w:val="99"/>
          <w:sz w:val="32"/>
          <w:szCs w:val="32"/>
        </w:rPr>
        <w:t>透明、可预期的行政环境和政策体系，及时回应人民群众和社会关切，确保权力在阳光下运行，强化对政务履约、守诺服务</w:t>
      </w:r>
      <w:r>
        <w:rPr>
          <w:spacing w:val="-1"/>
          <w:w w:val="99"/>
          <w:sz w:val="32"/>
          <w:szCs w:val="32"/>
        </w:rPr>
        <w:t>等情况的监督检查，建立健全“政府承诺+社会监督+失信问责”</w:t>
      </w:r>
      <w:r>
        <w:rPr>
          <w:spacing w:val="8"/>
          <w:w w:val="99"/>
          <w:sz w:val="32"/>
          <w:szCs w:val="32"/>
        </w:rPr>
        <w:t>机制。</w:t>
      </w:r>
    </w:p>
    <w:p w14:paraId="3C3CA7BD">
      <w:pPr>
        <w:spacing w:line="338" w:lineRule="auto"/>
        <w:sectPr>
          <w:pgSz w:w="11910" w:h="16840"/>
          <w:pgMar w:top="1920" w:right="1200" w:bottom="1160" w:left="1360" w:header="0" w:footer="975" w:gutter="0"/>
          <w:cols w:space="720" w:num="1"/>
        </w:sectPr>
      </w:pPr>
    </w:p>
    <w:p w14:paraId="39A93790">
      <w:pPr>
        <w:rPr>
          <w:sz w:val="20"/>
          <w:szCs w:val="32"/>
        </w:rPr>
      </w:pPr>
    </w:p>
    <w:p w14:paraId="2BC55EE3">
      <w:pPr>
        <w:spacing w:before="1"/>
        <w:rPr>
          <w:sz w:val="28"/>
          <w:szCs w:val="32"/>
        </w:rPr>
      </w:pPr>
    </w:p>
    <w:p w14:paraId="4DD6008F">
      <w:pPr>
        <w:spacing w:before="55"/>
        <w:ind w:left="1758" w:right="1927"/>
        <w:jc w:val="center"/>
        <w:outlineLvl w:val="1"/>
        <w:rPr>
          <w:rFonts w:ascii="宋体" w:hAnsi="宋体" w:eastAsia="宋体" w:cs="宋体"/>
          <w:b/>
          <w:bCs/>
          <w:sz w:val="32"/>
          <w:szCs w:val="32"/>
        </w:rPr>
      </w:pPr>
      <w:r>
        <w:rPr>
          <w:rFonts w:ascii="宋体" w:hAnsi="宋体" w:eastAsia="宋体" w:cs="宋体"/>
          <w:b/>
          <w:bCs/>
          <w:spacing w:val="14"/>
          <w:sz w:val="32"/>
          <w:szCs w:val="32"/>
        </w:rPr>
        <w:t>第二</w:t>
      </w:r>
      <w:r>
        <w:rPr>
          <w:rFonts w:ascii="宋体" w:hAnsi="宋体" w:eastAsia="宋体" w:cs="宋体"/>
          <w:b/>
          <w:bCs/>
          <w:spacing w:val="52"/>
          <w:sz w:val="32"/>
          <w:szCs w:val="32"/>
        </w:rPr>
        <w:t>节 营</w:t>
      </w:r>
      <w:r>
        <w:rPr>
          <w:rFonts w:ascii="宋体" w:hAnsi="宋体" w:eastAsia="宋体" w:cs="宋体"/>
          <w:b/>
          <w:bCs/>
          <w:spacing w:val="14"/>
          <w:sz w:val="32"/>
          <w:szCs w:val="32"/>
        </w:rPr>
        <w:t>造高</w:t>
      </w:r>
      <w:r>
        <w:rPr>
          <w:rFonts w:ascii="宋体" w:hAnsi="宋体" w:eastAsia="宋体" w:cs="宋体"/>
          <w:b/>
          <w:bCs/>
          <w:spacing w:val="12"/>
          <w:sz w:val="32"/>
          <w:szCs w:val="32"/>
        </w:rPr>
        <w:t>效</w:t>
      </w:r>
      <w:r>
        <w:rPr>
          <w:rFonts w:ascii="宋体" w:hAnsi="宋体" w:eastAsia="宋体" w:cs="宋体"/>
          <w:b/>
          <w:bCs/>
          <w:spacing w:val="14"/>
          <w:sz w:val="32"/>
          <w:szCs w:val="32"/>
        </w:rPr>
        <w:t>便捷的企业生</w:t>
      </w:r>
      <w:r>
        <w:rPr>
          <w:rFonts w:ascii="宋体" w:hAnsi="宋体" w:eastAsia="宋体" w:cs="宋体"/>
          <w:b/>
          <w:bCs/>
          <w:spacing w:val="5"/>
          <w:sz w:val="32"/>
          <w:szCs w:val="32"/>
        </w:rPr>
        <w:t>态环境</w:t>
      </w:r>
    </w:p>
    <w:p w14:paraId="25E03C7A">
      <w:pPr>
        <w:spacing w:before="1"/>
        <w:rPr>
          <w:rFonts w:ascii="宋体"/>
          <w:b/>
          <w:sz w:val="25"/>
          <w:szCs w:val="32"/>
        </w:rPr>
      </w:pPr>
    </w:p>
    <w:p w14:paraId="267CD596">
      <w:pPr>
        <w:spacing w:line="338" w:lineRule="auto"/>
        <w:ind w:left="113" w:right="198" w:firstLine="664"/>
        <w:jc w:val="both"/>
        <w:rPr>
          <w:sz w:val="32"/>
          <w:szCs w:val="32"/>
        </w:rPr>
      </w:pPr>
      <w:r>
        <w:rPr>
          <w:spacing w:val="12"/>
          <w:sz w:val="32"/>
          <w:szCs w:val="32"/>
        </w:rPr>
        <w:t>完善产业政策体系，千方百计为企业发展减负赋能</w:t>
      </w:r>
      <w:r>
        <w:rPr>
          <w:spacing w:val="3"/>
          <w:sz w:val="32"/>
          <w:szCs w:val="32"/>
        </w:rPr>
        <w:t>。依托</w:t>
      </w:r>
      <w:r>
        <w:rPr>
          <w:spacing w:val="24"/>
          <w:sz w:val="32"/>
          <w:szCs w:val="32"/>
        </w:rPr>
        <w:t>政务大厅便企服务窗口及阅海湾中央商务区智慧便企服</w:t>
      </w:r>
      <w:r>
        <w:rPr>
          <w:spacing w:val="12"/>
          <w:sz w:val="32"/>
          <w:szCs w:val="32"/>
        </w:rPr>
        <w:t>务中心，加快实现行政审批“一章办、一网办、一窗办、一</w:t>
      </w:r>
      <w:r>
        <w:rPr>
          <w:spacing w:val="7"/>
          <w:sz w:val="32"/>
          <w:szCs w:val="32"/>
        </w:rPr>
        <w:t>线办、</w:t>
      </w:r>
      <w:r>
        <w:rPr>
          <w:spacing w:val="17"/>
          <w:sz w:val="32"/>
          <w:szCs w:val="32"/>
        </w:rPr>
        <w:t>一次办</w:t>
      </w:r>
      <w:r>
        <w:rPr>
          <w:spacing w:val="-149"/>
          <w:sz w:val="32"/>
          <w:szCs w:val="32"/>
        </w:rPr>
        <w:t>”</w:t>
      </w:r>
      <w:r>
        <w:rPr>
          <w:spacing w:val="17"/>
          <w:sz w:val="32"/>
          <w:szCs w:val="32"/>
        </w:rPr>
        <w:t>。建设金凤区基层政务审批便民化治理综合服务中</w:t>
      </w:r>
      <w:r>
        <w:rPr>
          <w:sz w:val="32"/>
          <w:szCs w:val="32"/>
        </w:rPr>
        <w:t>心</w:t>
      </w:r>
      <w:r>
        <w:rPr>
          <w:spacing w:val="12"/>
          <w:sz w:val="32"/>
          <w:szCs w:val="32"/>
        </w:rPr>
        <w:t>项目，建</w:t>
      </w:r>
      <w:r>
        <w:rPr>
          <w:spacing w:val="-20"/>
          <w:sz w:val="32"/>
          <w:szCs w:val="32"/>
        </w:rPr>
        <w:t xml:space="preserve">设 </w:t>
      </w:r>
      <w:r>
        <w:rPr>
          <w:rFonts w:ascii="Times New Roman" w:hAnsi="Times New Roman" w:eastAsia="Times New Roman"/>
          <w:sz w:val="32"/>
          <w:szCs w:val="32"/>
        </w:rPr>
        <w:t>1</w:t>
      </w:r>
      <w:r>
        <w:rPr>
          <w:rFonts w:ascii="Times New Roman" w:hAnsi="Times New Roman" w:eastAsia="Times New Roman"/>
          <w:spacing w:val="-20"/>
          <w:sz w:val="32"/>
          <w:szCs w:val="32"/>
        </w:rPr>
        <w:t xml:space="preserve"> </w:t>
      </w:r>
      <w:r>
        <w:rPr>
          <w:spacing w:val="13"/>
          <w:sz w:val="32"/>
          <w:szCs w:val="32"/>
        </w:rPr>
        <w:t>个服</w:t>
      </w:r>
      <w:r>
        <w:rPr>
          <w:spacing w:val="12"/>
          <w:sz w:val="32"/>
          <w:szCs w:val="32"/>
        </w:rPr>
        <w:t>务体</w:t>
      </w:r>
      <w:r>
        <w:rPr>
          <w:spacing w:val="14"/>
          <w:sz w:val="32"/>
          <w:szCs w:val="32"/>
        </w:rPr>
        <w:t>验</w:t>
      </w:r>
      <w:r>
        <w:rPr>
          <w:spacing w:val="12"/>
          <w:sz w:val="32"/>
          <w:szCs w:val="32"/>
        </w:rPr>
        <w:t>中心</w:t>
      </w:r>
      <w:r>
        <w:rPr>
          <w:sz w:val="32"/>
          <w:szCs w:val="32"/>
        </w:rPr>
        <w:t>，</w:t>
      </w:r>
      <w:r>
        <w:rPr>
          <w:rFonts w:ascii="Times New Roman" w:hAnsi="Times New Roman" w:eastAsia="Times New Roman"/>
          <w:sz w:val="32"/>
          <w:szCs w:val="32"/>
        </w:rPr>
        <w:t>67</w:t>
      </w:r>
      <w:r>
        <w:rPr>
          <w:rFonts w:ascii="Times New Roman" w:hAnsi="Times New Roman" w:eastAsia="Times New Roman"/>
          <w:spacing w:val="-18"/>
          <w:sz w:val="32"/>
          <w:szCs w:val="32"/>
        </w:rPr>
        <w:t xml:space="preserve"> </w:t>
      </w:r>
      <w:r>
        <w:rPr>
          <w:spacing w:val="13"/>
          <w:sz w:val="32"/>
          <w:szCs w:val="32"/>
        </w:rPr>
        <w:t>个村</w:t>
      </w:r>
      <w:r>
        <w:rPr>
          <w:spacing w:val="12"/>
          <w:sz w:val="32"/>
          <w:szCs w:val="32"/>
        </w:rPr>
        <w:t>居基</w:t>
      </w:r>
      <w:r>
        <w:rPr>
          <w:spacing w:val="14"/>
          <w:sz w:val="32"/>
          <w:szCs w:val="32"/>
        </w:rPr>
        <w:t>层</w:t>
      </w:r>
      <w:r>
        <w:rPr>
          <w:spacing w:val="12"/>
          <w:sz w:val="32"/>
          <w:szCs w:val="32"/>
        </w:rPr>
        <w:t>政务</w:t>
      </w:r>
      <w:r>
        <w:rPr>
          <w:spacing w:val="14"/>
          <w:sz w:val="32"/>
          <w:szCs w:val="32"/>
        </w:rPr>
        <w:t>服</w:t>
      </w:r>
      <w:r>
        <w:rPr>
          <w:spacing w:val="12"/>
          <w:sz w:val="32"/>
          <w:szCs w:val="32"/>
        </w:rPr>
        <w:t>务中心</w:t>
      </w:r>
      <w:r>
        <w:rPr>
          <w:sz w:val="32"/>
          <w:szCs w:val="32"/>
        </w:rPr>
        <w:t>，</w:t>
      </w:r>
      <w:r>
        <w:rPr>
          <w:spacing w:val="12"/>
          <w:sz w:val="32"/>
          <w:szCs w:val="32"/>
        </w:rPr>
        <w:t>通过办事</w:t>
      </w:r>
      <w:r>
        <w:rPr>
          <w:spacing w:val="14"/>
          <w:sz w:val="32"/>
          <w:szCs w:val="32"/>
        </w:rPr>
        <w:t>智</w:t>
      </w:r>
      <w:r>
        <w:rPr>
          <w:spacing w:val="12"/>
          <w:sz w:val="32"/>
          <w:szCs w:val="32"/>
        </w:rPr>
        <w:t>能终</w:t>
      </w:r>
      <w:r>
        <w:rPr>
          <w:spacing w:val="2"/>
          <w:sz w:val="32"/>
          <w:szCs w:val="32"/>
        </w:rPr>
        <w:t xml:space="preserve">端，实现辖区 </w:t>
      </w:r>
      <w:r>
        <w:rPr>
          <w:rFonts w:ascii="Times New Roman" w:hAnsi="Times New Roman" w:eastAsia="Times New Roman"/>
          <w:sz w:val="32"/>
          <w:szCs w:val="32"/>
        </w:rPr>
        <w:t>50%</w:t>
      </w:r>
      <w:r>
        <w:rPr>
          <w:spacing w:val="13"/>
          <w:sz w:val="32"/>
          <w:szCs w:val="32"/>
        </w:rPr>
        <w:t>的便</w:t>
      </w:r>
      <w:r>
        <w:rPr>
          <w:spacing w:val="12"/>
          <w:sz w:val="32"/>
          <w:szCs w:val="32"/>
        </w:rPr>
        <w:t>民服</w:t>
      </w:r>
      <w:r>
        <w:rPr>
          <w:spacing w:val="14"/>
          <w:sz w:val="32"/>
          <w:szCs w:val="32"/>
        </w:rPr>
        <w:t>务</w:t>
      </w:r>
      <w:r>
        <w:rPr>
          <w:spacing w:val="12"/>
          <w:sz w:val="32"/>
          <w:szCs w:val="32"/>
        </w:rPr>
        <w:t>事项</w:t>
      </w:r>
      <w:r>
        <w:rPr>
          <w:spacing w:val="14"/>
          <w:sz w:val="32"/>
          <w:szCs w:val="32"/>
        </w:rPr>
        <w:t>群</w:t>
      </w:r>
      <w:r>
        <w:rPr>
          <w:spacing w:val="12"/>
          <w:sz w:val="32"/>
          <w:szCs w:val="32"/>
        </w:rPr>
        <w:t>众办</w:t>
      </w:r>
      <w:r>
        <w:rPr>
          <w:spacing w:val="7"/>
          <w:sz w:val="32"/>
          <w:szCs w:val="32"/>
        </w:rPr>
        <w:t>事不</w:t>
      </w:r>
      <w:r>
        <w:rPr>
          <w:spacing w:val="8"/>
          <w:sz w:val="32"/>
          <w:szCs w:val="32"/>
        </w:rPr>
        <w:t>出社区，企业</w:t>
      </w:r>
      <w:r>
        <w:rPr>
          <w:spacing w:val="12"/>
          <w:sz w:val="32"/>
          <w:szCs w:val="32"/>
        </w:rPr>
        <w:t>办事不出园</w:t>
      </w:r>
      <w:r>
        <w:rPr>
          <w:spacing w:val="9"/>
          <w:sz w:val="32"/>
          <w:szCs w:val="32"/>
        </w:rPr>
        <w:t>区。建设</w:t>
      </w:r>
      <w:r>
        <w:rPr>
          <w:spacing w:val="12"/>
          <w:sz w:val="32"/>
          <w:szCs w:val="32"/>
        </w:rPr>
        <w:t>金凤区政务服务信息便民</w:t>
      </w:r>
      <w:r>
        <w:rPr>
          <w:sz w:val="32"/>
          <w:szCs w:val="32"/>
        </w:rPr>
        <w:t>一</w:t>
      </w:r>
      <w:r>
        <w:rPr>
          <w:spacing w:val="12"/>
          <w:sz w:val="32"/>
          <w:szCs w:val="32"/>
        </w:rPr>
        <w:t>体化项目，完善辖区政务服务审核系</w:t>
      </w:r>
      <w:r>
        <w:rPr>
          <w:spacing w:val="8"/>
          <w:sz w:val="32"/>
          <w:szCs w:val="32"/>
        </w:rPr>
        <w:t>统，将远</w:t>
      </w:r>
      <w:r>
        <w:rPr>
          <w:spacing w:val="12"/>
          <w:sz w:val="32"/>
          <w:szCs w:val="32"/>
        </w:rPr>
        <w:t>程视频勘察</w:t>
      </w:r>
      <w:r>
        <w:rPr>
          <w:spacing w:val="6"/>
          <w:sz w:val="32"/>
          <w:szCs w:val="32"/>
        </w:rPr>
        <w:t>和远</w:t>
      </w:r>
      <w:r>
        <w:rPr>
          <w:spacing w:val="12"/>
          <w:sz w:val="32"/>
          <w:szCs w:val="32"/>
        </w:rPr>
        <w:t>程身份认证结合起来，与宁夏政务服务“一张网”贯</w:t>
      </w:r>
      <w:r>
        <w:rPr>
          <w:spacing w:val="5"/>
          <w:sz w:val="32"/>
          <w:szCs w:val="32"/>
        </w:rPr>
        <w:t>通，共享</w:t>
      </w:r>
      <w:r>
        <w:rPr>
          <w:spacing w:val="12"/>
          <w:sz w:val="32"/>
          <w:szCs w:val="32"/>
        </w:rPr>
        <w:t>政务服务数据，实现政务服务“不</w:t>
      </w:r>
      <w:r>
        <w:rPr>
          <w:spacing w:val="8"/>
          <w:sz w:val="32"/>
          <w:szCs w:val="32"/>
        </w:rPr>
        <w:t>见面”远程办理</w:t>
      </w:r>
      <w:r>
        <w:rPr>
          <w:spacing w:val="12"/>
          <w:sz w:val="32"/>
          <w:szCs w:val="32"/>
        </w:rPr>
        <w:t>。建</w:t>
      </w:r>
      <w:r>
        <w:rPr>
          <w:spacing w:val="8"/>
          <w:sz w:val="32"/>
          <w:szCs w:val="32"/>
        </w:rPr>
        <w:t>设金凤</w:t>
      </w:r>
      <w:r>
        <w:rPr>
          <w:spacing w:val="12"/>
          <w:sz w:val="32"/>
          <w:szCs w:val="32"/>
        </w:rPr>
        <w:t>区企业信息数据分析项</w:t>
      </w:r>
      <w:r>
        <w:rPr>
          <w:spacing w:val="8"/>
          <w:sz w:val="32"/>
          <w:szCs w:val="32"/>
        </w:rPr>
        <w:t>目，通过</w:t>
      </w:r>
      <w:r>
        <w:rPr>
          <w:spacing w:val="12"/>
          <w:sz w:val="32"/>
          <w:szCs w:val="32"/>
        </w:rPr>
        <w:t>与宁夏企业登记全程电子</w:t>
      </w:r>
      <w:r>
        <w:rPr>
          <w:spacing w:val="6"/>
          <w:sz w:val="32"/>
          <w:szCs w:val="32"/>
        </w:rPr>
        <w:t>化系</w:t>
      </w:r>
      <w:r>
        <w:rPr>
          <w:spacing w:val="12"/>
          <w:sz w:val="32"/>
          <w:szCs w:val="32"/>
        </w:rPr>
        <w:t>统贯通，掌握辖区市场经济主体信息，纳税情况等数据要</w:t>
      </w:r>
      <w:r>
        <w:rPr>
          <w:spacing w:val="6"/>
          <w:sz w:val="32"/>
          <w:szCs w:val="32"/>
        </w:rPr>
        <w:t>素，</w:t>
      </w:r>
      <w:r>
        <w:rPr>
          <w:spacing w:val="12"/>
          <w:sz w:val="32"/>
          <w:szCs w:val="32"/>
        </w:rPr>
        <w:t>通过大数据分析，提高政府决策的科学性、可</w:t>
      </w:r>
      <w:r>
        <w:rPr>
          <w:spacing w:val="6"/>
          <w:sz w:val="32"/>
          <w:szCs w:val="32"/>
        </w:rPr>
        <w:t>行性。在放宽市</w:t>
      </w:r>
      <w:r>
        <w:rPr>
          <w:spacing w:val="24"/>
          <w:sz w:val="32"/>
          <w:szCs w:val="32"/>
        </w:rPr>
        <w:t>场准入的同时同步加强事中事后监管，加大市场监管</w:t>
      </w:r>
      <w:r>
        <w:rPr>
          <w:spacing w:val="15"/>
          <w:sz w:val="32"/>
          <w:szCs w:val="32"/>
        </w:rPr>
        <w:t>执法力</w:t>
      </w:r>
      <w:r>
        <w:rPr>
          <w:spacing w:val="12"/>
          <w:sz w:val="32"/>
          <w:szCs w:val="32"/>
        </w:rPr>
        <w:t>度，推动“双随机、一公开”联合监管，完善信用监</w:t>
      </w:r>
      <w:r>
        <w:rPr>
          <w:spacing w:val="8"/>
          <w:sz w:val="32"/>
          <w:szCs w:val="32"/>
        </w:rPr>
        <w:t>管体制。</w:t>
      </w:r>
      <w:r>
        <w:rPr>
          <w:spacing w:val="12"/>
          <w:sz w:val="32"/>
          <w:szCs w:val="32"/>
        </w:rPr>
        <w:t>加快社会信用体系建设，加强信用信息</w:t>
      </w:r>
      <w:r>
        <w:rPr>
          <w:spacing w:val="8"/>
          <w:sz w:val="32"/>
          <w:szCs w:val="32"/>
        </w:rPr>
        <w:t>应用，开展</w:t>
      </w:r>
      <w:r>
        <w:rPr>
          <w:spacing w:val="12"/>
          <w:sz w:val="32"/>
          <w:szCs w:val="32"/>
        </w:rPr>
        <w:t>失信</w:t>
      </w:r>
      <w:r>
        <w:rPr>
          <w:spacing w:val="8"/>
          <w:sz w:val="32"/>
          <w:szCs w:val="32"/>
        </w:rPr>
        <w:t>联合惩</w:t>
      </w:r>
      <w:r>
        <w:rPr>
          <w:spacing w:val="12"/>
          <w:sz w:val="32"/>
          <w:szCs w:val="32"/>
        </w:rPr>
        <w:t>戒。不断强化政府对市场主体的服务功能，把精准服务、解</w:t>
      </w:r>
      <w:r>
        <w:rPr>
          <w:sz w:val="32"/>
          <w:szCs w:val="32"/>
        </w:rPr>
        <w:t>决</w:t>
      </w:r>
      <w:r>
        <w:rPr>
          <w:spacing w:val="12"/>
          <w:sz w:val="32"/>
          <w:szCs w:val="32"/>
        </w:rPr>
        <w:t>问题落到实处，使“金凤服务”成为全区一张靓丽的名片</w:t>
      </w:r>
      <w:r>
        <w:rPr>
          <w:sz w:val="32"/>
          <w:szCs w:val="32"/>
        </w:rPr>
        <w:t>。</w:t>
      </w:r>
    </w:p>
    <w:p w14:paraId="4656F67C">
      <w:pPr>
        <w:spacing w:line="338" w:lineRule="auto"/>
        <w:jc w:val="both"/>
        <w:sectPr>
          <w:pgSz w:w="11910" w:h="16840"/>
          <w:pgMar w:top="1920" w:right="1200" w:bottom="1160" w:left="1360" w:header="0" w:footer="975" w:gutter="0"/>
          <w:cols w:space="720" w:num="1"/>
        </w:sectPr>
      </w:pPr>
    </w:p>
    <w:p w14:paraId="7D1F23ED">
      <w:pPr>
        <w:spacing w:before="31"/>
        <w:ind w:left="1758" w:right="1927"/>
        <w:jc w:val="center"/>
        <w:outlineLvl w:val="1"/>
        <w:rPr>
          <w:rFonts w:ascii="宋体" w:hAnsi="宋体" w:eastAsia="宋体" w:cs="宋体"/>
          <w:b/>
          <w:bCs/>
          <w:sz w:val="32"/>
          <w:szCs w:val="32"/>
        </w:rPr>
      </w:pPr>
      <w:r>
        <w:rPr>
          <w:rFonts w:ascii="宋体" w:hAnsi="宋体" w:eastAsia="宋体" w:cs="宋体"/>
          <w:b/>
          <w:bCs/>
          <w:spacing w:val="14"/>
          <w:sz w:val="32"/>
          <w:szCs w:val="32"/>
        </w:rPr>
        <w:t>第三</w:t>
      </w:r>
      <w:r>
        <w:rPr>
          <w:rFonts w:ascii="宋体" w:hAnsi="宋体" w:eastAsia="宋体" w:cs="宋体"/>
          <w:b/>
          <w:bCs/>
          <w:spacing w:val="52"/>
          <w:sz w:val="32"/>
          <w:szCs w:val="32"/>
        </w:rPr>
        <w:t>节 提</w:t>
      </w:r>
      <w:r>
        <w:rPr>
          <w:rFonts w:ascii="宋体" w:hAnsi="宋体" w:eastAsia="宋体" w:cs="宋体"/>
          <w:b/>
          <w:bCs/>
          <w:spacing w:val="14"/>
          <w:sz w:val="32"/>
          <w:szCs w:val="32"/>
        </w:rPr>
        <w:t>升具</w:t>
      </w:r>
      <w:r>
        <w:rPr>
          <w:rFonts w:ascii="宋体" w:hAnsi="宋体" w:eastAsia="宋体" w:cs="宋体"/>
          <w:b/>
          <w:bCs/>
          <w:spacing w:val="12"/>
          <w:sz w:val="32"/>
          <w:szCs w:val="32"/>
        </w:rPr>
        <w:t>备</w:t>
      </w:r>
      <w:r>
        <w:rPr>
          <w:rFonts w:ascii="宋体" w:hAnsi="宋体" w:eastAsia="宋体" w:cs="宋体"/>
          <w:b/>
          <w:bCs/>
          <w:spacing w:val="14"/>
          <w:sz w:val="32"/>
          <w:szCs w:val="32"/>
        </w:rPr>
        <w:t>国际水准的市</w:t>
      </w:r>
      <w:r>
        <w:rPr>
          <w:rFonts w:ascii="宋体" w:hAnsi="宋体" w:eastAsia="宋体" w:cs="宋体"/>
          <w:b/>
          <w:bCs/>
          <w:spacing w:val="5"/>
          <w:sz w:val="32"/>
          <w:szCs w:val="32"/>
        </w:rPr>
        <w:t>场环境</w:t>
      </w:r>
    </w:p>
    <w:p w14:paraId="2EB227E5">
      <w:pPr>
        <w:spacing w:before="1"/>
        <w:rPr>
          <w:rFonts w:ascii="宋体"/>
          <w:b/>
          <w:sz w:val="25"/>
          <w:szCs w:val="32"/>
        </w:rPr>
      </w:pPr>
    </w:p>
    <w:p w14:paraId="03B14C25">
      <w:pPr>
        <w:spacing w:line="338" w:lineRule="auto"/>
        <w:ind w:left="113" w:right="278" w:firstLine="664"/>
        <w:jc w:val="both"/>
        <w:rPr>
          <w:sz w:val="32"/>
          <w:szCs w:val="32"/>
        </w:rPr>
      </w:pPr>
      <w:r>
        <w:rPr>
          <w:spacing w:val="9"/>
          <w:w w:val="99"/>
          <w:sz w:val="32"/>
          <w:szCs w:val="32"/>
        </w:rPr>
        <w:t>营造公平竞争市场环境，科学调整市场准入门槛，全面落</w:t>
      </w:r>
      <w:r>
        <w:rPr>
          <w:spacing w:val="10"/>
          <w:w w:val="99"/>
          <w:sz w:val="32"/>
          <w:szCs w:val="32"/>
        </w:rPr>
        <w:t>实负面清单制和公平竞争审查制度，鼓励各类市场主体依法平等进入，保护市场公平开放。落实国家各项减税降费政策，确</w:t>
      </w:r>
      <w:r>
        <w:rPr>
          <w:spacing w:val="9"/>
          <w:w w:val="99"/>
          <w:sz w:val="32"/>
          <w:szCs w:val="32"/>
        </w:rPr>
        <w:t>保减税降费政策全面、及时惠及市场主体。提升公共事业服务</w:t>
      </w:r>
      <w:r>
        <w:rPr>
          <w:spacing w:val="8"/>
          <w:w w:val="99"/>
          <w:sz w:val="32"/>
          <w:szCs w:val="32"/>
        </w:rPr>
        <w:t>水平，推动供水、供电、燃气等公用企事业单位入驻各级政务</w:t>
      </w:r>
      <w:r>
        <w:rPr>
          <w:spacing w:val="10"/>
          <w:w w:val="99"/>
          <w:sz w:val="32"/>
          <w:szCs w:val="32"/>
        </w:rPr>
        <w:t>服务大厅，为市场主体提供安全、便捷、稳定和价格合理的服</w:t>
      </w:r>
      <w:r>
        <w:rPr>
          <w:spacing w:val="11"/>
          <w:w w:val="99"/>
          <w:sz w:val="32"/>
          <w:szCs w:val="32"/>
        </w:rPr>
        <w:t>务。持续降低企业融资成本，推动银企融资对接、银担全面合</w:t>
      </w:r>
      <w:r>
        <w:rPr>
          <w:spacing w:val="9"/>
          <w:w w:val="99"/>
          <w:sz w:val="32"/>
          <w:szCs w:val="32"/>
        </w:rPr>
        <w:t>作、银税信息共享，深化完善融资担保机构风险补偿机制。规范招投标和政府采购，配合推进公共资源交易全程电子化，增</w:t>
      </w:r>
      <w:r>
        <w:rPr>
          <w:spacing w:val="11"/>
          <w:w w:val="99"/>
          <w:sz w:val="32"/>
          <w:szCs w:val="32"/>
        </w:rPr>
        <w:t>强公共资源交易透明度。全面落实外商投资法及其实施条例，落实外资企业依法平等享受税费减免等各类支持政策。</w:t>
      </w:r>
    </w:p>
    <w:p w14:paraId="43C2D3A6">
      <w:pPr>
        <w:spacing w:before="162"/>
        <w:ind w:left="1758" w:right="1927"/>
        <w:jc w:val="center"/>
        <w:outlineLvl w:val="1"/>
        <w:rPr>
          <w:rFonts w:ascii="宋体" w:hAnsi="宋体" w:eastAsia="宋体" w:cs="宋体"/>
          <w:b/>
          <w:bCs/>
          <w:sz w:val="32"/>
          <w:szCs w:val="32"/>
        </w:rPr>
      </w:pPr>
      <w:r>
        <w:rPr>
          <w:rFonts w:ascii="宋体" w:hAnsi="宋体" w:eastAsia="宋体" w:cs="宋体"/>
          <w:b/>
          <w:bCs/>
          <w:spacing w:val="14"/>
          <w:sz w:val="32"/>
          <w:szCs w:val="32"/>
        </w:rPr>
        <w:t>第四</w:t>
      </w:r>
      <w:r>
        <w:rPr>
          <w:rFonts w:ascii="宋体" w:hAnsi="宋体" w:eastAsia="宋体" w:cs="宋体"/>
          <w:b/>
          <w:bCs/>
          <w:spacing w:val="52"/>
          <w:sz w:val="32"/>
          <w:szCs w:val="32"/>
        </w:rPr>
        <w:t>节 打</w:t>
      </w:r>
      <w:r>
        <w:rPr>
          <w:rFonts w:ascii="宋体" w:hAnsi="宋体" w:eastAsia="宋体" w:cs="宋体"/>
          <w:b/>
          <w:bCs/>
          <w:spacing w:val="14"/>
          <w:sz w:val="32"/>
          <w:szCs w:val="32"/>
        </w:rPr>
        <w:t>造精</w:t>
      </w:r>
      <w:r>
        <w:rPr>
          <w:rFonts w:ascii="宋体" w:hAnsi="宋体" w:eastAsia="宋体" w:cs="宋体"/>
          <w:b/>
          <w:bCs/>
          <w:spacing w:val="12"/>
          <w:sz w:val="32"/>
          <w:szCs w:val="32"/>
        </w:rPr>
        <w:t>准</w:t>
      </w:r>
      <w:r>
        <w:rPr>
          <w:rFonts w:ascii="宋体" w:hAnsi="宋体" w:eastAsia="宋体" w:cs="宋体"/>
          <w:b/>
          <w:bCs/>
          <w:spacing w:val="14"/>
          <w:sz w:val="32"/>
          <w:szCs w:val="32"/>
        </w:rPr>
        <w:t>高效的招商选</w:t>
      </w:r>
      <w:r>
        <w:rPr>
          <w:rFonts w:ascii="宋体" w:hAnsi="宋体" w:eastAsia="宋体" w:cs="宋体"/>
          <w:b/>
          <w:bCs/>
          <w:spacing w:val="5"/>
          <w:sz w:val="32"/>
          <w:szCs w:val="32"/>
        </w:rPr>
        <w:t>资体系</w:t>
      </w:r>
    </w:p>
    <w:p w14:paraId="243E6797">
      <w:pPr>
        <w:spacing w:before="2"/>
        <w:rPr>
          <w:rFonts w:ascii="宋体"/>
          <w:b/>
          <w:sz w:val="25"/>
          <w:szCs w:val="32"/>
        </w:rPr>
      </w:pPr>
    </w:p>
    <w:p w14:paraId="0918CEFF">
      <w:pPr>
        <w:spacing w:line="338" w:lineRule="auto"/>
        <w:ind w:left="113" w:right="283" w:firstLine="664"/>
        <w:jc w:val="both"/>
        <w:rPr>
          <w:sz w:val="32"/>
          <w:szCs w:val="32"/>
        </w:rPr>
      </w:pPr>
      <w:r>
        <w:rPr>
          <w:spacing w:val="10"/>
          <w:w w:val="99"/>
          <w:sz w:val="32"/>
          <w:szCs w:val="32"/>
        </w:rPr>
        <w:t>优化招商选资机制，构建由政府投资促进部门、专业投资促进机构、中介服务机构和项目单位各司其职又相互协调配合</w:t>
      </w:r>
      <w:r>
        <w:rPr>
          <w:spacing w:val="9"/>
          <w:w w:val="99"/>
          <w:sz w:val="32"/>
          <w:szCs w:val="32"/>
        </w:rPr>
        <w:t>的现代投资促进体系。深入实施招商引资体制改革，设立区投资促进中心、街道投资服务中心，改革资源信息共享、重大项</w:t>
      </w:r>
      <w:r>
        <w:rPr>
          <w:spacing w:val="10"/>
          <w:w w:val="99"/>
          <w:sz w:val="32"/>
          <w:szCs w:val="32"/>
        </w:rPr>
        <w:t>目招引和利益分配制度，完善考核激励机制，增强招商引资统筹化、专业化水平。以总部经济、数字经济、金融服务、商贸</w:t>
      </w:r>
      <w:r>
        <w:rPr>
          <w:spacing w:val="9"/>
          <w:w w:val="99"/>
          <w:sz w:val="32"/>
          <w:szCs w:val="32"/>
        </w:rPr>
        <w:t>物流、科技服务等产业为重点，积极开展产业链招商、驻点招商、以商招商、楼宇二次招商，不断提高招商引资项目、商业</w:t>
      </w:r>
      <w:r>
        <w:rPr>
          <w:spacing w:val="14"/>
          <w:w w:val="99"/>
          <w:sz w:val="32"/>
          <w:szCs w:val="32"/>
        </w:rPr>
        <w:t>资源的精准性和成功率，推进“</w:t>
      </w:r>
      <w:r>
        <w:rPr>
          <w:rFonts w:ascii="Times New Roman" w:hAnsi="Times New Roman" w:eastAsia="Times New Roman"/>
          <w:spacing w:val="3"/>
          <w:w w:val="99"/>
          <w:sz w:val="32"/>
          <w:szCs w:val="32"/>
        </w:rPr>
        <w:t>5</w:t>
      </w:r>
      <w:r>
        <w:rPr>
          <w:rFonts w:ascii="Times New Roman" w:hAnsi="Times New Roman" w:eastAsia="Times New Roman"/>
          <w:w w:val="99"/>
          <w:sz w:val="32"/>
          <w:szCs w:val="32"/>
        </w:rPr>
        <w:t>8</w:t>
      </w:r>
      <w:r>
        <w:rPr>
          <w:rFonts w:ascii="Times New Roman" w:hAnsi="Times New Roman" w:eastAsia="Times New Roman"/>
          <w:spacing w:val="14"/>
          <w:sz w:val="32"/>
          <w:szCs w:val="32"/>
        </w:rPr>
        <w:t xml:space="preserve"> </w:t>
      </w:r>
      <w:r>
        <w:rPr>
          <w:spacing w:val="-2"/>
          <w:w w:val="99"/>
          <w:sz w:val="32"/>
          <w:szCs w:val="32"/>
        </w:rPr>
        <w:t>小镇”、京东云、新媒体企</w:t>
      </w:r>
    </w:p>
    <w:p w14:paraId="55D883C7">
      <w:pPr>
        <w:spacing w:line="338" w:lineRule="auto"/>
        <w:jc w:val="both"/>
        <w:sectPr>
          <w:pgSz w:w="11910" w:h="16840"/>
          <w:pgMar w:top="1780" w:right="1200" w:bottom="1160" w:left="1360" w:header="0" w:footer="975" w:gutter="0"/>
          <w:cols w:space="720" w:num="1"/>
        </w:sectPr>
      </w:pPr>
    </w:p>
    <w:p w14:paraId="306BFAC3">
      <w:pPr>
        <w:spacing w:before="28" w:line="338" w:lineRule="auto"/>
        <w:ind w:left="113" w:right="283"/>
        <w:jc w:val="both"/>
        <w:rPr>
          <w:sz w:val="32"/>
          <w:szCs w:val="32"/>
        </w:rPr>
      </w:pPr>
      <w:r>
        <w:rPr>
          <w:spacing w:val="10"/>
          <w:w w:val="99"/>
          <w:sz w:val="32"/>
          <w:szCs w:val="32"/>
        </w:rPr>
        <w:t>业落地。借助土地资源、重点产业、优质载体等优势，重点聚</w:t>
      </w:r>
      <w:r>
        <w:rPr>
          <w:spacing w:val="8"/>
          <w:w w:val="99"/>
          <w:sz w:val="32"/>
          <w:szCs w:val="32"/>
        </w:rPr>
        <w:t>焦“六类</w:t>
      </w:r>
      <w:r>
        <w:rPr>
          <w:spacing w:val="-64"/>
          <w:sz w:val="32"/>
          <w:szCs w:val="32"/>
        </w:rPr>
        <w:t xml:space="preserve"> </w:t>
      </w:r>
      <w:r>
        <w:rPr>
          <w:rFonts w:ascii="Times New Roman" w:hAnsi="Times New Roman" w:eastAsia="Times New Roman"/>
          <w:spacing w:val="3"/>
          <w:w w:val="99"/>
          <w:sz w:val="32"/>
          <w:szCs w:val="32"/>
        </w:rPr>
        <w:t>5</w:t>
      </w:r>
      <w:r>
        <w:rPr>
          <w:rFonts w:ascii="Times New Roman" w:hAnsi="Times New Roman" w:eastAsia="Times New Roman"/>
          <w:spacing w:val="6"/>
          <w:w w:val="99"/>
          <w:sz w:val="32"/>
          <w:szCs w:val="32"/>
        </w:rPr>
        <w:t>0</w:t>
      </w:r>
      <w:r>
        <w:rPr>
          <w:rFonts w:ascii="Times New Roman" w:hAnsi="Times New Roman" w:eastAsia="Times New Roman"/>
          <w:w w:val="99"/>
          <w:sz w:val="32"/>
          <w:szCs w:val="32"/>
        </w:rPr>
        <w:t>0</w:t>
      </w:r>
      <w:r>
        <w:rPr>
          <w:rFonts w:ascii="Times New Roman" w:hAnsi="Times New Roman" w:eastAsia="Times New Roman"/>
          <w:spacing w:val="12"/>
          <w:sz w:val="32"/>
          <w:szCs w:val="32"/>
        </w:rPr>
        <w:t xml:space="preserve"> </w:t>
      </w:r>
      <w:r>
        <w:rPr>
          <w:spacing w:val="9"/>
          <w:w w:val="99"/>
          <w:sz w:val="32"/>
          <w:szCs w:val="32"/>
        </w:rPr>
        <w:t>强”和其他综合实力强的企业，尽快引进一批跨</w:t>
      </w:r>
      <w:r>
        <w:rPr>
          <w:spacing w:val="11"/>
          <w:w w:val="99"/>
          <w:sz w:val="32"/>
          <w:szCs w:val="32"/>
        </w:rPr>
        <w:t>国公司、地区总部和品牌企业落户金凤区。</w:t>
      </w:r>
    </w:p>
    <w:p w14:paraId="397FDAA4">
      <w:pPr>
        <w:tabs>
          <w:tab w:val="left" w:pos="2477"/>
        </w:tabs>
        <w:spacing w:before="104"/>
        <w:ind w:left="678"/>
        <w:jc w:val="center"/>
        <w:outlineLvl w:val="0"/>
        <w:rPr>
          <w:rFonts w:ascii="宋体" w:hAnsi="宋体" w:eastAsia="宋体" w:cs="宋体"/>
          <w:sz w:val="36"/>
          <w:szCs w:val="36"/>
        </w:rPr>
      </w:pPr>
      <w:r>
        <w:rPr>
          <w:rFonts w:ascii="宋体" w:hAnsi="宋体" w:eastAsia="宋体" w:cs="宋体"/>
          <w:sz w:val="36"/>
          <w:szCs w:val="36"/>
        </w:rPr>
        <w:t>第十二</w:t>
      </w:r>
      <w:r>
        <w:rPr>
          <w:rFonts w:ascii="宋体" w:hAnsi="宋体" w:eastAsia="宋体" w:cs="宋体"/>
          <w:spacing w:val="-10"/>
          <w:sz w:val="36"/>
          <w:szCs w:val="36"/>
        </w:rPr>
        <w:t>章</w:t>
      </w:r>
      <w:r>
        <w:rPr>
          <w:rFonts w:ascii="宋体" w:hAnsi="宋体" w:eastAsia="宋体" w:cs="宋体"/>
          <w:sz w:val="36"/>
          <w:szCs w:val="36"/>
        </w:rPr>
        <w:tab/>
      </w:r>
      <w:r>
        <w:rPr>
          <w:rFonts w:ascii="宋体" w:hAnsi="宋体" w:eastAsia="宋体" w:cs="宋体"/>
          <w:sz w:val="36"/>
          <w:szCs w:val="36"/>
        </w:rPr>
        <w:t>深化改革完善体制机</w:t>
      </w:r>
      <w:r>
        <w:rPr>
          <w:rFonts w:ascii="宋体" w:hAnsi="宋体" w:eastAsia="宋体" w:cs="宋体"/>
          <w:spacing w:val="-10"/>
          <w:sz w:val="36"/>
          <w:szCs w:val="36"/>
        </w:rPr>
        <w:t>制</w:t>
      </w:r>
    </w:p>
    <w:p w14:paraId="78F38A36">
      <w:pPr>
        <w:spacing w:before="297"/>
        <w:ind w:left="678" w:right="835"/>
        <w:jc w:val="center"/>
        <w:outlineLvl w:val="1"/>
        <w:rPr>
          <w:rFonts w:ascii="宋体" w:hAnsi="宋体" w:eastAsia="宋体" w:cs="宋体"/>
          <w:b/>
          <w:bCs/>
          <w:sz w:val="32"/>
          <w:szCs w:val="32"/>
        </w:rPr>
      </w:pPr>
      <w:r>
        <w:rPr>
          <w:rFonts w:ascii="宋体" w:hAnsi="宋体" w:eastAsia="宋体" w:cs="宋体"/>
          <w:b/>
          <w:bCs/>
          <w:sz w:val="32"/>
          <w:szCs w:val="32"/>
        </w:rPr>
        <w:t>第一</w:t>
      </w:r>
      <w:r>
        <w:rPr>
          <w:rFonts w:ascii="宋体" w:hAnsi="宋体" w:eastAsia="宋体" w:cs="宋体"/>
          <w:b/>
          <w:bCs/>
          <w:spacing w:val="47"/>
          <w:sz w:val="32"/>
          <w:szCs w:val="32"/>
        </w:rPr>
        <w:t>节 深</w:t>
      </w:r>
      <w:r>
        <w:rPr>
          <w:rFonts w:ascii="宋体" w:hAnsi="宋体" w:eastAsia="宋体" w:cs="宋体"/>
          <w:b/>
          <w:bCs/>
          <w:sz w:val="32"/>
          <w:szCs w:val="32"/>
        </w:rPr>
        <w:t>化服务型政府改</w:t>
      </w:r>
      <w:r>
        <w:rPr>
          <w:rFonts w:ascii="宋体" w:hAnsi="宋体" w:eastAsia="宋体" w:cs="宋体"/>
          <w:b/>
          <w:bCs/>
          <w:spacing w:val="-10"/>
          <w:sz w:val="32"/>
          <w:szCs w:val="32"/>
        </w:rPr>
        <w:t>革</w:t>
      </w:r>
    </w:p>
    <w:p w14:paraId="320A2225">
      <w:pPr>
        <w:spacing w:before="1"/>
        <w:rPr>
          <w:rFonts w:ascii="宋体"/>
          <w:b/>
          <w:sz w:val="25"/>
          <w:szCs w:val="32"/>
        </w:rPr>
      </w:pPr>
    </w:p>
    <w:p w14:paraId="49CCA7E7">
      <w:pPr>
        <w:spacing w:line="338" w:lineRule="auto"/>
        <w:ind w:left="113" w:right="271" w:firstLine="640"/>
        <w:jc w:val="both"/>
        <w:rPr>
          <w:sz w:val="32"/>
          <w:szCs w:val="32"/>
        </w:rPr>
      </w:pPr>
      <w:r>
        <w:rPr>
          <w:w w:val="99"/>
          <w:sz w:val="32"/>
          <w:szCs w:val="32"/>
        </w:rPr>
        <w:t>进一步转变政府职能，继续推进政府机构简政放权，着力构建政务集成服务新平台，加快完善政务公众信息服务体系，积极建设服务型政府。</w:t>
      </w:r>
    </w:p>
    <w:p w14:paraId="4B52272D">
      <w:pPr>
        <w:spacing w:before="6" w:line="338" w:lineRule="auto"/>
        <w:ind w:left="113" w:right="110" w:firstLine="640"/>
        <w:rPr>
          <w:sz w:val="32"/>
          <w:szCs w:val="32"/>
        </w:rPr>
      </w:pPr>
      <w:r>
        <w:rPr>
          <w:b/>
          <w:w w:val="99"/>
          <w:sz w:val="32"/>
          <w:szCs w:val="32"/>
        </w:rPr>
        <w:t>深化行政审批制度改革。</w:t>
      </w:r>
      <w:r>
        <w:rPr>
          <w:spacing w:val="-2"/>
          <w:w w:val="99"/>
          <w:sz w:val="32"/>
          <w:szCs w:val="32"/>
        </w:rPr>
        <w:t>按照国家、自治区、银川市工作要</w:t>
      </w:r>
      <w:r>
        <w:rPr>
          <w:w w:val="99"/>
          <w:sz w:val="32"/>
          <w:szCs w:val="32"/>
        </w:rPr>
        <w:t>求，围绕减程序、减时限、减费用，承接、清理、取消、调整和下放行政审批事项，进一步优化并公开审批流程、压缩并明确审批时限，约束自由裁量权。持续深化商事制度改革，积极探索非禁即入负面清单管理模式。大力推进“放管服”改革，打造最有</w:t>
      </w:r>
      <w:r>
        <w:rPr>
          <w:spacing w:val="-3"/>
          <w:w w:val="99"/>
          <w:sz w:val="32"/>
          <w:szCs w:val="32"/>
        </w:rPr>
        <w:t>温度、最有效率的金凤政务品牌。继续深度“放”，对划转的行</w:t>
      </w:r>
      <w:r>
        <w:rPr>
          <w:spacing w:val="-5"/>
          <w:w w:val="99"/>
          <w:sz w:val="32"/>
          <w:szCs w:val="32"/>
        </w:rPr>
        <w:t>政职权和公共服务事项，再提速</w:t>
      </w:r>
      <w:r>
        <w:rPr>
          <w:spacing w:val="-81"/>
          <w:sz w:val="32"/>
          <w:szCs w:val="32"/>
        </w:rPr>
        <w:t xml:space="preserve"> </w:t>
      </w:r>
      <w:r>
        <w:rPr>
          <w:rFonts w:ascii="Calibri" w:hAnsi="Calibri" w:eastAsia="Calibri"/>
          <w:spacing w:val="-1"/>
          <w:w w:val="99"/>
          <w:sz w:val="32"/>
          <w:szCs w:val="32"/>
        </w:rPr>
        <w:t>5</w:t>
      </w:r>
      <w:r>
        <w:rPr>
          <w:rFonts w:ascii="Calibri" w:hAnsi="Calibri" w:eastAsia="Calibri"/>
          <w:spacing w:val="1"/>
          <w:w w:val="99"/>
          <w:sz w:val="32"/>
          <w:szCs w:val="32"/>
        </w:rPr>
        <w:t>0</w:t>
      </w:r>
      <w:r>
        <w:rPr>
          <w:rFonts w:ascii="Calibri" w:hAnsi="Calibri" w:eastAsia="Calibri"/>
          <w:spacing w:val="2"/>
          <w:w w:val="99"/>
          <w:sz w:val="32"/>
          <w:szCs w:val="32"/>
        </w:rPr>
        <w:t>%</w:t>
      </w:r>
      <w:r>
        <w:rPr>
          <w:spacing w:val="-24"/>
          <w:w w:val="99"/>
          <w:sz w:val="32"/>
          <w:szCs w:val="32"/>
        </w:rPr>
        <w:t>以上。坚持依法“管”，加快实现“审管分离”，实现企业开办全程网上办理。倡导用心“服”，</w:t>
      </w:r>
      <w:r>
        <w:rPr>
          <w:spacing w:val="-5"/>
          <w:w w:val="99"/>
          <w:sz w:val="32"/>
          <w:szCs w:val="32"/>
        </w:rPr>
        <w:t>持续开展减证便民行动，延伸阅海湾中央商务区智慧企业服务中</w:t>
      </w:r>
      <w:r>
        <w:rPr>
          <w:spacing w:val="-2"/>
          <w:w w:val="99"/>
          <w:sz w:val="32"/>
          <w:szCs w:val="32"/>
        </w:rPr>
        <w:t>心服务链，让群众和企业办事更高效。</w:t>
      </w:r>
    </w:p>
    <w:p w14:paraId="29B5D685">
      <w:pPr>
        <w:spacing w:before="18" w:line="338" w:lineRule="auto"/>
        <w:ind w:left="113" w:right="269" w:firstLine="640"/>
        <w:jc w:val="both"/>
        <w:rPr>
          <w:sz w:val="32"/>
          <w:szCs w:val="32"/>
        </w:rPr>
      </w:pPr>
      <w:r>
        <w:rPr>
          <w:b/>
          <w:w w:val="99"/>
          <w:sz w:val="32"/>
          <w:szCs w:val="32"/>
        </w:rPr>
        <w:t>推进政务服务方式创新。</w:t>
      </w:r>
      <w:r>
        <w:rPr>
          <w:spacing w:val="-2"/>
          <w:w w:val="99"/>
          <w:sz w:val="32"/>
          <w:szCs w:val="32"/>
        </w:rPr>
        <w:t>完善产业扶持、人才集聚、公共服</w:t>
      </w:r>
      <w:r>
        <w:rPr>
          <w:spacing w:val="-1"/>
          <w:w w:val="99"/>
          <w:sz w:val="32"/>
          <w:szCs w:val="32"/>
        </w:rPr>
        <w:t>务等各类政策，定期发布招商引资、招才引智等“政策攻略”，</w:t>
      </w:r>
      <w:r>
        <w:rPr>
          <w:w w:val="99"/>
          <w:sz w:val="32"/>
          <w:szCs w:val="32"/>
        </w:rPr>
        <w:t>加强政策的系统集成和实践创新。积极推进责任清单工作，厘清与行政职权相对应的责任事项，建立责任清单，健全问责机制，</w:t>
      </w:r>
    </w:p>
    <w:p w14:paraId="1C374B6D">
      <w:pPr>
        <w:spacing w:line="338" w:lineRule="auto"/>
        <w:jc w:val="both"/>
        <w:sectPr>
          <w:pgSz w:w="11910" w:h="16840"/>
          <w:pgMar w:top="1800" w:right="1200" w:bottom="1160" w:left="1360" w:header="0" w:footer="975" w:gutter="0"/>
          <w:cols w:space="720" w:num="1"/>
        </w:sectPr>
      </w:pPr>
    </w:p>
    <w:p w14:paraId="7A6BF559">
      <w:pPr>
        <w:spacing w:before="28" w:line="340" w:lineRule="auto"/>
        <w:ind w:left="113" w:right="110"/>
        <w:rPr>
          <w:sz w:val="32"/>
          <w:szCs w:val="32"/>
        </w:rPr>
      </w:pPr>
      <w:r>
        <w:rPr>
          <w:w w:val="99"/>
          <w:sz w:val="32"/>
          <w:szCs w:val="32"/>
        </w:rPr>
        <w:t>坚决纠正和惩处不作为、乱作为、慢作为和失职、渎职等行为。以群众和企业需求为导向，大力推进政务服务方式创新，推行预</w:t>
      </w:r>
      <w:r>
        <w:rPr>
          <w:spacing w:val="-13"/>
          <w:w w:val="99"/>
          <w:sz w:val="32"/>
          <w:szCs w:val="32"/>
        </w:rPr>
        <w:t>约服务、延时服务、代办服务、上门服务、跟踪服务、联合服务、</w:t>
      </w:r>
      <w:r>
        <w:rPr>
          <w:spacing w:val="4"/>
          <w:w w:val="99"/>
          <w:sz w:val="32"/>
          <w:szCs w:val="32"/>
        </w:rPr>
        <w:t>问需服务和网上服务等政务服务方式。建立“互联网+政务”新</w:t>
      </w:r>
      <w:r>
        <w:rPr>
          <w:w w:val="99"/>
          <w:sz w:val="32"/>
          <w:szCs w:val="32"/>
        </w:rPr>
        <w:t>服务模式，提供个性化、定制化的优质政务服务。</w:t>
      </w:r>
    </w:p>
    <w:p w14:paraId="1AB05FDB">
      <w:pPr>
        <w:spacing w:line="338" w:lineRule="auto"/>
        <w:ind w:left="113" w:right="271" w:firstLine="640"/>
        <w:jc w:val="both"/>
        <w:rPr>
          <w:sz w:val="32"/>
          <w:szCs w:val="32"/>
        </w:rPr>
      </w:pPr>
      <w:r>
        <w:rPr>
          <w:b/>
          <w:w w:val="99"/>
          <w:sz w:val="32"/>
          <w:szCs w:val="32"/>
        </w:rPr>
        <w:t>完善政务信息公开体系。</w:t>
      </w:r>
      <w:r>
        <w:rPr>
          <w:spacing w:val="-1"/>
          <w:w w:val="99"/>
          <w:sz w:val="32"/>
          <w:szCs w:val="32"/>
        </w:rPr>
        <w:t>深入推进行政权力运行、财政资金</w:t>
      </w:r>
      <w:r>
        <w:rPr>
          <w:w w:val="99"/>
          <w:sz w:val="32"/>
          <w:szCs w:val="32"/>
        </w:rPr>
        <w:t>使用、公共资源配置、重大项目建设、公共服务提供、公共监管处置和行政执法公示等重点领域的信息公开，积极推进教育、医疗卫生、供水、供电、供气等与人民群众生产生活密切相关的公共企事业单位信息公开。充分利用新媒体打造政务发布和政务服务的主阵地，加强微博、微信等“微”平台建设，推进政府信息</w:t>
      </w:r>
      <w:r>
        <w:rPr>
          <w:spacing w:val="-1"/>
          <w:w w:val="99"/>
          <w:sz w:val="32"/>
          <w:szCs w:val="32"/>
        </w:rPr>
        <w:t>公开平台与政务服务平台之间的信息资源整合，实现政务发布和</w:t>
      </w:r>
      <w:r>
        <w:rPr>
          <w:w w:val="99"/>
          <w:sz w:val="32"/>
          <w:szCs w:val="32"/>
        </w:rPr>
        <w:t>政务服务互联互融。发挥好政府公报、政务公开栏、公开办事指南等在政务服务中的作用，完善新闻发言人和解读人制度，畅通政务服务渠道。</w:t>
      </w:r>
    </w:p>
    <w:p w14:paraId="7B5A063C">
      <w:pPr>
        <w:spacing w:before="147"/>
        <w:ind w:left="678" w:right="835"/>
        <w:jc w:val="center"/>
        <w:outlineLvl w:val="1"/>
        <w:rPr>
          <w:rFonts w:ascii="宋体" w:hAnsi="宋体" w:eastAsia="宋体" w:cs="宋体"/>
          <w:b/>
          <w:bCs/>
          <w:sz w:val="32"/>
          <w:szCs w:val="32"/>
        </w:rPr>
      </w:pPr>
      <w:r>
        <w:rPr>
          <w:rFonts w:ascii="宋体" w:hAnsi="宋体" w:eastAsia="宋体" w:cs="宋体"/>
          <w:b/>
          <w:bCs/>
          <w:sz w:val="32"/>
          <w:szCs w:val="32"/>
        </w:rPr>
        <w:t>第二</w:t>
      </w:r>
      <w:r>
        <w:rPr>
          <w:rFonts w:ascii="宋体" w:hAnsi="宋体" w:eastAsia="宋体" w:cs="宋体"/>
          <w:b/>
          <w:bCs/>
          <w:spacing w:val="46"/>
          <w:sz w:val="32"/>
          <w:szCs w:val="32"/>
        </w:rPr>
        <w:t>节 实</w:t>
      </w:r>
      <w:r>
        <w:rPr>
          <w:rFonts w:ascii="宋体" w:hAnsi="宋体" w:eastAsia="宋体" w:cs="宋体"/>
          <w:b/>
          <w:bCs/>
          <w:sz w:val="32"/>
          <w:szCs w:val="32"/>
        </w:rPr>
        <w:t>施要素配置市场化改</w:t>
      </w:r>
      <w:r>
        <w:rPr>
          <w:rFonts w:ascii="宋体" w:hAnsi="宋体" w:eastAsia="宋体" w:cs="宋体"/>
          <w:b/>
          <w:bCs/>
          <w:spacing w:val="-10"/>
          <w:sz w:val="32"/>
          <w:szCs w:val="32"/>
        </w:rPr>
        <w:t>革</w:t>
      </w:r>
    </w:p>
    <w:p w14:paraId="47AE160C">
      <w:pPr>
        <w:spacing w:before="1"/>
        <w:rPr>
          <w:rFonts w:ascii="宋体"/>
          <w:b/>
          <w:sz w:val="25"/>
          <w:szCs w:val="32"/>
        </w:rPr>
      </w:pPr>
    </w:p>
    <w:p w14:paraId="7C9093B6">
      <w:pPr>
        <w:spacing w:line="338" w:lineRule="auto"/>
        <w:ind w:left="113" w:right="114" w:firstLine="640"/>
        <w:rPr>
          <w:sz w:val="32"/>
          <w:szCs w:val="32"/>
        </w:rPr>
      </w:pPr>
      <w:r>
        <w:rPr>
          <w:b/>
          <w:w w:val="99"/>
          <w:sz w:val="32"/>
          <w:szCs w:val="32"/>
        </w:rPr>
        <w:t>推进供给侧结构性改革。</w:t>
      </w:r>
      <w:r>
        <w:rPr>
          <w:spacing w:val="-1"/>
          <w:w w:val="99"/>
          <w:sz w:val="32"/>
          <w:szCs w:val="32"/>
        </w:rPr>
        <w:t>鼓励市场主体通过科技创新、产品</w:t>
      </w:r>
      <w:r>
        <w:rPr>
          <w:w w:val="99"/>
          <w:sz w:val="32"/>
          <w:szCs w:val="32"/>
        </w:rPr>
        <w:t>创新和商业模式创新，提高产品质量，扩大新产品和服务供给，创新并扩大有效供给。推动产业重组，运用市场机制、经济手段和法治手段，通过严格环保、能耗、技术标准，倒逼落后产能、过剩产能退出。坚持需求导向，加强烂尾楼、高债务房地产企业</w:t>
      </w:r>
      <w:r>
        <w:rPr>
          <w:spacing w:val="-13"/>
          <w:w w:val="99"/>
          <w:sz w:val="32"/>
          <w:szCs w:val="32"/>
        </w:rPr>
        <w:t>监测预警处置，构建结构合理、运行有序的房地产稳健发展格局。</w:t>
      </w:r>
      <w:r>
        <w:rPr>
          <w:spacing w:val="11"/>
          <w:w w:val="99"/>
          <w:sz w:val="32"/>
          <w:szCs w:val="32"/>
        </w:rPr>
        <w:t>加强政府债务监管和金融风险监测预警，坚决守住不发生系统</w:t>
      </w:r>
    </w:p>
    <w:p w14:paraId="39A2DBEF">
      <w:pPr>
        <w:spacing w:line="338" w:lineRule="auto"/>
        <w:sectPr>
          <w:footerReference r:id="rId31" w:type="default"/>
          <w:footerReference r:id="rId32" w:type="even"/>
          <w:pgSz w:w="11910" w:h="16840"/>
          <w:pgMar w:top="1800" w:right="1200" w:bottom="1160" w:left="1360" w:header="0" w:footer="975" w:gutter="0"/>
          <w:pgNumType w:start="100"/>
          <w:cols w:space="720" w:num="1"/>
        </w:sectPr>
      </w:pPr>
    </w:p>
    <w:p w14:paraId="2929201F">
      <w:pPr>
        <w:spacing w:before="28" w:line="340" w:lineRule="auto"/>
        <w:ind w:left="113" w:right="114"/>
        <w:rPr>
          <w:sz w:val="32"/>
          <w:szCs w:val="32"/>
        </w:rPr>
      </w:pPr>
      <w:r>
        <w:rPr>
          <w:spacing w:val="-13"/>
          <w:w w:val="99"/>
          <w:sz w:val="32"/>
          <w:szCs w:val="32"/>
        </w:rPr>
        <w:t>性、区域性金融风险的底线。落实减费降税政策，降低物流成本、</w:t>
      </w:r>
      <w:r>
        <w:rPr>
          <w:spacing w:val="-2"/>
          <w:w w:val="99"/>
          <w:sz w:val="32"/>
          <w:szCs w:val="32"/>
        </w:rPr>
        <w:t>制度性交易成本、财务成本和非生产性管理成本，开展工业园区</w:t>
      </w:r>
      <w:r>
        <w:rPr>
          <w:w w:val="99"/>
          <w:sz w:val="32"/>
          <w:szCs w:val="32"/>
        </w:rPr>
        <w:t>低成本化改造试点。努力破解交通等瓶颈制约，有效增加公共服务供给，着力补齐明显短板。强化供给侧结构性改革政策的协调配套，形成有利于消费升级和产业升级协同发展的政策环境。</w:t>
      </w:r>
    </w:p>
    <w:p w14:paraId="29C21BBB">
      <w:pPr>
        <w:spacing w:line="340" w:lineRule="auto"/>
        <w:ind w:left="113" w:right="254" w:firstLine="640"/>
        <w:jc w:val="both"/>
        <w:rPr>
          <w:sz w:val="32"/>
          <w:szCs w:val="32"/>
        </w:rPr>
      </w:pPr>
      <w:r>
        <w:rPr>
          <w:b/>
          <w:spacing w:val="1"/>
          <w:w w:val="99"/>
          <w:sz w:val="32"/>
          <w:szCs w:val="32"/>
        </w:rPr>
        <w:t>持续深化国有企业改革。</w:t>
      </w:r>
      <w:r>
        <w:rPr>
          <w:w w:val="99"/>
          <w:sz w:val="32"/>
          <w:szCs w:val="32"/>
        </w:rPr>
        <w:t>围绕产业发展、民生服务等领域，加快国有经济布局优化和结构调整，以管资本为主，完善国有资产监管体制，推进国资监管机构职能转变，深化国有资本授权经营体制改革，推动国有资本合理流动优化配置。推动国企建立和完善现代企业制度，推进有条件的国有企业进行股份制改革，健全法人治理结构，落实国企领导人员分类分层管理制度，深化企业人力资源管理改革。引入非国有资本参与国有企业改革，促进国有资本、集体资本和非公有资本交叉持股、相互融合的混合所有制经济发展。强化国有资产监督，维护国有资产安全。</w:t>
      </w:r>
    </w:p>
    <w:p w14:paraId="16AE9FF1">
      <w:pPr>
        <w:spacing w:line="390" w:lineRule="exact"/>
        <w:ind w:left="754"/>
        <w:rPr>
          <w:sz w:val="32"/>
        </w:rPr>
      </w:pPr>
      <w:r>
        <w:rPr>
          <w:b/>
          <w:w w:val="95"/>
          <w:sz w:val="32"/>
        </w:rPr>
        <w:t>支持非公有制经济发展。</w:t>
      </w:r>
      <w:r>
        <w:rPr>
          <w:w w:val="95"/>
          <w:sz w:val="32"/>
        </w:rPr>
        <w:t>鼓励非公有制企业依法进入包括</w:t>
      </w:r>
      <w:r>
        <w:rPr>
          <w:spacing w:val="-10"/>
          <w:w w:val="95"/>
          <w:sz w:val="32"/>
        </w:rPr>
        <w:t>特</w:t>
      </w:r>
    </w:p>
    <w:p w14:paraId="443A8D35">
      <w:pPr>
        <w:spacing w:before="158" w:line="338" w:lineRule="auto"/>
        <w:ind w:left="113" w:right="271"/>
        <w:jc w:val="both"/>
        <w:rPr>
          <w:sz w:val="32"/>
          <w:szCs w:val="32"/>
        </w:rPr>
      </w:pPr>
      <w:r>
        <w:rPr>
          <w:w w:val="99"/>
          <w:sz w:val="32"/>
          <w:szCs w:val="32"/>
        </w:rPr>
        <w:t>许经营在内的更多领域，支持非公有制企业做大做强，加大扶持非公有制企业上市融资力度，依法保护民营企业家财产和合法权益。鼓励非公有制企业参与国有企业改革，鼓励发展非公有资本控股的混合所有制企业。</w:t>
      </w:r>
    </w:p>
    <w:p w14:paraId="15480DFD">
      <w:pPr>
        <w:spacing w:before="9" w:line="338" w:lineRule="auto"/>
        <w:ind w:left="113" w:right="269" w:firstLine="640"/>
        <w:jc w:val="both"/>
        <w:rPr>
          <w:sz w:val="32"/>
          <w:szCs w:val="32"/>
        </w:rPr>
      </w:pPr>
      <w:r>
        <w:rPr>
          <w:b/>
          <w:w w:val="99"/>
          <w:sz w:val="32"/>
          <w:szCs w:val="32"/>
        </w:rPr>
        <w:t>深化投融资体制改革。</w:t>
      </w:r>
      <w:r>
        <w:rPr>
          <w:spacing w:val="-1"/>
          <w:w w:val="99"/>
          <w:sz w:val="32"/>
          <w:szCs w:val="32"/>
        </w:rPr>
        <w:t>严格执行下放投资审批事项，鼓励和</w:t>
      </w:r>
      <w:r>
        <w:rPr>
          <w:w w:val="99"/>
          <w:sz w:val="32"/>
          <w:szCs w:val="32"/>
        </w:rPr>
        <w:t>引导社会投资，消除各种隐性壁垒，建立公开、公平市场准入条件，依法平等开放投资领域，积极鼓励和引导社会资本尤其是民</w:t>
      </w:r>
      <w:r>
        <w:rPr>
          <w:spacing w:val="-1"/>
          <w:w w:val="99"/>
          <w:sz w:val="32"/>
          <w:szCs w:val="32"/>
        </w:rPr>
        <w:t>间资本投资进入交通、金融、基础设施、医疗、教育、文化等行</w:t>
      </w:r>
    </w:p>
    <w:p w14:paraId="371E00CB">
      <w:pPr>
        <w:spacing w:line="338" w:lineRule="auto"/>
        <w:jc w:val="both"/>
        <w:sectPr>
          <w:pgSz w:w="11910" w:h="16840"/>
          <w:pgMar w:top="1800" w:right="1200" w:bottom="1160" w:left="1360" w:header="0" w:footer="975" w:gutter="0"/>
          <w:cols w:space="720" w:num="1"/>
        </w:sectPr>
      </w:pPr>
    </w:p>
    <w:p w14:paraId="189C154A">
      <w:pPr>
        <w:spacing w:before="28" w:line="340" w:lineRule="auto"/>
        <w:ind w:left="113" w:right="114"/>
        <w:rPr>
          <w:sz w:val="32"/>
          <w:szCs w:val="32"/>
        </w:rPr>
      </w:pPr>
      <w:r>
        <w:rPr>
          <w:spacing w:val="-14"/>
          <w:w w:val="99"/>
          <w:sz w:val="32"/>
          <w:szCs w:val="32"/>
        </w:rPr>
        <w:t>业及领域。强化企业投资主体地位，鼓励项目投融资模式多元化，</w:t>
      </w:r>
      <w:r>
        <w:rPr>
          <w:spacing w:val="-12"/>
          <w:w w:val="99"/>
          <w:sz w:val="32"/>
          <w:szCs w:val="32"/>
        </w:rPr>
        <w:t>根据投资项目经营性差异，区别采用政府与社会资本合作</w:t>
      </w:r>
      <w:r>
        <w:rPr>
          <w:w w:val="99"/>
          <w:sz w:val="32"/>
          <w:szCs w:val="32"/>
        </w:rPr>
        <w:t>（</w:t>
      </w:r>
      <w:r>
        <w:rPr>
          <w:rFonts w:ascii="Calibri" w:eastAsia="Calibri"/>
          <w:w w:val="99"/>
          <w:sz w:val="32"/>
          <w:szCs w:val="32"/>
        </w:rPr>
        <w:t>PP</w:t>
      </w:r>
      <w:r>
        <w:rPr>
          <w:rFonts w:ascii="Calibri" w:eastAsia="Calibri"/>
          <w:spacing w:val="-2"/>
          <w:w w:val="99"/>
          <w:sz w:val="32"/>
          <w:szCs w:val="32"/>
        </w:rPr>
        <w:t>P</w:t>
      </w:r>
      <w:r>
        <w:rPr>
          <w:spacing w:val="-159"/>
          <w:w w:val="99"/>
          <w:sz w:val="32"/>
          <w:szCs w:val="32"/>
        </w:rPr>
        <w:t>）</w:t>
      </w:r>
      <w:r>
        <w:rPr>
          <w:w w:val="99"/>
          <w:sz w:val="32"/>
          <w:szCs w:val="32"/>
        </w:rPr>
        <w:t>、政府购买服务等方式投资建设或运营。规范政府投资行为，探索资产证券化融资方式，健全政府投资决策机制，对政府投资项目实行年度计划和年度预算管理。</w:t>
      </w:r>
    </w:p>
    <w:p w14:paraId="36E96AD6">
      <w:pPr>
        <w:spacing w:line="338" w:lineRule="auto"/>
        <w:ind w:left="113" w:right="269" w:firstLine="640"/>
        <w:jc w:val="both"/>
        <w:rPr>
          <w:sz w:val="32"/>
          <w:szCs w:val="32"/>
        </w:rPr>
      </w:pPr>
      <w:r>
        <w:rPr>
          <w:b/>
          <w:w w:val="99"/>
          <w:sz w:val="32"/>
          <w:szCs w:val="32"/>
        </w:rPr>
        <w:t>深化公共财政实施机制。</w:t>
      </w:r>
      <w:r>
        <w:rPr>
          <w:spacing w:val="-1"/>
          <w:w w:val="99"/>
          <w:sz w:val="32"/>
          <w:szCs w:val="32"/>
        </w:rPr>
        <w:t>实施全面规范、公开透明的预算制度，逐步推行所有政府性收入纳入预算制度，实行全口径预算管理。创新财政资金投入方式，采取市场化方法撬动社会资源，放</w:t>
      </w:r>
      <w:r>
        <w:rPr>
          <w:w w:val="99"/>
          <w:sz w:val="32"/>
          <w:szCs w:val="32"/>
        </w:rPr>
        <w:t>大财政资金使用效益。推广运用政府与社会资本合作模式，鼓励社会资本通过特许经营等方式参与基础设施投资和运营。进一步加强政府性债务管理，建立规范政府举债融资、债务风险预警及应急处理机制。加快以土地收益为重点的财政机制向以税收收入</w:t>
      </w:r>
      <w:r>
        <w:rPr>
          <w:spacing w:val="11"/>
          <w:w w:val="99"/>
          <w:sz w:val="32"/>
          <w:szCs w:val="32"/>
        </w:rPr>
        <w:t>为重点的财政机制转变，推进以绩效为导向的财政预算制度改</w:t>
      </w:r>
      <w:r>
        <w:rPr>
          <w:w w:val="99"/>
          <w:sz w:val="32"/>
          <w:szCs w:val="32"/>
        </w:rPr>
        <w:t>革，以集中财力支持产业发展为首要任务，借助社会资本设计、融资、建设、招引、运营等方面优势，创新财政投入带动社会投资。继续推进更多财政支出领域改革，按事权优先原则，进一步</w:t>
      </w:r>
      <w:r>
        <w:rPr>
          <w:spacing w:val="11"/>
          <w:w w:val="99"/>
          <w:sz w:val="32"/>
          <w:szCs w:val="32"/>
        </w:rPr>
        <w:t>调整优化税收划分和转移支付制度，确保政府财力与事权相匹</w:t>
      </w:r>
      <w:r>
        <w:rPr>
          <w:w w:val="99"/>
          <w:sz w:val="32"/>
          <w:szCs w:val="32"/>
        </w:rPr>
        <w:t>配，为基层政府提供有效的财力保障。试行区街两级财政体制改革，合理划分区街两级财权事权，将民生领域作为街道新增财力主要投向，把社区工作经费、社区委员经费纳入预算全额保障，进一步提高社会管理和公共服务的财政管理水平。</w:t>
      </w:r>
    </w:p>
    <w:p w14:paraId="33B45B00">
      <w:pPr>
        <w:spacing w:before="31"/>
        <w:ind w:left="2343" w:right="2500"/>
        <w:jc w:val="center"/>
        <w:outlineLvl w:val="0"/>
        <w:rPr>
          <w:rFonts w:ascii="宋体" w:hAnsi="宋体" w:eastAsia="宋体" w:cs="宋体"/>
          <w:b/>
          <w:bCs/>
          <w:sz w:val="32"/>
          <w:szCs w:val="32"/>
        </w:rPr>
      </w:pPr>
      <w:r>
        <w:rPr>
          <w:rFonts w:ascii="宋体" w:hAnsi="宋体" w:eastAsia="宋体" w:cs="宋体"/>
          <w:b/>
          <w:bCs/>
          <w:sz w:val="32"/>
          <w:szCs w:val="32"/>
        </w:rPr>
        <w:t>第三</w:t>
      </w:r>
      <w:r>
        <w:rPr>
          <w:rFonts w:ascii="宋体" w:hAnsi="宋体" w:eastAsia="宋体" w:cs="宋体"/>
          <w:b/>
          <w:bCs/>
          <w:spacing w:val="46"/>
          <w:sz w:val="32"/>
          <w:szCs w:val="32"/>
        </w:rPr>
        <w:t>节 健</w:t>
      </w:r>
      <w:r>
        <w:rPr>
          <w:rFonts w:ascii="宋体" w:hAnsi="宋体" w:eastAsia="宋体" w:cs="宋体"/>
          <w:b/>
          <w:bCs/>
          <w:sz w:val="32"/>
          <w:szCs w:val="32"/>
        </w:rPr>
        <w:t>全城乡融合发展机</w:t>
      </w:r>
      <w:r>
        <w:rPr>
          <w:rFonts w:ascii="宋体" w:hAnsi="宋体" w:eastAsia="宋体" w:cs="宋体"/>
          <w:b/>
          <w:bCs/>
          <w:spacing w:val="-10"/>
          <w:sz w:val="32"/>
          <w:szCs w:val="32"/>
        </w:rPr>
        <w:t>制</w:t>
      </w:r>
    </w:p>
    <w:p w14:paraId="2913DEE0">
      <w:pPr>
        <w:spacing w:before="1"/>
        <w:rPr>
          <w:rFonts w:ascii="宋体"/>
          <w:b/>
          <w:sz w:val="25"/>
          <w:szCs w:val="32"/>
        </w:rPr>
      </w:pPr>
    </w:p>
    <w:p w14:paraId="7A5A02F9">
      <w:pPr>
        <w:spacing w:line="338" w:lineRule="auto"/>
        <w:ind w:left="113" w:right="271" w:firstLine="640"/>
        <w:jc w:val="both"/>
        <w:rPr>
          <w:sz w:val="32"/>
          <w:szCs w:val="32"/>
        </w:rPr>
      </w:pPr>
      <w:r>
        <w:rPr>
          <w:w w:val="99"/>
          <w:sz w:val="32"/>
          <w:szCs w:val="32"/>
        </w:rPr>
        <w:t>按照“在促进乡村振兴中加快城乡融合协调发展步伐”的要求，不断健全完善城乡融合发展体制机制和政策体系，推动基础设施向农村延伸、公共服务向农村覆盖、城市文明向农村辐射，着力解决城乡发展不平衡的结构性问题，重塑城乡关系。</w:t>
      </w:r>
    </w:p>
    <w:p w14:paraId="6A311539">
      <w:pPr>
        <w:spacing w:before="9" w:line="338" w:lineRule="auto"/>
        <w:ind w:left="113" w:right="270" w:firstLine="640"/>
        <w:jc w:val="both"/>
        <w:rPr>
          <w:sz w:val="32"/>
          <w:szCs w:val="32"/>
        </w:rPr>
      </w:pPr>
      <w:r>
        <w:rPr>
          <w:b/>
          <w:spacing w:val="-9"/>
          <w:w w:val="99"/>
          <w:sz w:val="32"/>
          <w:szCs w:val="32"/>
        </w:rPr>
        <w:t>健全农业人口市民化机制。</w:t>
      </w:r>
      <w:r>
        <w:rPr>
          <w:spacing w:val="-17"/>
          <w:w w:val="99"/>
          <w:sz w:val="32"/>
          <w:szCs w:val="32"/>
        </w:rPr>
        <w:t>深化户籍制度改革，确保实现“零</w:t>
      </w:r>
      <w:r>
        <w:rPr>
          <w:spacing w:val="-3"/>
          <w:w w:val="99"/>
          <w:sz w:val="32"/>
          <w:szCs w:val="32"/>
        </w:rPr>
        <w:t>门槛”落户。实施居住证制度，逐步实现常住人口享有就业、教</w:t>
      </w:r>
      <w:r>
        <w:rPr>
          <w:spacing w:val="-2"/>
          <w:w w:val="99"/>
          <w:sz w:val="32"/>
          <w:szCs w:val="32"/>
        </w:rPr>
        <w:t>育、医疗、养老等基本公共服务。建立健全由政府、企业、个人</w:t>
      </w:r>
      <w:r>
        <w:rPr>
          <w:spacing w:val="-1"/>
          <w:w w:val="99"/>
          <w:sz w:val="32"/>
          <w:szCs w:val="32"/>
        </w:rPr>
        <w:t>共同参与的农业转移人口市民化成本分担机制，维护进城落户农</w:t>
      </w:r>
      <w:r>
        <w:rPr>
          <w:w w:val="99"/>
          <w:sz w:val="32"/>
          <w:szCs w:val="32"/>
        </w:rPr>
        <w:t>民土地承包权、宅基地使用权、集体收益分配权，不以“三权”</w:t>
      </w:r>
      <w:r>
        <w:rPr>
          <w:spacing w:val="-1"/>
          <w:w w:val="99"/>
          <w:sz w:val="32"/>
          <w:szCs w:val="32"/>
        </w:rPr>
        <w:t>作为农民进城落户的条件，支持引导其依法自愿有偿转让上述权益。</w:t>
      </w:r>
    </w:p>
    <w:p w14:paraId="780814D4">
      <w:pPr>
        <w:spacing w:before="14" w:line="338" w:lineRule="auto"/>
        <w:ind w:left="113" w:right="270" w:firstLine="640"/>
        <w:jc w:val="both"/>
        <w:rPr>
          <w:sz w:val="32"/>
          <w:szCs w:val="32"/>
        </w:rPr>
      </w:pPr>
      <w:r>
        <w:rPr>
          <w:b/>
          <w:w w:val="99"/>
          <w:sz w:val="32"/>
          <w:szCs w:val="32"/>
        </w:rPr>
        <w:t>推进农村土地制度改革。</w:t>
      </w:r>
      <w:r>
        <w:rPr>
          <w:spacing w:val="-1"/>
          <w:w w:val="99"/>
          <w:sz w:val="32"/>
          <w:szCs w:val="32"/>
        </w:rPr>
        <w:t>全面推进土地征收制度改革、农村集体经营性建设用地入市制度改革和农村宅基地改革。缩小土地</w:t>
      </w:r>
      <w:r>
        <w:rPr>
          <w:w w:val="99"/>
          <w:sz w:val="32"/>
          <w:szCs w:val="32"/>
        </w:rPr>
        <w:t>征收范围，完善程序规范、补偿合理、保障多元的征收制度，健全货币、住房、社保等多元补偿安置机制。推进农村集体经营性建设用地入市，在符合规划和用途管制前提下，赋予农村集体经营性建设用地出让、租赁、入股权能。推进宅基地所有权、资格</w:t>
      </w:r>
      <w:r>
        <w:rPr>
          <w:spacing w:val="-7"/>
          <w:w w:val="99"/>
          <w:sz w:val="32"/>
          <w:szCs w:val="32"/>
        </w:rPr>
        <w:t>权、使用权“三权分置”，赋予农民住房财产权流转、抵押等权</w:t>
      </w:r>
      <w:r>
        <w:rPr>
          <w:spacing w:val="-3"/>
          <w:w w:val="99"/>
          <w:sz w:val="32"/>
          <w:szCs w:val="32"/>
        </w:rPr>
        <w:t>能。开展闲置宅基地复垦试点，通过“指标置换、资产置换、货</w:t>
      </w:r>
      <w:r>
        <w:rPr>
          <w:spacing w:val="-1"/>
          <w:w w:val="99"/>
          <w:sz w:val="32"/>
          <w:szCs w:val="32"/>
        </w:rPr>
        <w:t>币补偿、借地退出”等多种方式腾退宅基地。在符合土地利用总</w:t>
      </w:r>
      <w:r>
        <w:rPr>
          <w:w w:val="99"/>
          <w:sz w:val="32"/>
          <w:szCs w:val="32"/>
        </w:rPr>
        <w:t>体规划前提下，调整优化村庄用地布局，有效利用农村零星分散的存量建设用地。</w:t>
      </w:r>
    </w:p>
    <w:p w14:paraId="1A7C9E36">
      <w:pPr>
        <w:spacing w:line="338" w:lineRule="auto"/>
        <w:jc w:val="both"/>
        <w:sectPr>
          <w:footerReference r:id="rId33" w:type="default"/>
          <w:footerReference r:id="rId34" w:type="even"/>
          <w:pgSz w:w="11910" w:h="16840"/>
          <w:pgMar w:top="1780" w:right="1200" w:bottom="1160" w:left="1360" w:header="0" w:footer="975" w:gutter="0"/>
          <w:pgNumType w:start="103"/>
          <w:cols w:space="720" w:num="1"/>
        </w:sectPr>
      </w:pPr>
    </w:p>
    <w:p w14:paraId="3FC9A5A4">
      <w:pPr>
        <w:spacing w:before="32" w:line="364" w:lineRule="auto"/>
        <w:ind w:left="113" w:right="114" w:firstLine="640"/>
        <w:rPr>
          <w:sz w:val="32"/>
          <w:szCs w:val="32"/>
        </w:rPr>
      </w:pPr>
      <w:r>
        <w:rPr>
          <w:b/>
          <w:spacing w:val="1"/>
          <w:w w:val="99"/>
          <w:sz w:val="32"/>
          <w:szCs w:val="32"/>
        </w:rPr>
        <w:t>深化产权制度改革。</w:t>
      </w:r>
      <w:r>
        <w:rPr>
          <w:w w:val="99"/>
          <w:sz w:val="32"/>
          <w:szCs w:val="32"/>
        </w:rPr>
        <w:t>稳步推进农村土地“三权分置”改革，支持经营主体通过经营权流转、股份合作、代耕代种、土地托管</w:t>
      </w:r>
      <w:r>
        <w:rPr>
          <w:spacing w:val="-14"/>
          <w:w w:val="99"/>
          <w:sz w:val="32"/>
          <w:szCs w:val="32"/>
        </w:rPr>
        <w:t>等方式，发展土地流转型、土地入股型、服务带动型等规模经营，</w:t>
      </w:r>
      <w:r>
        <w:rPr>
          <w:spacing w:val="-3"/>
          <w:w w:val="99"/>
          <w:sz w:val="32"/>
          <w:szCs w:val="32"/>
        </w:rPr>
        <w:t>促使集体、承包土地农民和新型农业生产主体三方利益共同协调</w:t>
      </w:r>
      <w:r>
        <w:rPr>
          <w:spacing w:val="-13"/>
          <w:w w:val="99"/>
          <w:sz w:val="32"/>
          <w:szCs w:val="32"/>
        </w:rPr>
        <w:t>发展。深化农村集体产权制度改革，按照“归属清晰、权责明确、</w:t>
      </w:r>
      <w:r>
        <w:rPr>
          <w:spacing w:val="-3"/>
          <w:w w:val="99"/>
          <w:sz w:val="32"/>
          <w:szCs w:val="32"/>
        </w:rPr>
        <w:t>保护严格、流转顺畅”的现代产权制度要求，健全集体资产运营</w:t>
      </w:r>
      <w:r>
        <w:rPr>
          <w:spacing w:val="-1"/>
          <w:w w:val="99"/>
          <w:sz w:val="32"/>
          <w:szCs w:val="32"/>
        </w:rPr>
        <w:t>管理、监督和收益分配机制，探索农村集体经济组织运营和分配</w:t>
      </w:r>
      <w:r>
        <w:rPr>
          <w:spacing w:val="5"/>
          <w:w w:val="99"/>
          <w:sz w:val="32"/>
          <w:szCs w:val="32"/>
        </w:rPr>
        <w:t>机制的新路子，多渠道发展壮大农村集体经济，到</w:t>
      </w:r>
      <w:r>
        <w:rPr>
          <w:spacing w:val="-71"/>
          <w:sz w:val="32"/>
          <w:szCs w:val="32"/>
        </w:rPr>
        <w:t xml:space="preserve"> </w:t>
      </w:r>
      <w:r>
        <w:rPr>
          <w:rFonts w:ascii="Times New Roman" w:hAnsi="Times New Roman" w:eastAsia="Times New Roman"/>
          <w:spacing w:val="1"/>
          <w:w w:val="99"/>
          <w:sz w:val="32"/>
          <w:szCs w:val="32"/>
        </w:rPr>
        <w:t>20</w:t>
      </w:r>
      <w:r>
        <w:rPr>
          <w:rFonts w:ascii="Times New Roman" w:hAnsi="Times New Roman" w:eastAsia="Times New Roman"/>
          <w:spacing w:val="-2"/>
          <w:w w:val="99"/>
          <w:sz w:val="32"/>
          <w:szCs w:val="32"/>
        </w:rPr>
        <w:t>2</w:t>
      </w:r>
      <w:r>
        <w:rPr>
          <w:rFonts w:ascii="Times New Roman" w:hAnsi="Times New Roman" w:eastAsia="Times New Roman"/>
          <w:w w:val="99"/>
          <w:sz w:val="32"/>
          <w:szCs w:val="32"/>
        </w:rPr>
        <w:t>5</w:t>
      </w:r>
      <w:r>
        <w:rPr>
          <w:rFonts w:ascii="Times New Roman" w:hAnsi="Times New Roman" w:eastAsia="Times New Roman"/>
          <w:spacing w:val="5"/>
          <w:sz w:val="32"/>
          <w:szCs w:val="32"/>
        </w:rPr>
        <w:t xml:space="preserve"> </w:t>
      </w:r>
      <w:r>
        <w:rPr>
          <w:spacing w:val="4"/>
          <w:w w:val="99"/>
          <w:sz w:val="32"/>
          <w:szCs w:val="32"/>
        </w:rPr>
        <w:t>年村集</w:t>
      </w:r>
    </w:p>
    <w:p w14:paraId="35E46071">
      <w:pPr>
        <w:spacing w:before="6"/>
        <w:ind w:left="113"/>
        <w:rPr>
          <w:sz w:val="32"/>
          <w:szCs w:val="32"/>
        </w:rPr>
      </w:pPr>
      <w:r>
        <w:rPr>
          <w:w w:val="95"/>
          <w:sz w:val="32"/>
          <w:szCs w:val="32"/>
        </w:rPr>
        <w:t>体收入达到</w:t>
      </w:r>
      <w:r>
        <w:rPr>
          <w:spacing w:val="-5"/>
          <w:w w:val="95"/>
          <w:sz w:val="32"/>
          <w:szCs w:val="32"/>
        </w:rPr>
        <w:t xml:space="preserve"> </w:t>
      </w:r>
      <w:r>
        <w:rPr>
          <w:rFonts w:ascii="Times New Roman" w:eastAsia="Times New Roman"/>
          <w:w w:val="95"/>
          <w:sz w:val="32"/>
          <w:szCs w:val="32"/>
        </w:rPr>
        <w:t>15</w:t>
      </w:r>
      <w:r>
        <w:rPr>
          <w:rFonts w:ascii="Times New Roman" w:eastAsia="Times New Roman"/>
          <w:spacing w:val="67"/>
          <w:sz w:val="32"/>
          <w:szCs w:val="32"/>
        </w:rPr>
        <w:t xml:space="preserve"> </w:t>
      </w:r>
      <w:r>
        <w:rPr>
          <w:w w:val="95"/>
          <w:sz w:val="32"/>
          <w:szCs w:val="32"/>
        </w:rPr>
        <w:t>万元以上</w:t>
      </w:r>
      <w:r>
        <w:rPr>
          <w:spacing w:val="-10"/>
          <w:w w:val="95"/>
          <w:sz w:val="32"/>
          <w:szCs w:val="32"/>
        </w:rPr>
        <w:t>。</w:t>
      </w:r>
    </w:p>
    <w:p w14:paraId="15549D0E">
      <w:pPr>
        <w:spacing w:before="250" w:line="338" w:lineRule="auto"/>
        <w:ind w:left="113" w:right="114" w:firstLine="640"/>
        <w:rPr>
          <w:sz w:val="32"/>
          <w:szCs w:val="32"/>
        </w:rPr>
      </w:pPr>
      <w:r>
        <w:rPr>
          <w:b/>
          <w:spacing w:val="-2"/>
          <w:w w:val="99"/>
          <w:sz w:val="32"/>
          <w:szCs w:val="32"/>
        </w:rPr>
        <w:t>探索农村公共基础设施管护体制改革。</w:t>
      </w:r>
      <w:r>
        <w:rPr>
          <w:w w:val="99"/>
          <w:sz w:val="32"/>
          <w:szCs w:val="32"/>
        </w:rPr>
        <w:t>以推进城乡融合发展为目标，在全面补齐农村公共基础设施短板的同时，改革创新管护机制，构建适应经济社会发展阶段、符合农业农村特点的农村公共基础设施管护体系，全面提升管护水平和质量。以镇政府为</w:t>
      </w:r>
      <w:r>
        <w:rPr>
          <w:spacing w:val="-13"/>
          <w:w w:val="99"/>
          <w:sz w:val="32"/>
          <w:szCs w:val="32"/>
        </w:rPr>
        <w:t>责任主体，以行政村为基本单元，科学建立乡村长效管护“五有”</w:t>
      </w:r>
      <w:r>
        <w:rPr>
          <w:spacing w:val="4"/>
          <w:w w:val="99"/>
          <w:sz w:val="32"/>
          <w:szCs w:val="32"/>
        </w:rPr>
        <w:t>机制。到</w:t>
      </w:r>
      <w:r>
        <w:rPr>
          <w:spacing w:val="-71"/>
          <w:sz w:val="32"/>
          <w:szCs w:val="32"/>
        </w:rPr>
        <w:t xml:space="preserve"> </w:t>
      </w:r>
      <w:r>
        <w:rPr>
          <w:rFonts w:ascii="Calibri" w:hAnsi="Calibri" w:eastAsia="Calibri"/>
          <w:spacing w:val="-1"/>
          <w:w w:val="99"/>
          <w:sz w:val="32"/>
          <w:szCs w:val="32"/>
        </w:rPr>
        <w:t>20</w:t>
      </w:r>
      <w:r>
        <w:rPr>
          <w:rFonts w:ascii="Calibri" w:hAnsi="Calibri" w:eastAsia="Calibri"/>
          <w:spacing w:val="1"/>
          <w:w w:val="99"/>
          <w:sz w:val="32"/>
          <w:szCs w:val="32"/>
        </w:rPr>
        <w:t>2</w:t>
      </w:r>
      <w:r>
        <w:rPr>
          <w:rFonts w:ascii="Calibri" w:hAnsi="Calibri" w:eastAsia="Calibri"/>
          <w:w w:val="99"/>
          <w:sz w:val="32"/>
          <w:szCs w:val="32"/>
        </w:rPr>
        <w:t>5</w:t>
      </w:r>
      <w:r>
        <w:rPr>
          <w:rFonts w:ascii="Calibri" w:hAnsi="Calibri" w:eastAsia="Calibri"/>
          <w:spacing w:val="15"/>
          <w:sz w:val="32"/>
          <w:szCs w:val="32"/>
        </w:rPr>
        <w:t xml:space="preserve"> </w:t>
      </w:r>
      <w:r>
        <w:rPr>
          <w:spacing w:val="4"/>
          <w:w w:val="99"/>
          <w:sz w:val="32"/>
          <w:szCs w:val="32"/>
        </w:rPr>
        <w:t>年，政府主导、多方参与、市场运作的农村公共</w:t>
      </w:r>
      <w:r>
        <w:rPr>
          <w:w w:val="99"/>
          <w:sz w:val="32"/>
          <w:szCs w:val="32"/>
        </w:rPr>
        <w:t>基础设施管护体制机制初步建立，管护主体和责任明晰，管护标准和规范健全，管护经费较好落实，管护水平和质量显著提升。</w:t>
      </w:r>
    </w:p>
    <w:p w14:paraId="709FB89B">
      <w:pPr>
        <w:spacing w:line="338" w:lineRule="auto"/>
        <w:sectPr>
          <w:pgSz w:w="11910" w:h="16840"/>
          <w:pgMar w:top="1760" w:right="1200" w:bottom="1160" w:left="1360" w:header="0" w:footer="975" w:gutter="0"/>
          <w:cols w:space="720" w:num="1"/>
        </w:sectPr>
      </w:pPr>
    </w:p>
    <w:p w14:paraId="7CA42129">
      <w:pPr>
        <w:spacing w:before="31"/>
        <w:ind w:left="2343" w:right="2500"/>
        <w:jc w:val="center"/>
        <w:outlineLvl w:val="0"/>
        <w:rPr>
          <w:rFonts w:ascii="宋体" w:hAnsi="宋体" w:eastAsia="宋体" w:cs="宋体"/>
          <w:b/>
          <w:bCs/>
          <w:sz w:val="32"/>
          <w:szCs w:val="32"/>
        </w:rPr>
      </w:pPr>
      <w:r>
        <w:rPr>
          <w:rFonts w:ascii="宋体" w:hAnsi="宋体" w:eastAsia="宋体" w:cs="宋体"/>
          <w:b/>
          <w:bCs/>
          <w:sz w:val="32"/>
          <w:szCs w:val="32"/>
        </w:rPr>
        <w:t>第四</w:t>
      </w:r>
      <w:r>
        <w:rPr>
          <w:rFonts w:ascii="宋体" w:hAnsi="宋体" w:eastAsia="宋体" w:cs="宋体"/>
          <w:b/>
          <w:bCs/>
          <w:spacing w:val="46"/>
          <w:sz w:val="32"/>
          <w:szCs w:val="32"/>
        </w:rPr>
        <w:t>节 突</w:t>
      </w:r>
      <w:r>
        <w:rPr>
          <w:rFonts w:ascii="宋体" w:hAnsi="宋体" w:eastAsia="宋体" w:cs="宋体"/>
          <w:b/>
          <w:bCs/>
          <w:sz w:val="32"/>
          <w:szCs w:val="32"/>
        </w:rPr>
        <w:t>出重点领域体制改</w:t>
      </w:r>
      <w:r>
        <w:rPr>
          <w:rFonts w:ascii="宋体" w:hAnsi="宋体" w:eastAsia="宋体" w:cs="宋体"/>
          <w:b/>
          <w:bCs/>
          <w:spacing w:val="-10"/>
          <w:sz w:val="32"/>
          <w:szCs w:val="32"/>
        </w:rPr>
        <w:t>革</w:t>
      </w:r>
    </w:p>
    <w:p w14:paraId="3F992804">
      <w:pPr>
        <w:spacing w:before="1"/>
        <w:rPr>
          <w:rFonts w:ascii="宋体"/>
          <w:b/>
          <w:sz w:val="25"/>
          <w:szCs w:val="32"/>
        </w:rPr>
      </w:pPr>
    </w:p>
    <w:p w14:paraId="71A100AF">
      <w:pPr>
        <w:spacing w:line="338" w:lineRule="auto"/>
        <w:ind w:left="113" w:right="270" w:firstLine="640"/>
        <w:jc w:val="both"/>
        <w:rPr>
          <w:sz w:val="32"/>
          <w:szCs w:val="32"/>
        </w:rPr>
      </w:pPr>
      <w:r>
        <w:rPr>
          <w:b/>
          <w:w w:val="99"/>
          <w:sz w:val="32"/>
          <w:szCs w:val="32"/>
        </w:rPr>
        <w:t>扩大公共服务供给。</w:t>
      </w:r>
      <w:r>
        <w:rPr>
          <w:spacing w:val="-1"/>
          <w:w w:val="99"/>
          <w:sz w:val="32"/>
          <w:szCs w:val="32"/>
        </w:rPr>
        <w:t>全面推进社会治理体制改革，鼓励和支</w:t>
      </w:r>
      <w:r>
        <w:rPr>
          <w:w w:val="99"/>
          <w:sz w:val="32"/>
          <w:szCs w:val="32"/>
        </w:rPr>
        <w:t>持社会各方面参与。深化医药卫生体制改革，深化分级诊疗制度改革，提高医疗集团、专科联盟、城市医共体等紧密型医联体运</w:t>
      </w:r>
      <w:r>
        <w:rPr>
          <w:spacing w:val="-1"/>
          <w:w w:val="99"/>
          <w:sz w:val="32"/>
          <w:szCs w:val="32"/>
        </w:rPr>
        <w:t>营水平，配合推进医联体建设。深化“三医联动”综合改革，落</w:t>
      </w:r>
      <w:r>
        <w:rPr>
          <w:spacing w:val="11"/>
          <w:w w:val="99"/>
          <w:sz w:val="32"/>
          <w:szCs w:val="32"/>
        </w:rPr>
        <w:t>实总额控制下的按病种分值付费为主的多元复合式医保支付方</w:t>
      </w:r>
      <w:r>
        <w:rPr>
          <w:w w:val="99"/>
          <w:sz w:val="32"/>
          <w:szCs w:val="32"/>
        </w:rPr>
        <w:t>式改革。落实自然资源资产产权制度改革。深入推进校长管理、教师培养机制改革，巩固大学区制改革，加快建设智慧校园。深化国资国企改革，优化产权结构、组织结构、治理结构。健全重大决策的社会稳定风险评估机制。建立健全食品药品动态监测、质量追溯和举报查实奖励制度。深化文化体制创新，完善文化管理体制，构建公共文化服务体系。</w:t>
      </w:r>
    </w:p>
    <w:p w14:paraId="48A4349B">
      <w:pPr>
        <w:spacing w:before="23" w:line="338" w:lineRule="auto"/>
        <w:ind w:left="113" w:right="271" w:firstLine="640"/>
        <w:jc w:val="both"/>
        <w:rPr>
          <w:sz w:val="32"/>
          <w:szCs w:val="32"/>
        </w:rPr>
      </w:pPr>
      <w:r>
        <w:rPr>
          <w:b/>
          <w:w w:val="99"/>
          <w:sz w:val="32"/>
          <w:szCs w:val="32"/>
        </w:rPr>
        <w:t>深化园区改革创新。</w:t>
      </w:r>
      <w:r>
        <w:rPr>
          <w:spacing w:val="-1"/>
          <w:w w:val="99"/>
          <w:sz w:val="32"/>
          <w:szCs w:val="32"/>
        </w:rPr>
        <w:t>创新体制机制，建立更加市场化的园区</w:t>
      </w:r>
      <w:r>
        <w:rPr>
          <w:spacing w:val="4"/>
          <w:w w:val="99"/>
          <w:sz w:val="32"/>
          <w:szCs w:val="32"/>
        </w:rPr>
        <w:t>管理模式。尽快向“项目建设开发+物业持有出租+产业服务+产</w:t>
      </w:r>
      <w:r>
        <w:rPr>
          <w:w w:val="99"/>
          <w:sz w:val="32"/>
          <w:szCs w:val="32"/>
        </w:rPr>
        <w:t>业投资”平衡发展的模式过渡。逐步建立高效灵活、稳定透明、体系完善的园区管理体制和运行机制，更加注重市场化运作，勇于创新所属公司体制机制，加强政策实施的刚性。制定“企业参与商务区建设”计划，在阅海湾中央商务区建设过程中充分吸收</w:t>
      </w:r>
      <w:r>
        <w:rPr>
          <w:spacing w:val="-5"/>
          <w:w w:val="99"/>
          <w:sz w:val="32"/>
          <w:szCs w:val="32"/>
        </w:rPr>
        <w:t>入驻企业和即将入驻企业的意见，构筑与国内外先进</w:t>
      </w:r>
      <w:r>
        <w:rPr>
          <w:spacing w:val="-81"/>
          <w:sz w:val="32"/>
          <w:szCs w:val="32"/>
        </w:rPr>
        <w:t xml:space="preserve"> </w:t>
      </w:r>
      <w:r>
        <w:rPr>
          <w:rFonts w:ascii="Calibri" w:hAnsi="Calibri" w:eastAsia="Calibri"/>
          <w:w w:val="99"/>
          <w:sz w:val="32"/>
          <w:szCs w:val="32"/>
        </w:rPr>
        <w:t>C</w:t>
      </w:r>
      <w:r>
        <w:rPr>
          <w:rFonts w:ascii="Calibri" w:hAnsi="Calibri" w:eastAsia="Calibri"/>
          <w:spacing w:val="-1"/>
          <w:w w:val="99"/>
          <w:sz w:val="32"/>
          <w:szCs w:val="32"/>
        </w:rPr>
        <w:t>B</w:t>
      </w:r>
      <w:r>
        <w:rPr>
          <w:rFonts w:ascii="Calibri" w:hAnsi="Calibri" w:eastAsia="Calibri"/>
          <w:w w:val="99"/>
          <w:sz w:val="32"/>
          <w:szCs w:val="32"/>
        </w:rPr>
        <w:t>D</w:t>
      </w:r>
      <w:r>
        <w:rPr>
          <w:rFonts w:ascii="Calibri" w:hAnsi="Calibri" w:eastAsia="Calibri"/>
          <w:spacing w:val="9"/>
          <w:sz w:val="32"/>
          <w:szCs w:val="32"/>
        </w:rPr>
        <w:t xml:space="preserve"> </w:t>
      </w:r>
      <w:r>
        <w:rPr>
          <w:w w:val="99"/>
          <w:sz w:val="32"/>
          <w:szCs w:val="32"/>
        </w:rPr>
        <w:t>接轨的商务环境。学习、复制、推广上海、广东和海南等自贸区（</w:t>
      </w:r>
      <w:r>
        <w:rPr>
          <w:spacing w:val="2"/>
          <w:w w:val="99"/>
          <w:sz w:val="32"/>
          <w:szCs w:val="32"/>
        </w:rPr>
        <w:t>港</w:t>
      </w:r>
      <w:r>
        <w:rPr>
          <w:w w:val="99"/>
          <w:sz w:val="32"/>
          <w:szCs w:val="32"/>
        </w:rPr>
        <w:t>）先进制度经验，提升园区项目投资强度和产出税收贡献率。</w:t>
      </w:r>
    </w:p>
    <w:p w14:paraId="5E830209">
      <w:pPr>
        <w:spacing w:before="17" w:line="338" w:lineRule="auto"/>
        <w:ind w:left="113" w:right="271" w:firstLine="640"/>
        <w:rPr>
          <w:sz w:val="32"/>
          <w:szCs w:val="32"/>
        </w:rPr>
      </w:pPr>
      <w:r>
        <w:rPr>
          <w:b/>
          <w:spacing w:val="-1"/>
          <w:w w:val="99"/>
          <w:sz w:val="32"/>
          <w:szCs w:val="32"/>
        </w:rPr>
        <w:t>打造改革试点典范。</w:t>
      </w:r>
      <w:r>
        <w:rPr>
          <w:w w:val="99"/>
          <w:sz w:val="32"/>
          <w:szCs w:val="32"/>
        </w:rPr>
        <w:t>加快推进金凤区承担的创新完善城市小区治理体系试点改革、新时代文明实践中心、全国青少年足球改</w:t>
      </w:r>
    </w:p>
    <w:p w14:paraId="2FC6DFE7">
      <w:pPr>
        <w:spacing w:line="338" w:lineRule="auto"/>
        <w:sectPr>
          <w:pgSz w:w="11910" w:h="16840"/>
          <w:pgMar w:top="1780" w:right="1200" w:bottom="1160" w:left="1360" w:header="0" w:footer="975" w:gutter="0"/>
          <w:cols w:space="720" w:num="1"/>
        </w:sectPr>
      </w:pPr>
    </w:p>
    <w:p w14:paraId="7A860A46">
      <w:pPr>
        <w:spacing w:before="28" w:line="338" w:lineRule="auto"/>
        <w:ind w:left="113" w:right="271"/>
        <w:jc w:val="both"/>
        <w:rPr>
          <w:sz w:val="32"/>
          <w:szCs w:val="32"/>
        </w:rPr>
      </w:pPr>
      <w:r>
        <w:rPr>
          <w:w w:val="99"/>
          <w:sz w:val="32"/>
          <w:szCs w:val="32"/>
        </w:rPr>
        <w:t>革试点、残疾人联合会改革、社会心理服务体系建设试点、自治</w:t>
      </w:r>
      <w:r>
        <w:rPr>
          <w:spacing w:val="-7"/>
          <w:w w:val="99"/>
          <w:sz w:val="32"/>
          <w:szCs w:val="32"/>
        </w:rPr>
        <w:t>区“互联网+教育”“互联网+医疗健康”示范区、金凤区城乡建</w:t>
      </w:r>
      <w:r>
        <w:rPr>
          <w:spacing w:val="11"/>
          <w:w w:val="99"/>
          <w:sz w:val="32"/>
          <w:szCs w:val="32"/>
        </w:rPr>
        <w:t>设用地增减挂钩试点等改革试点任务，总结提炼典型的经验做</w:t>
      </w:r>
      <w:r>
        <w:rPr>
          <w:spacing w:val="-4"/>
          <w:w w:val="99"/>
          <w:sz w:val="32"/>
          <w:szCs w:val="32"/>
        </w:rPr>
        <w:t>法，形成可复制、可借鉴的“金凤经验”。探索以事权为核心的</w:t>
      </w:r>
      <w:r>
        <w:rPr>
          <w:spacing w:val="-1"/>
          <w:w w:val="99"/>
          <w:sz w:val="32"/>
          <w:szCs w:val="32"/>
        </w:rPr>
        <w:t>地方关系，实现金凤区辖区范围的基本公共服务统一规划、建设</w:t>
      </w:r>
      <w:r>
        <w:rPr>
          <w:w w:val="99"/>
          <w:sz w:val="32"/>
          <w:szCs w:val="32"/>
        </w:rPr>
        <w:t>和管理。</w:t>
      </w:r>
    </w:p>
    <w:p w14:paraId="63FFBC4C">
      <w:pPr>
        <w:spacing w:line="338" w:lineRule="auto"/>
        <w:jc w:val="both"/>
        <w:sectPr>
          <w:pgSz w:w="11910" w:h="16840"/>
          <w:pgMar w:top="1800" w:right="1200" w:bottom="1160" w:left="1360" w:header="0" w:footer="975" w:gutter="0"/>
          <w:cols w:space="720" w:num="1"/>
        </w:sectPr>
      </w:pPr>
    </w:p>
    <w:p w14:paraId="0DC73C6F">
      <w:pPr>
        <w:tabs>
          <w:tab w:val="left" w:pos="2431"/>
        </w:tabs>
        <w:spacing w:line="615" w:lineRule="exact"/>
        <w:ind w:left="991"/>
        <w:rPr>
          <w:rFonts w:ascii="方正小标宋简体" w:eastAsia="方正小标宋简体"/>
          <w:sz w:val="36"/>
        </w:rPr>
      </w:pPr>
      <w:r>
        <w:rPr>
          <w:rFonts w:ascii="方正小标宋简体" w:eastAsia="方正小标宋简体"/>
          <w:sz w:val="36"/>
        </w:rPr>
        <w:t>第七</w:t>
      </w:r>
      <w:r>
        <w:rPr>
          <w:rFonts w:ascii="方正小标宋简体" w:eastAsia="方正小标宋简体"/>
          <w:spacing w:val="-10"/>
          <w:sz w:val="36"/>
        </w:rPr>
        <w:t>篇</w:t>
      </w:r>
      <w:r>
        <w:rPr>
          <w:rFonts w:ascii="方正小标宋简体" w:eastAsia="方正小标宋简体"/>
          <w:sz w:val="36"/>
        </w:rPr>
        <w:tab/>
      </w:r>
      <w:r>
        <w:rPr>
          <w:rFonts w:ascii="方正小标宋简体" w:eastAsia="方正小标宋简体"/>
          <w:sz w:val="36"/>
        </w:rPr>
        <w:t>坚持人民至上，共享全面发展新成</w:t>
      </w:r>
      <w:r>
        <w:rPr>
          <w:rFonts w:ascii="方正小标宋简体" w:eastAsia="方正小标宋简体"/>
          <w:spacing w:val="-10"/>
          <w:sz w:val="36"/>
        </w:rPr>
        <w:t>果</w:t>
      </w:r>
    </w:p>
    <w:p w14:paraId="2F6617D7">
      <w:pPr>
        <w:tabs>
          <w:tab w:val="left" w:pos="3931"/>
        </w:tabs>
        <w:spacing w:before="147"/>
        <w:ind w:left="2132"/>
        <w:rPr>
          <w:rFonts w:ascii="宋体" w:eastAsia="宋体"/>
          <w:sz w:val="36"/>
        </w:rPr>
      </w:pPr>
      <w:r>
        <w:rPr>
          <w:rFonts w:ascii="宋体" w:eastAsia="宋体"/>
          <w:sz w:val="36"/>
        </w:rPr>
        <w:t>第十三</w:t>
      </w:r>
      <w:r>
        <w:rPr>
          <w:rFonts w:ascii="宋体" w:eastAsia="宋体"/>
          <w:spacing w:val="-10"/>
          <w:sz w:val="36"/>
        </w:rPr>
        <w:t>章</w:t>
      </w:r>
      <w:r>
        <w:rPr>
          <w:rFonts w:ascii="宋体" w:eastAsia="宋体"/>
          <w:sz w:val="36"/>
        </w:rPr>
        <w:tab/>
      </w:r>
      <w:r>
        <w:rPr>
          <w:rFonts w:ascii="宋体" w:eastAsia="宋体"/>
          <w:sz w:val="36"/>
        </w:rPr>
        <w:t>持续改善和增进民生福</w:t>
      </w:r>
      <w:r>
        <w:rPr>
          <w:rFonts w:ascii="宋体" w:eastAsia="宋体"/>
          <w:spacing w:val="-10"/>
          <w:sz w:val="36"/>
        </w:rPr>
        <w:t>祉</w:t>
      </w:r>
    </w:p>
    <w:p w14:paraId="7AAD4F58">
      <w:pPr>
        <w:spacing w:before="313" w:line="338" w:lineRule="auto"/>
        <w:ind w:left="113" w:right="120" w:firstLine="664"/>
        <w:rPr>
          <w:sz w:val="32"/>
          <w:szCs w:val="32"/>
        </w:rPr>
      </w:pPr>
      <w:r>
        <w:rPr>
          <w:spacing w:val="1"/>
          <w:w w:val="99"/>
          <w:sz w:val="32"/>
          <w:szCs w:val="32"/>
        </w:rPr>
        <w:t>坚持以人民为中心的发展思想，坚持尽力而为、量力而行，</w:t>
      </w:r>
      <w:r>
        <w:rPr>
          <w:spacing w:val="10"/>
          <w:w w:val="99"/>
          <w:sz w:val="32"/>
          <w:szCs w:val="32"/>
        </w:rPr>
        <w:t>抓重点、强弱项、提质量，加快构建覆盖常住人口的优质均衡公共服务体系，促进幼有善育、学有优教、劳有厚得、病有良</w:t>
      </w:r>
      <w:r>
        <w:rPr>
          <w:spacing w:val="9"/>
          <w:w w:val="99"/>
          <w:sz w:val="32"/>
          <w:szCs w:val="32"/>
        </w:rPr>
        <w:t>医、老有颐养、住有宜居、弱有众扶的“幸福民生七有”，打</w:t>
      </w:r>
      <w:r>
        <w:rPr>
          <w:spacing w:val="10"/>
          <w:w w:val="99"/>
          <w:sz w:val="32"/>
          <w:szCs w:val="32"/>
        </w:rPr>
        <w:t>造与城市核心区相匹配、合理布局、均衡配置的优质公共服务资源体系，拓展人口质量红利，提升人力资本水平和人的全面</w:t>
      </w:r>
      <w:r>
        <w:rPr>
          <w:spacing w:val="9"/>
          <w:w w:val="99"/>
          <w:sz w:val="32"/>
          <w:szCs w:val="32"/>
        </w:rPr>
        <w:t>发展能力。</w:t>
      </w:r>
    </w:p>
    <w:p w14:paraId="65C9E4AB">
      <w:pPr>
        <w:spacing w:before="153"/>
        <w:ind w:left="2256"/>
        <w:outlineLvl w:val="0"/>
        <w:rPr>
          <w:rFonts w:ascii="宋体" w:hAnsi="宋体" w:eastAsia="宋体" w:cs="宋体"/>
          <w:b/>
          <w:bCs/>
          <w:sz w:val="32"/>
          <w:szCs w:val="32"/>
        </w:rPr>
      </w:pPr>
      <w:r>
        <w:rPr>
          <w:rFonts w:ascii="宋体" w:hAnsi="宋体" w:eastAsia="宋体" w:cs="宋体"/>
          <w:b/>
          <w:bCs/>
          <w:spacing w:val="14"/>
          <w:sz w:val="32"/>
          <w:szCs w:val="32"/>
        </w:rPr>
        <w:t>第一</w:t>
      </w:r>
      <w:r>
        <w:rPr>
          <w:rFonts w:ascii="宋体" w:hAnsi="宋体" w:eastAsia="宋体" w:cs="宋体"/>
          <w:b/>
          <w:bCs/>
          <w:spacing w:val="56"/>
          <w:sz w:val="32"/>
          <w:szCs w:val="32"/>
        </w:rPr>
        <w:t>节 实</w:t>
      </w:r>
      <w:r>
        <w:rPr>
          <w:rFonts w:ascii="宋体" w:hAnsi="宋体" w:eastAsia="宋体" w:cs="宋体"/>
          <w:b/>
          <w:bCs/>
          <w:spacing w:val="14"/>
          <w:sz w:val="32"/>
          <w:szCs w:val="32"/>
        </w:rPr>
        <w:t>现更</w:t>
      </w:r>
      <w:r>
        <w:rPr>
          <w:rFonts w:ascii="宋体" w:hAnsi="宋体" w:eastAsia="宋体" w:cs="宋体"/>
          <w:b/>
          <w:bCs/>
          <w:spacing w:val="12"/>
          <w:sz w:val="32"/>
          <w:szCs w:val="32"/>
        </w:rPr>
        <w:t>加</w:t>
      </w:r>
      <w:r>
        <w:rPr>
          <w:rFonts w:ascii="宋体" w:hAnsi="宋体" w:eastAsia="宋体" w:cs="宋体"/>
          <w:b/>
          <w:bCs/>
          <w:spacing w:val="14"/>
          <w:sz w:val="32"/>
          <w:szCs w:val="32"/>
        </w:rPr>
        <w:t>充分就业创</w:t>
      </w:r>
      <w:r>
        <w:rPr>
          <w:rFonts w:ascii="宋体" w:hAnsi="宋体" w:eastAsia="宋体" w:cs="宋体"/>
          <w:b/>
          <w:bCs/>
          <w:spacing w:val="-10"/>
          <w:sz w:val="32"/>
          <w:szCs w:val="32"/>
        </w:rPr>
        <w:t>业</w:t>
      </w:r>
    </w:p>
    <w:p w14:paraId="0D565E26">
      <w:pPr>
        <w:spacing w:before="11"/>
        <w:rPr>
          <w:rFonts w:ascii="宋体"/>
          <w:b/>
          <w:sz w:val="23"/>
          <w:szCs w:val="32"/>
        </w:rPr>
      </w:pPr>
    </w:p>
    <w:p w14:paraId="45668C1B">
      <w:pPr>
        <w:ind w:left="778"/>
        <w:rPr>
          <w:rFonts w:ascii="黑体" w:eastAsia="黑体"/>
          <w:sz w:val="32"/>
          <w:szCs w:val="32"/>
        </w:rPr>
      </w:pPr>
      <w:r>
        <w:rPr>
          <w:rFonts w:ascii="黑体" w:eastAsia="黑体"/>
          <w:spacing w:val="12"/>
          <w:w w:val="95"/>
          <w:sz w:val="32"/>
          <w:szCs w:val="32"/>
        </w:rPr>
        <w:t>一、推</w:t>
      </w:r>
      <w:r>
        <w:rPr>
          <w:rFonts w:ascii="黑体" w:eastAsia="黑体"/>
          <w:spacing w:val="14"/>
          <w:w w:val="95"/>
          <w:sz w:val="32"/>
          <w:szCs w:val="32"/>
        </w:rPr>
        <w:t>动</w:t>
      </w:r>
      <w:r>
        <w:rPr>
          <w:rFonts w:ascii="黑体" w:eastAsia="黑体"/>
          <w:spacing w:val="12"/>
          <w:w w:val="95"/>
          <w:sz w:val="32"/>
          <w:szCs w:val="32"/>
        </w:rPr>
        <w:t>实现</w:t>
      </w:r>
      <w:r>
        <w:rPr>
          <w:rFonts w:ascii="黑体" w:eastAsia="黑体"/>
          <w:spacing w:val="14"/>
          <w:w w:val="95"/>
          <w:sz w:val="32"/>
          <w:szCs w:val="32"/>
        </w:rPr>
        <w:t>更</w:t>
      </w:r>
      <w:r>
        <w:rPr>
          <w:rFonts w:ascii="黑体" w:eastAsia="黑体"/>
          <w:spacing w:val="12"/>
          <w:w w:val="95"/>
          <w:sz w:val="32"/>
          <w:szCs w:val="32"/>
        </w:rPr>
        <w:t>高质</w:t>
      </w:r>
      <w:r>
        <w:rPr>
          <w:rFonts w:ascii="黑体" w:eastAsia="黑体"/>
          <w:spacing w:val="4"/>
          <w:w w:val="95"/>
          <w:sz w:val="32"/>
          <w:szCs w:val="32"/>
        </w:rPr>
        <w:t>量就业</w:t>
      </w:r>
    </w:p>
    <w:p w14:paraId="0A19B969">
      <w:pPr>
        <w:spacing w:before="166" w:line="338" w:lineRule="auto"/>
        <w:ind w:left="113" w:right="285" w:firstLine="664"/>
        <w:jc w:val="both"/>
        <w:rPr>
          <w:sz w:val="32"/>
          <w:szCs w:val="32"/>
        </w:rPr>
      </w:pPr>
      <w:r>
        <w:rPr>
          <w:spacing w:val="10"/>
          <w:w w:val="99"/>
          <w:sz w:val="32"/>
          <w:szCs w:val="32"/>
        </w:rPr>
        <w:t>坚持把稳就业作为首要任务和头等大事，做实就业优先政策，推动形成更加充分、更高质量的就业，努力提高城乡居民</w:t>
      </w:r>
      <w:r>
        <w:rPr>
          <w:spacing w:val="6"/>
          <w:w w:val="99"/>
          <w:sz w:val="32"/>
          <w:szCs w:val="32"/>
        </w:rPr>
        <w:t>收入水平，让人民群众有更多的获得感。</w:t>
      </w:r>
      <w:r>
        <w:rPr>
          <w:rFonts w:ascii="Times New Roman" w:eastAsia="Times New Roman"/>
          <w:spacing w:val="3"/>
          <w:w w:val="99"/>
          <w:sz w:val="32"/>
          <w:szCs w:val="32"/>
        </w:rPr>
        <w:t>20</w:t>
      </w:r>
      <w:r>
        <w:rPr>
          <w:rFonts w:ascii="Times New Roman" w:eastAsia="Times New Roman"/>
          <w:spacing w:val="8"/>
          <w:w w:val="99"/>
          <w:sz w:val="32"/>
          <w:szCs w:val="32"/>
        </w:rPr>
        <w:t>2</w:t>
      </w:r>
      <w:r>
        <w:rPr>
          <w:rFonts w:ascii="Times New Roman" w:eastAsia="Times New Roman"/>
          <w:w w:val="99"/>
          <w:sz w:val="32"/>
          <w:szCs w:val="32"/>
        </w:rPr>
        <w:t>5</w:t>
      </w:r>
      <w:r>
        <w:rPr>
          <w:rFonts w:ascii="Times New Roman" w:eastAsia="Times New Roman"/>
          <w:spacing w:val="12"/>
          <w:sz w:val="32"/>
          <w:szCs w:val="32"/>
        </w:rPr>
        <w:t xml:space="preserve"> </w:t>
      </w:r>
      <w:r>
        <w:rPr>
          <w:spacing w:val="6"/>
          <w:w w:val="99"/>
          <w:sz w:val="32"/>
          <w:szCs w:val="32"/>
        </w:rPr>
        <w:t>年，城镇登记失</w:t>
      </w:r>
      <w:r>
        <w:rPr>
          <w:spacing w:val="9"/>
          <w:w w:val="99"/>
          <w:sz w:val="32"/>
          <w:szCs w:val="32"/>
        </w:rPr>
        <w:t>业率控制在</w:t>
      </w:r>
      <w:r>
        <w:rPr>
          <w:spacing w:val="-64"/>
          <w:sz w:val="32"/>
          <w:szCs w:val="32"/>
        </w:rPr>
        <w:t xml:space="preserve"> </w:t>
      </w:r>
      <w:r>
        <w:rPr>
          <w:rFonts w:ascii="Times New Roman" w:eastAsia="Times New Roman"/>
          <w:spacing w:val="3"/>
          <w:w w:val="99"/>
          <w:sz w:val="32"/>
          <w:szCs w:val="32"/>
        </w:rPr>
        <w:t>4</w:t>
      </w:r>
      <w:r>
        <w:rPr>
          <w:rFonts w:ascii="Times New Roman" w:eastAsia="Times New Roman"/>
          <w:spacing w:val="4"/>
          <w:w w:val="99"/>
          <w:sz w:val="32"/>
          <w:szCs w:val="32"/>
        </w:rPr>
        <w:t>.</w:t>
      </w:r>
      <w:r>
        <w:rPr>
          <w:rFonts w:ascii="Times New Roman" w:eastAsia="Times New Roman"/>
          <w:spacing w:val="13"/>
          <w:w w:val="99"/>
          <w:sz w:val="32"/>
          <w:szCs w:val="32"/>
        </w:rPr>
        <w:t>5</w:t>
      </w:r>
      <w:r>
        <w:rPr>
          <w:spacing w:val="11"/>
          <w:w w:val="99"/>
          <w:sz w:val="32"/>
          <w:szCs w:val="32"/>
        </w:rPr>
        <w:t>％以内，确保地区经济与居民收入同步增长。</w:t>
      </w:r>
    </w:p>
    <w:p w14:paraId="17EA9D35">
      <w:pPr>
        <w:spacing w:before="8" w:line="338" w:lineRule="auto"/>
        <w:ind w:left="113" w:right="283" w:firstLine="664"/>
        <w:jc w:val="both"/>
        <w:rPr>
          <w:sz w:val="32"/>
          <w:szCs w:val="32"/>
        </w:rPr>
      </w:pPr>
      <w:r>
        <w:rPr>
          <w:b/>
          <w:spacing w:val="12"/>
          <w:w w:val="99"/>
          <w:sz w:val="32"/>
          <w:szCs w:val="32"/>
        </w:rPr>
        <w:t>支持企业发展。</w:t>
      </w:r>
      <w:r>
        <w:rPr>
          <w:spacing w:val="10"/>
          <w:w w:val="99"/>
          <w:sz w:val="32"/>
          <w:szCs w:val="32"/>
        </w:rPr>
        <w:t>稳定现有就业岗位，积极落实援企稳岗政策，引导金融机构按照金融政策落实对民营、小微企业金融信贷支持，降低企业用电、用能、用工成本，实现稳就业、保民</w:t>
      </w:r>
      <w:r>
        <w:rPr>
          <w:spacing w:val="11"/>
          <w:w w:val="99"/>
          <w:sz w:val="32"/>
          <w:szCs w:val="32"/>
        </w:rPr>
        <w:t>生。积极开发更多就业岗位，开展家政服务业提质扩容“领跑</w:t>
      </w:r>
      <w:r>
        <w:rPr>
          <w:spacing w:val="9"/>
          <w:w w:val="99"/>
          <w:sz w:val="32"/>
          <w:szCs w:val="32"/>
        </w:rPr>
        <w:t>者”行动，有针对性开展重点群体的职业技能培训、企业职工</w:t>
      </w:r>
      <w:r>
        <w:rPr>
          <w:spacing w:val="11"/>
          <w:w w:val="99"/>
          <w:sz w:val="32"/>
          <w:szCs w:val="32"/>
        </w:rPr>
        <w:t>岗位技能提升培训，扩大家政服务业就业规模。</w:t>
      </w:r>
    </w:p>
    <w:p w14:paraId="1E9DA63D">
      <w:pPr>
        <w:spacing w:before="12"/>
        <w:ind w:left="778"/>
        <w:rPr>
          <w:sz w:val="32"/>
        </w:rPr>
      </w:pPr>
      <w:r>
        <w:rPr>
          <w:b/>
          <w:spacing w:val="14"/>
          <w:w w:val="95"/>
          <w:sz w:val="32"/>
        </w:rPr>
        <w:t>引导人才</w:t>
      </w:r>
      <w:r>
        <w:rPr>
          <w:b/>
          <w:spacing w:val="8"/>
          <w:w w:val="95"/>
          <w:sz w:val="32"/>
        </w:rPr>
        <w:t>流动。</w:t>
      </w:r>
      <w:r>
        <w:rPr>
          <w:spacing w:val="13"/>
          <w:w w:val="95"/>
          <w:sz w:val="32"/>
        </w:rPr>
        <w:t>以重</w:t>
      </w:r>
      <w:r>
        <w:rPr>
          <w:spacing w:val="12"/>
          <w:w w:val="95"/>
          <w:sz w:val="32"/>
        </w:rPr>
        <w:t>大产</w:t>
      </w:r>
      <w:r>
        <w:rPr>
          <w:spacing w:val="13"/>
          <w:w w:val="95"/>
          <w:sz w:val="32"/>
        </w:rPr>
        <w:t>业项目</w:t>
      </w:r>
      <w:r>
        <w:rPr>
          <w:spacing w:val="12"/>
          <w:w w:val="95"/>
          <w:sz w:val="32"/>
        </w:rPr>
        <w:t>和重</w:t>
      </w:r>
      <w:r>
        <w:rPr>
          <w:spacing w:val="14"/>
          <w:w w:val="95"/>
          <w:sz w:val="32"/>
        </w:rPr>
        <w:t>点</w:t>
      </w:r>
      <w:r>
        <w:rPr>
          <w:spacing w:val="12"/>
          <w:w w:val="95"/>
          <w:sz w:val="32"/>
        </w:rPr>
        <w:t>企业</w:t>
      </w:r>
      <w:r>
        <w:rPr>
          <w:spacing w:val="14"/>
          <w:w w:val="95"/>
          <w:sz w:val="32"/>
        </w:rPr>
        <w:t>落</w:t>
      </w:r>
      <w:r>
        <w:rPr>
          <w:spacing w:val="12"/>
          <w:w w:val="95"/>
          <w:sz w:val="32"/>
        </w:rPr>
        <w:t>地带</w:t>
      </w:r>
      <w:r>
        <w:rPr>
          <w:spacing w:val="5"/>
          <w:w w:val="95"/>
          <w:sz w:val="32"/>
        </w:rPr>
        <w:t>动就业</w:t>
      </w:r>
    </w:p>
    <w:p w14:paraId="318888F0">
      <w:pPr>
        <w:rPr>
          <w:sz w:val="32"/>
        </w:rPr>
        <w:sectPr>
          <w:pgSz w:w="11910" w:h="16840"/>
          <w:pgMar w:top="1880" w:right="1200" w:bottom="1160" w:left="1360" w:header="0" w:footer="975" w:gutter="0"/>
          <w:cols w:space="720" w:num="1"/>
        </w:sectPr>
      </w:pPr>
    </w:p>
    <w:p w14:paraId="7AE8A6A1">
      <w:pPr>
        <w:spacing w:before="28" w:line="340" w:lineRule="auto"/>
        <w:ind w:left="113" w:right="278"/>
        <w:jc w:val="both"/>
        <w:rPr>
          <w:sz w:val="32"/>
          <w:szCs w:val="32"/>
        </w:rPr>
      </w:pPr>
      <w:r>
        <w:rPr>
          <w:spacing w:val="17"/>
          <w:w w:val="99"/>
          <w:sz w:val="32"/>
          <w:szCs w:val="32"/>
        </w:rPr>
        <w:t>岗位开发，对接阅海湾中央商务区</w:t>
      </w:r>
      <w:r>
        <w:rPr>
          <w:spacing w:val="19"/>
          <w:w w:val="99"/>
          <w:sz w:val="32"/>
          <w:szCs w:val="32"/>
        </w:rPr>
        <w:t>（</w:t>
      </w:r>
      <w:r>
        <w:rPr>
          <w:spacing w:val="18"/>
          <w:w w:val="99"/>
          <w:sz w:val="32"/>
          <w:szCs w:val="32"/>
        </w:rPr>
        <w:t>丝路经济园</w:t>
      </w:r>
      <w:r>
        <w:rPr>
          <w:spacing w:val="-147"/>
          <w:w w:val="99"/>
          <w:sz w:val="32"/>
          <w:szCs w:val="32"/>
        </w:rPr>
        <w:t>）</w:t>
      </w:r>
      <w:r>
        <w:rPr>
          <w:spacing w:val="15"/>
          <w:w w:val="99"/>
          <w:sz w:val="32"/>
          <w:szCs w:val="32"/>
        </w:rPr>
        <w:t>、银川经开</w:t>
      </w:r>
      <w:r>
        <w:rPr>
          <w:spacing w:val="11"/>
          <w:w w:val="99"/>
          <w:sz w:val="32"/>
          <w:szCs w:val="32"/>
        </w:rPr>
        <w:t>区、六大商圈等重点区域企业，发挥人力资源企业集聚优势，</w:t>
      </w:r>
      <w:r>
        <w:rPr>
          <w:spacing w:val="10"/>
          <w:w w:val="99"/>
          <w:sz w:val="32"/>
          <w:szCs w:val="32"/>
        </w:rPr>
        <w:t>提高劳动密集型产业劳动力吸纳能力。注重解决结构性就业矛盾，引导农村劳动力转移就业，扎实做好下岗失业人员、高校</w:t>
      </w:r>
      <w:r>
        <w:rPr>
          <w:spacing w:val="11"/>
          <w:w w:val="99"/>
          <w:sz w:val="32"/>
          <w:szCs w:val="32"/>
        </w:rPr>
        <w:t>毕业生、农民工、退役军人等重点群体就业工作。</w:t>
      </w:r>
    </w:p>
    <w:p w14:paraId="4A4D63FA">
      <w:pPr>
        <w:spacing w:line="340" w:lineRule="auto"/>
        <w:ind w:left="113" w:right="270" w:firstLine="664"/>
        <w:jc w:val="both"/>
        <w:rPr>
          <w:sz w:val="32"/>
          <w:szCs w:val="32"/>
        </w:rPr>
      </w:pPr>
      <w:r>
        <w:rPr>
          <w:b/>
          <w:spacing w:val="13"/>
          <w:w w:val="99"/>
          <w:sz w:val="32"/>
          <w:szCs w:val="32"/>
        </w:rPr>
        <w:t>畅通就业信息。</w:t>
      </w:r>
      <w:r>
        <w:rPr>
          <w:spacing w:val="11"/>
          <w:w w:val="99"/>
          <w:sz w:val="32"/>
          <w:szCs w:val="32"/>
        </w:rPr>
        <w:t>加大基层平台建设，完善“就业一卡通”</w:t>
      </w:r>
      <w:r>
        <w:rPr>
          <w:spacing w:val="9"/>
          <w:w w:val="99"/>
          <w:sz w:val="32"/>
          <w:szCs w:val="32"/>
        </w:rPr>
        <w:t>公共就业创业服务信息网络。加大有效数据采集力度，抓好数</w:t>
      </w:r>
      <w:r>
        <w:rPr>
          <w:spacing w:val="11"/>
          <w:w w:val="99"/>
          <w:sz w:val="32"/>
          <w:szCs w:val="32"/>
        </w:rPr>
        <w:t>据录入、维护等工作，提高数据的准确性。打造公共就业服务</w:t>
      </w:r>
      <w:r>
        <w:rPr>
          <w:spacing w:val="10"/>
          <w:w w:val="99"/>
          <w:sz w:val="32"/>
          <w:szCs w:val="32"/>
        </w:rPr>
        <w:t>信息化平台。完善服务手段和功能，利用网站、微信等现代信息媒介开展公共就业信息服务，为就业创业者提供各种方便快</w:t>
      </w:r>
      <w:r>
        <w:rPr>
          <w:spacing w:val="9"/>
          <w:w w:val="99"/>
          <w:sz w:val="32"/>
          <w:szCs w:val="32"/>
        </w:rPr>
        <w:t>捷服务。</w:t>
      </w:r>
    </w:p>
    <w:p w14:paraId="16014078">
      <w:pPr>
        <w:spacing w:line="382" w:lineRule="exact"/>
        <w:ind w:left="778"/>
        <w:rPr>
          <w:rFonts w:ascii="黑体" w:eastAsia="黑体"/>
          <w:sz w:val="32"/>
          <w:szCs w:val="32"/>
        </w:rPr>
      </w:pPr>
      <w:r>
        <w:rPr>
          <w:rFonts w:ascii="黑体" w:eastAsia="黑体"/>
          <w:spacing w:val="12"/>
          <w:w w:val="95"/>
          <w:sz w:val="32"/>
          <w:szCs w:val="32"/>
        </w:rPr>
        <w:t>二、积极</w:t>
      </w:r>
      <w:r>
        <w:rPr>
          <w:rFonts w:ascii="黑体" w:eastAsia="黑体"/>
          <w:spacing w:val="14"/>
          <w:w w:val="95"/>
          <w:sz w:val="32"/>
          <w:szCs w:val="32"/>
        </w:rPr>
        <w:t>鼓</w:t>
      </w:r>
      <w:r>
        <w:rPr>
          <w:rFonts w:ascii="黑体" w:eastAsia="黑体"/>
          <w:spacing w:val="12"/>
          <w:w w:val="95"/>
          <w:sz w:val="32"/>
          <w:szCs w:val="32"/>
        </w:rPr>
        <w:t>励创</w:t>
      </w:r>
      <w:r>
        <w:rPr>
          <w:rFonts w:ascii="黑体" w:eastAsia="黑体"/>
          <w:spacing w:val="14"/>
          <w:w w:val="95"/>
          <w:sz w:val="32"/>
          <w:szCs w:val="32"/>
        </w:rPr>
        <w:t>业</w:t>
      </w:r>
      <w:r>
        <w:rPr>
          <w:rFonts w:ascii="黑体" w:eastAsia="黑体"/>
          <w:spacing w:val="12"/>
          <w:w w:val="95"/>
          <w:sz w:val="32"/>
          <w:szCs w:val="32"/>
        </w:rPr>
        <w:t>带动</w:t>
      </w:r>
      <w:r>
        <w:rPr>
          <w:rFonts w:ascii="黑体" w:eastAsia="黑体"/>
          <w:spacing w:val="2"/>
          <w:w w:val="95"/>
          <w:sz w:val="32"/>
          <w:szCs w:val="32"/>
        </w:rPr>
        <w:t>就业</w:t>
      </w:r>
    </w:p>
    <w:p w14:paraId="4912FC7B">
      <w:pPr>
        <w:spacing w:before="154" w:line="338" w:lineRule="auto"/>
        <w:ind w:left="113" w:right="117" w:firstLine="664"/>
        <w:rPr>
          <w:sz w:val="32"/>
          <w:szCs w:val="32"/>
        </w:rPr>
      </w:pPr>
      <w:r>
        <w:rPr>
          <w:b/>
          <w:w w:val="99"/>
          <w:sz w:val="32"/>
          <w:szCs w:val="32"/>
        </w:rPr>
        <w:t>鼓励返乡创业。</w:t>
      </w:r>
      <w:r>
        <w:rPr>
          <w:spacing w:val="2"/>
          <w:w w:val="99"/>
          <w:sz w:val="32"/>
          <w:szCs w:val="32"/>
        </w:rPr>
        <w:t>完善“创业培训+创业担保贷款+创新服务”</w:t>
      </w:r>
      <w:r>
        <w:rPr>
          <w:spacing w:val="9"/>
          <w:w w:val="99"/>
          <w:sz w:val="32"/>
          <w:szCs w:val="32"/>
        </w:rPr>
        <w:t>帮扶机制，支持全面创业，鼓励返乡人员兴办实业，进一步完</w:t>
      </w:r>
      <w:r>
        <w:rPr>
          <w:spacing w:val="11"/>
          <w:w w:val="99"/>
          <w:sz w:val="32"/>
          <w:szCs w:val="32"/>
        </w:rPr>
        <w:t>善并落实大中专毕业生、退役军人、城市妇女、农村新型职业</w:t>
      </w:r>
      <w:r>
        <w:rPr>
          <w:spacing w:val="9"/>
          <w:w w:val="99"/>
          <w:sz w:val="32"/>
          <w:szCs w:val="32"/>
        </w:rPr>
        <w:t>农民创业支持政策，推动建立健全创业培训体系，完善创新创</w:t>
      </w:r>
      <w:r>
        <w:rPr>
          <w:spacing w:val="11"/>
          <w:w w:val="99"/>
          <w:sz w:val="32"/>
          <w:szCs w:val="32"/>
        </w:rPr>
        <w:t>业载体，优化创新创业服务。</w:t>
      </w:r>
    </w:p>
    <w:p w14:paraId="786CE00F">
      <w:pPr>
        <w:spacing w:before="8" w:line="340" w:lineRule="auto"/>
        <w:ind w:left="113" w:right="283" w:firstLine="664"/>
        <w:jc w:val="both"/>
        <w:rPr>
          <w:sz w:val="32"/>
          <w:szCs w:val="32"/>
        </w:rPr>
      </w:pPr>
      <w:r>
        <w:rPr>
          <w:b/>
          <w:spacing w:val="12"/>
          <w:w w:val="99"/>
          <w:sz w:val="32"/>
          <w:szCs w:val="32"/>
        </w:rPr>
        <w:t>鼓励人才创业。</w:t>
      </w:r>
      <w:r>
        <w:rPr>
          <w:spacing w:val="9"/>
          <w:w w:val="99"/>
          <w:sz w:val="32"/>
          <w:szCs w:val="32"/>
        </w:rPr>
        <w:t>提高对新经济、新业态、新技术创新创业</w:t>
      </w:r>
      <w:r>
        <w:rPr>
          <w:spacing w:val="10"/>
          <w:w w:val="99"/>
          <w:sz w:val="32"/>
          <w:szCs w:val="32"/>
        </w:rPr>
        <w:t>支持力度，建设新经济孵化园、数字经济产业园等新兴创业载</w:t>
      </w:r>
      <w:r>
        <w:rPr>
          <w:spacing w:val="11"/>
          <w:w w:val="99"/>
          <w:sz w:val="32"/>
          <w:szCs w:val="32"/>
        </w:rPr>
        <w:t>体，孵化一批成长潜力大的区域性“独角兽”企业。完善创业</w:t>
      </w:r>
      <w:r>
        <w:rPr>
          <w:spacing w:val="9"/>
          <w:w w:val="99"/>
          <w:sz w:val="32"/>
          <w:szCs w:val="32"/>
        </w:rPr>
        <w:t>金融支持政策，引入针对种子期、初创期科技型企业融资的风</w:t>
      </w:r>
      <w:r>
        <w:rPr>
          <w:spacing w:val="11"/>
          <w:w w:val="99"/>
          <w:sz w:val="32"/>
          <w:szCs w:val="32"/>
        </w:rPr>
        <w:t>险投资，加快制定天使投资风险补偿办法。</w:t>
      </w:r>
    </w:p>
    <w:p w14:paraId="03DC9670">
      <w:pPr>
        <w:spacing w:line="384" w:lineRule="exact"/>
        <w:ind w:left="778"/>
        <w:rPr>
          <w:rFonts w:ascii="黑体" w:eastAsia="黑体"/>
          <w:sz w:val="32"/>
          <w:szCs w:val="32"/>
        </w:rPr>
      </w:pPr>
      <w:r>
        <w:rPr>
          <w:rFonts w:ascii="黑体" w:eastAsia="黑体"/>
          <w:spacing w:val="12"/>
          <w:w w:val="95"/>
          <w:sz w:val="32"/>
          <w:szCs w:val="32"/>
        </w:rPr>
        <w:t>三、促</w:t>
      </w:r>
      <w:r>
        <w:rPr>
          <w:rFonts w:ascii="黑体" w:eastAsia="黑体"/>
          <w:spacing w:val="14"/>
          <w:w w:val="95"/>
          <w:sz w:val="32"/>
          <w:szCs w:val="32"/>
        </w:rPr>
        <w:t>进</w:t>
      </w:r>
      <w:r>
        <w:rPr>
          <w:rFonts w:ascii="黑体" w:eastAsia="黑体"/>
          <w:spacing w:val="12"/>
          <w:w w:val="95"/>
          <w:sz w:val="32"/>
          <w:szCs w:val="32"/>
        </w:rPr>
        <w:t>农村</w:t>
      </w:r>
      <w:r>
        <w:rPr>
          <w:rFonts w:ascii="黑体" w:eastAsia="黑体"/>
          <w:spacing w:val="14"/>
          <w:w w:val="95"/>
          <w:sz w:val="32"/>
          <w:szCs w:val="32"/>
        </w:rPr>
        <w:t>劳</w:t>
      </w:r>
      <w:r>
        <w:rPr>
          <w:rFonts w:ascii="黑体" w:eastAsia="黑体"/>
          <w:spacing w:val="12"/>
          <w:w w:val="95"/>
          <w:sz w:val="32"/>
          <w:szCs w:val="32"/>
        </w:rPr>
        <w:t>动力</w:t>
      </w:r>
      <w:r>
        <w:rPr>
          <w:rFonts w:ascii="黑体" w:eastAsia="黑体"/>
          <w:spacing w:val="14"/>
          <w:w w:val="95"/>
          <w:sz w:val="32"/>
          <w:szCs w:val="32"/>
        </w:rPr>
        <w:t>转</w:t>
      </w:r>
      <w:r>
        <w:rPr>
          <w:rFonts w:ascii="黑体" w:eastAsia="黑体"/>
          <w:spacing w:val="12"/>
          <w:w w:val="95"/>
          <w:sz w:val="32"/>
          <w:szCs w:val="32"/>
        </w:rPr>
        <w:t>移就</w:t>
      </w:r>
      <w:r>
        <w:rPr>
          <w:rFonts w:ascii="黑体" w:eastAsia="黑体"/>
          <w:spacing w:val="-10"/>
          <w:w w:val="95"/>
          <w:sz w:val="32"/>
          <w:szCs w:val="32"/>
        </w:rPr>
        <w:t>业</w:t>
      </w:r>
    </w:p>
    <w:p w14:paraId="33A1D254">
      <w:pPr>
        <w:spacing w:line="384" w:lineRule="exact"/>
        <w:rPr>
          <w:rFonts w:ascii="黑体" w:eastAsia="黑体"/>
        </w:rPr>
        <w:sectPr>
          <w:pgSz w:w="11910" w:h="16840"/>
          <w:pgMar w:top="1800" w:right="1200" w:bottom="1160" w:left="1360" w:header="0" w:footer="975" w:gutter="0"/>
          <w:cols w:space="720" w:num="1"/>
        </w:sectPr>
      </w:pPr>
    </w:p>
    <w:p w14:paraId="24B05172">
      <w:pPr>
        <w:spacing w:before="28" w:line="338" w:lineRule="auto"/>
        <w:ind w:left="113" w:right="283" w:firstLine="664"/>
        <w:jc w:val="both"/>
        <w:rPr>
          <w:sz w:val="32"/>
          <w:szCs w:val="32"/>
        </w:rPr>
      </w:pPr>
      <w:r>
        <w:rPr>
          <w:b/>
          <w:spacing w:val="12"/>
          <w:w w:val="99"/>
          <w:sz w:val="32"/>
          <w:szCs w:val="32"/>
        </w:rPr>
        <w:t>通过技能培训实现就业。</w:t>
      </w:r>
      <w:r>
        <w:rPr>
          <w:spacing w:val="9"/>
          <w:w w:val="99"/>
          <w:sz w:val="32"/>
          <w:szCs w:val="32"/>
        </w:rPr>
        <w:t>完善企业主导、政府推动与社会</w:t>
      </w:r>
      <w:r>
        <w:rPr>
          <w:spacing w:val="10"/>
          <w:w w:val="99"/>
          <w:sz w:val="32"/>
          <w:szCs w:val="32"/>
        </w:rPr>
        <w:t>支持相结合的职业培训格局，持续开展边缘贫困户职业技能培</w:t>
      </w:r>
      <w:r>
        <w:rPr>
          <w:spacing w:val="11"/>
          <w:w w:val="99"/>
          <w:sz w:val="32"/>
          <w:szCs w:val="32"/>
        </w:rPr>
        <w:t>训，引导行业和企业组织开展职工技能提升培训。</w:t>
      </w:r>
    </w:p>
    <w:p w14:paraId="1B3148ED">
      <w:pPr>
        <w:spacing w:before="5" w:line="338" w:lineRule="auto"/>
        <w:ind w:left="113" w:right="283" w:firstLine="664"/>
        <w:jc w:val="both"/>
        <w:rPr>
          <w:sz w:val="32"/>
          <w:szCs w:val="32"/>
        </w:rPr>
      </w:pPr>
      <w:r>
        <w:rPr>
          <w:b/>
          <w:spacing w:val="12"/>
          <w:w w:val="99"/>
          <w:sz w:val="32"/>
          <w:szCs w:val="32"/>
        </w:rPr>
        <w:t>通过参与重大战略就业。</w:t>
      </w:r>
      <w:r>
        <w:rPr>
          <w:spacing w:val="9"/>
          <w:w w:val="99"/>
          <w:sz w:val="32"/>
          <w:szCs w:val="32"/>
        </w:rPr>
        <w:t>围绕产业转型、乡村振兴、生态</w:t>
      </w:r>
      <w:r>
        <w:rPr>
          <w:spacing w:val="8"/>
          <w:w w:val="99"/>
          <w:sz w:val="32"/>
          <w:szCs w:val="32"/>
        </w:rPr>
        <w:t>建设、业态创新，优化就业培训和服务指导，以黄河流域生态保护和高质量发展先行区、黄河“几”字弯都市圈核心区建设</w:t>
      </w:r>
      <w:r>
        <w:rPr>
          <w:spacing w:val="11"/>
          <w:w w:val="99"/>
          <w:sz w:val="32"/>
          <w:szCs w:val="32"/>
        </w:rPr>
        <w:t>带动就业，积极开发更多就业岗位。</w:t>
      </w:r>
    </w:p>
    <w:p w14:paraId="4CC75CA7">
      <w:pPr>
        <w:spacing w:before="9" w:line="338" w:lineRule="auto"/>
        <w:ind w:left="113" w:right="283" w:firstLine="664"/>
        <w:jc w:val="both"/>
        <w:rPr>
          <w:sz w:val="32"/>
          <w:szCs w:val="32"/>
        </w:rPr>
      </w:pPr>
      <w:r>
        <w:rPr>
          <w:b/>
          <w:spacing w:val="19"/>
          <w:w w:val="99"/>
          <w:sz w:val="32"/>
          <w:szCs w:val="32"/>
        </w:rPr>
        <w:t>通过平台对接促进就业。</w:t>
      </w:r>
      <w:r>
        <w:rPr>
          <w:spacing w:val="14"/>
          <w:w w:val="99"/>
          <w:sz w:val="32"/>
          <w:szCs w:val="32"/>
        </w:rPr>
        <w:t>健全提升“互联网+公共就业创</w:t>
      </w:r>
      <w:r>
        <w:rPr>
          <w:spacing w:val="9"/>
          <w:w w:val="99"/>
          <w:sz w:val="32"/>
          <w:szCs w:val="32"/>
        </w:rPr>
        <w:t>业服务”数字化平台服务功能，为各类群体提供就业创业政策咨询、职业指导、技能培训等综合服务。发展壮大银川市金凤</w:t>
      </w:r>
      <w:r>
        <w:rPr>
          <w:spacing w:val="11"/>
          <w:w w:val="99"/>
          <w:sz w:val="32"/>
          <w:szCs w:val="32"/>
        </w:rPr>
        <w:t>区劳务协会及中介组织，提高劳务输出组织化水平。</w:t>
      </w:r>
    </w:p>
    <w:p w14:paraId="173A411F">
      <w:pPr>
        <w:spacing w:before="6" w:line="340" w:lineRule="auto"/>
        <w:ind w:left="113" w:right="117" w:firstLine="664"/>
        <w:rPr>
          <w:sz w:val="32"/>
          <w:szCs w:val="32"/>
        </w:rPr>
      </w:pPr>
      <w:r>
        <w:rPr>
          <w:b/>
          <w:spacing w:val="12"/>
          <w:w w:val="99"/>
          <w:sz w:val="32"/>
          <w:szCs w:val="32"/>
        </w:rPr>
        <w:t>保护和拓展进城务工群体就业空间。</w:t>
      </w:r>
      <w:r>
        <w:rPr>
          <w:spacing w:val="8"/>
          <w:w w:val="99"/>
          <w:sz w:val="32"/>
          <w:szCs w:val="32"/>
        </w:rPr>
        <w:t>借鉴银川经验，有序</w:t>
      </w:r>
      <w:r>
        <w:rPr>
          <w:spacing w:val="-1"/>
          <w:w w:val="99"/>
          <w:sz w:val="32"/>
          <w:szCs w:val="32"/>
        </w:rPr>
        <w:t>放开“地摊经济”，规范发展传统早市、夜市，鼓励个体经济、</w:t>
      </w:r>
      <w:r>
        <w:rPr>
          <w:spacing w:val="9"/>
          <w:w w:val="99"/>
          <w:sz w:val="32"/>
          <w:szCs w:val="32"/>
        </w:rPr>
        <w:t>集市经济、马路经济等吸纳就业、加快发展，促进劳动力就地就近转移就业。贯彻落实保障农民工工资支付条例，巩固治欠</w:t>
      </w:r>
      <w:r>
        <w:rPr>
          <w:spacing w:val="11"/>
          <w:w w:val="99"/>
          <w:sz w:val="32"/>
          <w:szCs w:val="32"/>
        </w:rPr>
        <w:t>保支三年行动计划成果，实现全区劳动关系和谐稳定。</w:t>
      </w:r>
    </w:p>
    <w:p w14:paraId="30E0FC8F">
      <w:pPr>
        <w:spacing w:line="384" w:lineRule="exact"/>
        <w:ind w:left="778"/>
        <w:rPr>
          <w:rFonts w:ascii="黑体" w:eastAsia="黑体"/>
          <w:sz w:val="32"/>
          <w:szCs w:val="32"/>
        </w:rPr>
      </w:pPr>
      <w:r>
        <w:rPr>
          <w:rFonts w:ascii="黑体" w:eastAsia="黑体"/>
          <w:spacing w:val="12"/>
          <w:w w:val="95"/>
          <w:sz w:val="32"/>
          <w:szCs w:val="32"/>
        </w:rPr>
        <w:t>四、激发城</w:t>
      </w:r>
      <w:r>
        <w:rPr>
          <w:rFonts w:ascii="黑体" w:eastAsia="黑体"/>
          <w:spacing w:val="14"/>
          <w:w w:val="95"/>
          <w:sz w:val="32"/>
          <w:szCs w:val="32"/>
        </w:rPr>
        <w:t>乡</w:t>
      </w:r>
      <w:r>
        <w:rPr>
          <w:rFonts w:ascii="黑体" w:eastAsia="黑体"/>
          <w:spacing w:val="12"/>
          <w:w w:val="95"/>
          <w:sz w:val="32"/>
          <w:szCs w:val="32"/>
        </w:rPr>
        <w:t>居民</w:t>
      </w:r>
      <w:r>
        <w:rPr>
          <w:rFonts w:ascii="黑体" w:eastAsia="黑体"/>
          <w:spacing w:val="14"/>
          <w:w w:val="95"/>
          <w:sz w:val="32"/>
          <w:szCs w:val="32"/>
        </w:rPr>
        <w:t>持</w:t>
      </w:r>
      <w:r>
        <w:rPr>
          <w:rFonts w:ascii="黑体" w:eastAsia="黑体"/>
          <w:spacing w:val="12"/>
          <w:w w:val="95"/>
          <w:sz w:val="32"/>
          <w:szCs w:val="32"/>
        </w:rPr>
        <w:t>续增</w:t>
      </w:r>
      <w:r>
        <w:rPr>
          <w:rFonts w:ascii="黑体" w:eastAsia="黑体"/>
          <w:spacing w:val="-10"/>
          <w:w w:val="95"/>
          <w:sz w:val="32"/>
          <w:szCs w:val="32"/>
        </w:rPr>
        <w:t>收</w:t>
      </w:r>
    </w:p>
    <w:p w14:paraId="4245B990">
      <w:pPr>
        <w:spacing w:before="166" w:line="338" w:lineRule="auto"/>
        <w:ind w:left="113" w:right="278" w:firstLine="664"/>
        <w:jc w:val="both"/>
        <w:rPr>
          <w:sz w:val="32"/>
          <w:szCs w:val="32"/>
        </w:rPr>
      </w:pPr>
      <w:r>
        <w:rPr>
          <w:b/>
          <w:spacing w:val="11"/>
          <w:w w:val="99"/>
          <w:sz w:val="32"/>
          <w:szCs w:val="32"/>
        </w:rPr>
        <w:t>提高城镇居民收入。</w:t>
      </w:r>
      <w:r>
        <w:rPr>
          <w:spacing w:val="11"/>
          <w:w w:val="99"/>
          <w:sz w:val="32"/>
          <w:szCs w:val="32"/>
        </w:rPr>
        <w:t>健全科学的工资水平决定机制和正常</w:t>
      </w:r>
      <w:r>
        <w:rPr>
          <w:spacing w:val="10"/>
          <w:w w:val="99"/>
          <w:sz w:val="32"/>
          <w:szCs w:val="32"/>
        </w:rPr>
        <w:t>增长机制，积极稳妥推行工资集体协商和行业性、区域性工资</w:t>
      </w:r>
      <w:r>
        <w:rPr>
          <w:spacing w:val="9"/>
          <w:w w:val="99"/>
          <w:sz w:val="32"/>
          <w:szCs w:val="32"/>
        </w:rPr>
        <w:t>集体协商制度。逐步规范企业薪酬调查和信息发布制度，深化</w:t>
      </w:r>
      <w:r>
        <w:rPr>
          <w:spacing w:val="11"/>
          <w:w w:val="99"/>
          <w:sz w:val="32"/>
          <w:szCs w:val="32"/>
        </w:rPr>
        <w:t>国有企业负责人薪酬制度改革，规范国有企业收入分配秩序，</w:t>
      </w:r>
      <w:r>
        <w:rPr>
          <w:spacing w:val="9"/>
          <w:w w:val="99"/>
          <w:sz w:val="32"/>
          <w:szCs w:val="32"/>
        </w:rPr>
        <w:t>缩小工资水平差距。落实事业单位工资制度改革方案，建立健</w:t>
      </w:r>
      <w:r>
        <w:rPr>
          <w:spacing w:val="10"/>
          <w:w w:val="99"/>
          <w:sz w:val="32"/>
          <w:szCs w:val="32"/>
        </w:rPr>
        <w:t>全事业单位工资和津贴补贴政策调整机制，加大基层一线工作</w:t>
      </w:r>
    </w:p>
    <w:p w14:paraId="4727635C">
      <w:pPr>
        <w:spacing w:line="338" w:lineRule="auto"/>
        <w:jc w:val="both"/>
        <w:sectPr>
          <w:pgSz w:w="11910" w:h="16840"/>
          <w:pgMar w:top="1800" w:right="1200" w:bottom="1160" w:left="1360" w:header="0" w:footer="975" w:gutter="0"/>
          <w:cols w:space="720" w:num="1"/>
        </w:sectPr>
      </w:pPr>
    </w:p>
    <w:p w14:paraId="1D7532BF">
      <w:pPr>
        <w:spacing w:before="28" w:line="338" w:lineRule="auto"/>
        <w:ind w:left="113" w:right="283"/>
        <w:jc w:val="both"/>
        <w:rPr>
          <w:sz w:val="32"/>
          <w:szCs w:val="32"/>
        </w:rPr>
      </w:pPr>
      <w:r>
        <w:rPr>
          <w:spacing w:val="10"/>
          <w:w w:val="99"/>
          <w:sz w:val="32"/>
          <w:szCs w:val="32"/>
        </w:rPr>
        <w:t>人员倾斜力度。鼓励劳动者以资本、技术、知识、管理等参与</w:t>
      </w:r>
      <w:r>
        <w:rPr>
          <w:spacing w:val="9"/>
          <w:w w:val="99"/>
          <w:sz w:val="32"/>
          <w:szCs w:val="32"/>
        </w:rPr>
        <w:t>分配，提高人力资本参与初次分配比重。鼓励民间投资和创业</w:t>
      </w:r>
      <w:r>
        <w:rPr>
          <w:spacing w:val="17"/>
          <w:w w:val="99"/>
          <w:sz w:val="32"/>
          <w:szCs w:val="32"/>
        </w:rPr>
        <w:t>致富，扩宽经营性收入来源。到</w:t>
      </w:r>
      <w:r>
        <w:rPr>
          <w:spacing w:val="-57"/>
          <w:sz w:val="32"/>
          <w:szCs w:val="32"/>
        </w:rPr>
        <w:t xml:space="preserve"> </w:t>
      </w:r>
      <w:r>
        <w:rPr>
          <w:rFonts w:ascii="Times New Roman" w:eastAsia="Times New Roman"/>
          <w:spacing w:val="3"/>
          <w:w w:val="99"/>
          <w:sz w:val="32"/>
          <w:szCs w:val="32"/>
        </w:rPr>
        <w:t>2</w:t>
      </w:r>
      <w:r>
        <w:rPr>
          <w:rFonts w:ascii="Times New Roman" w:eastAsia="Times New Roman"/>
          <w:spacing w:val="6"/>
          <w:w w:val="99"/>
          <w:sz w:val="32"/>
          <w:szCs w:val="32"/>
        </w:rPr>
        <w:t>02</w:t>
      </w:r>
      <w:r>
        <w:rPr>
          <w:rFonts w:ascii="Times New Roman" w:eastAsia="Times New Roman"/>
          <w:w w:val="99"/>
          <w:sz w:val="32"/>
          <w:szCs w:val="32"/>
        </w:rPr>
        <w:t>5</w:t>
      </w:r>
      <w:r>
        <w:rPr>
          <w:rFonts w:ascii="Times New Roman" w:eastAsia="Times New Roman"/>
          <w:spacing w:val="19"/>
          <w:sz w:val="32"/>
          <w:szCs w:val="32"/>
        </w:rPr>
        <w:t xml:space="preserve"> </w:t>
      </w:r>
      <w:r>
        <w:rPr>
          <w:spacing w:val="17"/>
          <w:w w:val="99"/>
          <w:sz w:val="32"/>
          <w:szCs w:val="32"/>
        </w:rPr>
        <w:t>年，城镇常住居民可支</w:t>
      </w:r>
      <w:r>
        <w:rPr>
          <w:spacing w:val="9"/>
          <w:w w:val="99"/>
          <w:sz w:val="32"/>
          <w:szCs w:val="32"/>
        </w:rPr>
        <w:t>配收入突破</w:t>
      </w:r>
      <w:r>
        <w:rPr>
          <w:spacing w:val="-64"/>
          <w:sz w:val="32"/>
          <w:szCs w:val="32"/>
        </w:rPr>
        <w:t xml:space="preserve"> </w:t>
      </w:r>
      <w:r>
        <w:rPr>
          <w:rFonts w:ascii="Times New Roman" w:eastAsia="Times New Roman"/>
          <w:w w:val="99"/>
          <w:sz w:val="32"/>
          <w:szCs w:val="32"/>
        </w:rPr>
        <w:t>6</w:t>
      </w:r>
      <w:r>
        <w:rPr>
          <w:rFonts w:ascii="Times New Roman" w:eastAsia="Times New Roman"/>
          <w:spacing w:val="10"/>
          <w:sz w:val="32"/>
          <w:szCs w:val="32"/>
        </w:rPr>
        <w:t xml:space="preserve"> </w:t>
      </w:r>
      <w:r>
        <w:rPr>
          <w:spacing w:val="10"/>
          <w:w w:val="99"/>
          <w:sz w:val="32"/>
          <w:szCs w:val="32"/>
        </w:rPr>
        <w:t>万元，年均增长</w:t>
      </w:r>
      <w:r>
        <w:rPr>
          <w:spacing w:val="-64"/>
          <w:sz w:val="32"/>
          <w:szCs w:val="32"/>
        </w:rPr>
        <w:t xml:space="preserve"> </w:t>
      </w:r>
      <w:r>
        <w:rPr>
          <w:rFonts w:ascii="Times New Roman" w:eastAsia="Times New Roman"/>
          <w:spacing w:val="3"/>
          <w:w w:val="99"/>
          <w:sz w:val="32"/>
          <w:szCs w:val="32"/>
        </w:rPr>
        <w:t>7</w:t>
      </w:r>
      <w:r>
        <w:rPr>
          <w:rFonts w:ascii="Times New Roman" w:eastAsia="Times New Roman"/>
          <w:spacing w:val="10"/>
          <w:w w:val="99"/>
          <w:sz w:val="32"/>
          <w:szCs w:val="32"/>
        </w:rPr>
        <w:t>%</w:t>
      </w:r>
      <w:r>
        <w:rPr>
          <w:spacing w:val="8"/>
          <w:w w:val="99"/>
          <w:sz w:val="32"/>
          <w:szCs w:val="32"/>
        </w:rPr>
        <w:t>左右。</w:t>
      </w:r>
    </w:p>
    <w:p w14:paraId="34288794">
      <w:pPr>
        <w:spacing w:before="8" w:line="338" w:lineRule="auto"/>
        <w:ind w:left="113" w:right="115" w:firstLine="664"/>
        <w:rPr>
          <w:sz w:val="32"/>
          <w:szCs w:val="32"/>
        </w:rPr>
      </w:pPr>
      <w:r>
        <w:rPr>
          <w:b/>
          <w:spacing w:val="2"/>
          <w:w w:val="99"/>
          <w:sz w:val="32"/>
          <w:szCs w:val="32"/>
        </w:rPr>
        <w:t>拓宽农民增收渠道。</w:t>
      </w:r>
      <w:r>
        <w:rPr>
          <w:spacing w:val="2"/>
          <w:w w:val="99"/>
          <w:sz w:val="32"/>
          <w:szCs w:val="32"/>
        </w:rPr>
        <w:t>大力发展特色种养业，农产品加工业、</w:t>
      </w:r>
      <w:r>
        <w:rPr>
          <w:spacing w:val="9"/>
          <w:w w:val="99"/>
          <w:sz w:val="32"/>
          <w:szCs w:val="32"/>
        </w:rPr>
        <w:t>乡村特色产业、乡村休闲旅游业、乡村新型服务业，带动农民</w:t>
      </w:r>
      <w:r>
        <w:rPr>
          <w:spacing w:val="10"/>
          <w:w w:val="99"/>
          <w:sz w:val="32"/>
          <w:szCs w:val="32"/>
        </w:rPr>
        <w:t>增收致富。鼓励农民外出务工经商和转移就业，增加农民工资</w:t>
      </w:r>
      <w:r>
        <w:rPr>
          <w:spacing w:val="-2"/>
          <w:w w:val="99"/>
          <w:sz w:val="32"/>
          <w:szCs w:val="32"/>
        </w:rPr>
        <w:t>性收入。完善农民工工资支付制度，切实提高劳动者现金收入。</w:t>
      </w:r>
      <w:r>
        <w:rPr>
          <w:spacing w:val="9"/>
          <w:w w:val="99"/>
          <w:sz w:val="32"/>
          <w:szCs w:val="32"/>
        </w:rPr>
        <w:t>认真落实粮食直补、良种补贴、农机具购置补贴、农资综合补</w:t>
      </w:r>
      <w:r>
        <w:rPr>
          <w:spacing w:val="-1"/>
          <w:w w:val="99"/>
          <w:sz w:val="32"/>
          <w:szCs w:val="32"/>
        </w:rPr>
        <w:t>贴等支农惠农政策，加大惠民补贴力度。释放财产性收入红利，</w:t>
      </w:r>
      <w:r>
        <w:rPr>
          <w:spacing w:val="17"/>
          <w:w w:val="99"/>
          <w:sz w:val="32"/>
          <w:szCs w:val="32"/>
        </w:rPr>
        <w:t>拓展农民收入增长空间。到</w:t>
      </w:r>
      <w:r>
        <w:rPr>
          <w:spacing w:val="-57"/>
          <w:sz w:val="32"/>
          <w:szCs w:val="32"/>
        </w:rPr>
        <w:t xml:space="preserve"> </w:t>
      </w:r>
      <w:r>
        <w:rPr>
          <w:rFonts w:ascii="Times New Roman" w:eastAsia="Times New Roman"/>
          <w:spacing w:val="3"/>
          <w:w w:val="99"/>
          <w:sz w:val="32"/>
          <w:szCs w:val="32"/>
        </w:rPr>
        <w:t>20</w:t>
      </w:r>
      <w:r>
        <w:rPr>
          <w:rFonts w:ascii="Times New Roman" w:eastAsia="Times New Roman"/>
          <w:spacing w:val="8"/>
          <w:w w:val="99"/>
          <w:sz w:val="32"/>
          <w:szCs w:val="32"/>
        </w:rPr>
        <w:t>2</w:t>
      </w:r>
      <w:r>
        <w:rPr>
          <w:rFonts w:ascii="Times New Roman" w:eastAsia="Times New Roman"/>
          <w:w w:val="99"/>
          <w:sz w:val="32"/>
          <w:szCs w:val="32"/>
        </w:rPr>
        <w:t>5</w:t>
      </w:r>
      <w:r>
        <w:rPr>
          <w:rFonts w:ascii="Times New Roman" w:eastAsia="Times New Roman"/>
          <w:spacing w:val="19"/>
          <w:sz w:val="32"/>
          <w:szCs w:val="32"/>
        </w:rPr>
        <w:t xml:space="preserve"> </w:t>
      </w:r>
      <w:r>
        <w:rPr>
          <w:spacing w:val="17"/>
          <w:w w:val="99"/>
          <w:sz w:val="32"/>
          <w:szCs w:val="32"/>
        </w:rPr>
        <w:t>年，农村常住居民人均可支</w:t>
      </w:r>
      <w:r>
        <w:rPr>
          <w:spacing w:val="9"/>
          <w:w w:val="99"/>
          <w:sz w:val="32"/>
          <w:szCs w:val="32"/>
        </w:rPr>
        <w:t>配收入超过</w:t>
      </w:r>
      <w:r>
        <w:rPr>
          <w:spacing w:val="-64"/>
          <w:sz w:val="32"/>
          <w:szCs w:val="32"/>
        </w:rPr>
        <w:t xml:space="preserve"> </w:t>
      </w:r>
      <w:r>
        <w:rPr>
          <w:rFonts w:ascii="Times New Roman" w:eastAsia="Times New Roman"/>
          <w:w w:val="99"/>
          <w:sz w:val="32"/>
          <w:szCs w:val="32"/>
        </w:rPr>
        <w:t>2</w:t>
      </w:r>
      <w:r>
        <w:rPr>
          <w:rFonts w:ascii="Times New Roman" w:eastAsia="Times New Roman"/>
          <w:spacing w:val="10"/>
          <w:sz w:val="32"/>
          <w:szCs w:val="32"/>
        </w:rPr>
        <w:t xml:space="preserve"> </w:t>
      </w:r>
      <w:r>
        <w:rPr>
          <w:spacing w:val="10"/>
          <w:w w:val="99"/>
          <w:sz w:val="32"/>
          <w:szCs w:val="32"/>
        </w:rPr>
        <w:t>万元，年均增长</w:t>
      </w:r>
      <w:r>
        <w:rPr>
          <w:spacing w:val="-64"/>
          <w:sz w:val="32"/>
          <w:szCs w:val="32"/>
        </w:rPr>
        <w:t xml:space="preserve"> </w:t>
      </w:r>
      <w:r>
        <w:rPr>
          <w:rFonts w:ascii="Times New Roman" w:eastAsia="Times New Roman"/>
          <w:spacing w:val="3"/>
          <w:w w:val="99"/>
          <w:sz w:val="32"/>
          <w:szCs w:val="32"/>
        </w:rPr>
        <w:t>7</w:t>
      </w:r>
      <w:r>
        <w:rPr>
          <w:rFonts w:ascii="Times New Roman" w:eastAsia="Times New Roman"/>
          <w:spacing w:val="4"/>
          <w:w w:val="99"/>
          <w:sz w:val="32"/>
          <w:szCs w:val="32"/>
        </w:rPr>
        <w:t>.</w:t>
      </w:r>
      <w:r>
        <w:rPr>
          <w:rFonts w:ascii="Times New Roman" w:eastAsia="Times New Roman"/>
          <w:spacing w:val="8"/>
          <w:w w:val="99"/>
          <w:sz w:val="32"/>
          <w:szCs w:val="32"/>
        </w:rPr>
        <w:t>5</w:t>
      </w:r>
      <w:r>
        <w:rPr>
          <w:rFonts w:ascii="Times New Roman" w:eastAsia="Times New Roman"/>
          <w:spacing w:val="10"/>
          <w:w w:val="99"/>
          <w:sz w:val="32"/>
          <w:szCs w:val="32"/>
        </w:rPr>
        <w:t>%</w:t>
      </w:r>
      <w:r>
        <w:rPr>
          <w:spacing w:val="8"/>
          <w:w w:val="99"/>
          <w:sz w:val="32"/>
          <w:szCs w:val="32"/>
        </w:rPr>
        <w:t>左右。</w:t>
      </w:r>
    </w:p>
    <w:p w14:paraId="11E60977">
      <w:pPr>
        <w:spacing w:before="154"/>
        <w:ind w:left="2253" w:right="2422"/>
        <w:jc w:val="center"/>
        <w:outlineLvl w:val="0"/>
        <w:rPr>
          <w:rFonts w:ascii="宋体" w:hAnsi="宋体" w:eastAsia="宋体" w:cs="宋体"/>
          <w:b/>
          <w:bCs/>
          <w:sz w:val="32"/>
          <w:szCs w:val="32"/>
        </w:rPr>
      </w:pPr>
      <w:r>
        <w:rPr>
          <w:rFonts w:ascii="宋体" w:hAnsi="宋体" w:eastAsia="宋体" w:cs="宋体"/>
          <w:b/>
          <w:bCs/>
          <w:spacing w:val="14"/>
          <w:sz w:val="32"/>
          <w:szCs w:val="32"/>
        </w:rPr>
        <w:t>第二</w:t>
      </w:r>
      <w:r>
        <w:rPr>
          <w:rFonts w:ascii="宋体" w:hAnsi="宋体" w:eastAsia="宋体" w:cs="宋体"/>
          <w:b/>
          <w:bCs/>
          <w:spacing w:val="56"/>
          <w:sz w:val="32"/>
          <w:szCs w:val="32"/>
        </w:rPr>
        <w:t>节 加</w:t>
      </w:r>
      <w:r>
        <w:rPr>
          <w:rFonts w:ascii="宋体" w:hAnsi="宋体" w:eastAsia="宋体" w:cs="宋体"/>
          <w:b/>
          <w:bCs/>
          <w:spacing w:val="14"/>
          <w:sz w:val="32"/>
          <w:szCs w:val="32"/>
        </w:rPr>
        <w:t>快教</w:t>
      </w:r>
      <w:r>
        <w:rPr>
          <w:rFonts w:ascii="宋体" w:hAnsi="宋体" w:eastAsia="宋体" w:cs="宋体"/>
          <w:b/>
          <w:bCs/>
          <w:spacing w:val="12"/>
          <w:sz w:val="32"/>
          <w:szCs w:val="32"/>
        </w:rPr>
        <w:t>育</w:t>
      </w:r>
      <w:r>
        <w:rPr>
          <w:rFonts w:ascii="宋体" w:hAnsi="宋体" w:eastAsia="宋体" w:cs="宋体"/>
          <w:b/>
          <w:bCs/>
          <w:spacing w:val="14"/>
          <w:sz w:val="32"/>
          <w:szCs w:val="32"/>
        </w:rPr>
        <w:t>均衡高质发</w:t>
      </w:r>
      <w:r>
        <w:rPr>
          <w:rFonts w:ascii="宋体" w:hAnsi="宋体" w:eastAsia="宋体" w:cs="宋体"/>
          <w:b/>
          <w:bCs/>
          <w:spacing w:val="-10"/>
          <w:sz w:val="32"/>
          <w:szCs w:val="32"/>
        </w:rPr>
        <w:t>展</w:t>
      </w:r>
    </w:p>
    <w:p w14:paraId="4105E5C2">
      <w:pPr>
        <w:spacing w:before="12"/>
        <w:rPr>
          <w:rFonts w:ascii="宋体"/>
          <w:b/>
          <w:sz w:val="23"/>
          <w:szCs w:val="32"/>
        </w:rPr>
      </w:pPr>
    </w:p>
    <w:p w14:paraId="1A4C20EA">
      <w:pPr>
        <w:ind w:left="778"/>
        <w:rPr>
          <w:rFonts w:ascii="黑体" w:eastAsia="黑体"/>
          <w:sz w:val="32"/>
          <w:szCs w:val="32"/>
        </w:rPr>
      </w:pPr>
      <w:r>
        <w:rPr>
          <w:rFonts w:ascii="黑体" w:eastAsia="黑体"/>
          <w:spacing w:val="12"/>
          <w:w w:val="95"/>
          <w:sz w:val="32"/>
          <w:szCs w:val="32"/>
        </w:rPr>
        <w:t>一、促进</w:t>
      </w:r>
      <w:r>
        <w:rPr>
          <w:rFonts w:ascii="黑体" w:eastAsia="黑体"/>
          <w:spacing w:val="14"/>
          <w:w w:val="95"/>
          <w:sz w:val="32"/>
          <w:szCs w:val="32"/>
        </w:rPr>
        <w:t>教</w:t>
      </w:r>
      <w:r>
        <w:rPr>
          <w:rFonts w:ascii="黑体" w:eastAsia="黑体"/>
          <w:spacing w:val="12"/>
          <w:w w:val="95"/>
          <w:sz w:val="32"/>
          <w:szCs w:val="32"/>
        </w:rPr>
        <w:t>育优</w:t>
      </w:r>
      <w:r>
        <w:rPr>
          <w:rFonts w:ascii="黑体" w:eastAsia="黑体"/>
          <w:spacing w:val="14"/>
          <w:w w:val="95"/>
          <w:sz w:val="32"/>
          <w:szCs w:val="32"/>
        </w:rPr>
        <w:t>质</w:t>
      </w:r>
      <w:r>
        <w:rPr>
          <w:rFonts w:ascii="黑体" w:eastAsia="黑体"/>
          <w:spacing w:val="12"/>
          <w:w w:val="95"/>
          <w:sz w:val="32"/>
          <w:szCs w:val="32"/>
        </w:rPr>
        <w:t>均衡</w:t>
      </w:r>
      <w:r>
        <w:rPr>
          <w:rFonts w:ascii="黑体" w:eastAsia="黑体"/>
          <w:spacing w:val="2"/>
          <w:w w:val="95"/>
          <w:sz w:val="32"/>
          <w:szCs w:val="32"/>
        </w:rPr>
        <w:t>发展</w:t>
      </w:r>
    </w:p>
    <w:p w14:paraId="759777E3">
      <w:pPr>
        <w:spacing w:before="166" w:line="338" w:lineRule="auto"/>
        <w:ind w:left="113" w:right="278" w:firstLine="664"/>
        <w:jc w:val="both"/>
        <w:rPr>
          <w:sz w:val="32"/>
          <w:szCs w:val="32"/>
        </w:rPr>
      </w:pPr>
      <w:r>
        <w:rPr>
          <w:spacing w:val="10"/>
          <w:w w:val="99"/>
          <w:sz w:val="32"/>
          <w:szCs w:val="32"/>
        </w:rPr>
        <w:t>以素质教育为主体，以改革创新为活力，高度重视学前教</w:t>
      </w:r>
      <w:r>
        <w:rPr>
          <w:spacing w:val="11"/>
          <w:w w:val="99"/>
          <w:sz w:val="32"/>
          <w:szCs w:val="32"/>
        </w:rPr>
        <w:t>育，巩固提高义务教育，统筹发展普通高中教育、职业教育，</w:t>
      </w:r>
      <w:r>
        <w:rPr>
          <w:spacing w:val="9"/>
          <w:w w:val="99"/>
          <w:sz w:val="32"/>
          <w:szCs w:val="32"/>
        </w:rPr>
        <w:t>构建成人教育体系，激活民办教育，全面提升各类教育发展水</w:t>
      </w:r>
      <w:r>
        <w:rPr>
          <w:spacing w:val="11"/>
          <w:w w:val="99"/>
          <w:sz w:val="32"/>
          <w:szCs w:val="32"/>
        </w:rPr>
        <w:t>平和教育质量，形成“体系完整、布局合理、发展协调、水平</w:t>
      </w:r>
      <w:r>
        <w:rPr>
          <w:spacing w:val="9"/>
          <w:w w:val="99"/>
          <w:sz w:val="32"/>
          <w:szCs w:val="32"/>
        </w:rPr>
        <w:t>一流、人民满意”的教育发展局面，不断增强金凤区教育服务</w:t>
      </w:r>
      <w:r>
        <w:rPr>
          <w:spacing w:val="10"/>
          <w:w w:val="99"/>
          <w:sz w:val="32"/>
          <w:szCs w:val="32"/>
        </w:rPr>
        <w:t>社会经济发展的能力。</w:t>
      </w:r>
    </w:p>
    <w:p w14:paraId="4EDF3939">
      <w:pPr>
        <w:spacing w:before="12" w:line="338" w:lineRule="auto"/>
        <w:ind w:left="113" w:right="115" w:firstLine="664"/>
        <w:jc w:val="both"/>
        <w:rPr>
          <w:sz w:val="32"/>
          <w:szCs w:val="32"/>
        </w:rPr>
      </w:pPr>
      <w:r>
        <w:rPr>
          <w:b/>
          <w:spacing w:val="2"/>
          <w:w w:val="99"/>
          <w:sz w:val="32"/>
          <w:szCs w:val="32"/>
        </w:rPr>
        <w:t>加强项目谋划建设。</w:t>
      </w:r>
      <w:r>
        <w:rPr>
          <w:spacing w:val="2"/>
          <w:w w:val="99"/>
          <w:sz w:val="32"/>
          <w:szCs w:val="32"/>
        </w:rPr>
        <w:t>优化教育资源配置，推动中小学新建、</w:t>
      </w:r>
      <w:r>
        <w:rPr>
          <w:spacing w:val="-2"/>
          <w:w w:val="99"/>
          <w:sz w:val="32"/>
          <w:szCs w:val="32"/>
        </w:rPr>
        <w:t>改建、扩建与学区内老旧小区改造、新住宅小区开发同步进行，</w:t>
      </w:r>
      <w:r>
        <w:rPr>
          <w:spacing w:val="9"/>
          <w:w w:val="99"/>
          <w:sz w:val="32"/>
          <w:szCs w:val="32"/>
        </w:rPr>
        <w:t>增加学位供给，全面消除大班额，有效解决城市新增人口和外</w:t>
      </w:r>
    </w:p>
    <w:p w14:paraId="6F596EE7">
      <w:pPr>
        <w:spacing w:line="338" w:lineRule="auto"/>
        <w:jc w:val="both"/>
        <w:sectPr>
          <w:pgSz w:w="11910" w:h="16840"/>
          <w:pgMar w:top="1800" w:right="1200" w:bottom="1160" w:left="1360" w:header="0" w:footer="975" w:gutter="0"/>
          <w:cols w:space="720" w:num="1"/>
        </w:sectPr>
      </w:pPr>
    </w:p>
    <w:p w14:paraId="610F1668">
      <w:pPr>
        <w:spacing w:before="28"/>
        <w:ind w:left="113"/>
        <w:rPr>
          <w:sz w:val="32"/>
          <w:szCs w:val="32"/>
        </w:rPr>
      </w:pPr>
      <w:r>
        <w:rPr>
          <w:spacing w:val="19"/>
          <w:w w:val="95"/>
          <w:sz w:val="32"/>
          <w:szCs w:val="32"/>
        </w:rPr>
        <w:t>来务工人</w:t>
      </w:r>
      <w:r>
        <w:rPr>
          <w:spacing w:val="17"/>
          <w:w w:val="95"/>
          <w:sz w:val="32"/>
          <w:szCs w:val="32"/>
        </w:rPr>
        <w:t>员</w:t>
      </w:r>
      <w:r>
        <w:rPr>
          <w:spacing w:val="19"/>
          <w:w w:val="95"/>
          <w:sz w:val="32"/>
          <w:szCs w:val="32"/>
        </w:rPr>
        <w:t>随迁子女上学问</w:t>
      </w:r>
      <w:r>
        <w:rPr>
          <w:spacing w:val="-37"/>
          <w:w w:val="95"/>
          <w:sz w:val="32"/>
          <w:szCs w:val="32"/>
        </w:rPr>
        <w:t>题，“</w:t>
      </w:r>
      <w:r>
        <w:rPr>
          <w:spacing w:val="19"/>
          <w:w w:val="95"/>
          <w:sz w:val="32"/>
          <w:szCs w:val="32"/>
        </w:rPr>
        <w:t>十四五”期间布局教</w:t>
      </w:r>
      <w:r>
        <w:rPr>
          <w:spacing w:val="8"/>
          <w:w w:val="95"/>
          <w:sz w:val="32"/>
          <w:szCs w:val="32"/>
        </w:rPr>
        <w:t>育项目</w:t>
      </w:r>
    </w:p>
    <w:p w14:paraId="1ADB8A65">
      <w:pPr>
        <w:spacing w:before="170"/>
        <w:ind w:left="113"/>
        <w:rPr>
          <w:sz w:val="32"/>
          <w:szCs w:val="32"/>
        </w:rPr>
      </w:pPr>
      <w:r>
        <w:rPr>
          <w:rFonts w:ascii="Calibri" w:eastAsia="Calibri"/>
          <w:sz w:val="32"/>
          <w:szCs w:val="32"/>
        </w:rPr>
        <w:t>39</w:t>
      </w:r>
      <w:r>
        <w:rPr>
          <w:rFonts w:ascii="Calibri" w:eastAsia="Calibri"/>
          <w:spacing w:val="-13"/>
          <w:sz w:val="32"/>
          <w:szCs w:val="32"/>
        </w:rPr>
        <w:t xml:space="preserve"> </w:t>
      </w:r>
      <w:r>
        <w:rPr>
          <w:sz w:val="32"/>
          <w:szCs w:val="32"/>
        </w:rPr>
        <w:t xml:space="preserve">个，总投资约 </w:t>
      </w:r>
      <w:r>
        <w:rPr>
          <w:rFonts w:ascii="Calibri" w:eastAsia="Calibri"/>
          <w:sz w:val="32"/>
          <w:szCs w:val="32"/>
        </w:rPr>
        <w:t>23</w:t>
      </w:r>
      <w:r>
        <w:rPr>
          <w:rFonts w:ascii="Calibri" w:eastAsia="Calibri"/>
          <w:spacing w:val="11"/>
          <w:sz w:val="32"/>
          <w:szCs w:val="32"/>
        </w:rPr>
        <w:t xml:space="preserve"> </w:t>
      </w:r>
      <w:r>
        <w:rPr>
          <w:spacing w:val="2"/>
          <w:sz w:val="32"/>
          <w:szCs w:val="32"/>
        </w:rPr>
        <w:t xml:space="preserve">亿元，其中新建 </w:t>
      </w:r>
      <w:r>
        <w:rPr>
          <w:rFonts w:ascii="Calibri" w:eastAsia="Calibri"/>
          <w:sz w:val="32"/>
          <w:szCs w:val="32"/>
        </w:rPr>
        <w:t>29</w:t>
      </w:r>
      <w:r>
        <w:rPr>
          <w:rFonts w:ascii="Calibri" w:eastAsia="Calibri"/>
          <w:spacing w:val="9"/>
          <w:sz w:val="32"/>
          <w:szCs w:val="32"/>
        </w:rPr>
        <w:t xml:space="preserve"> </w:t>
      </w:r>
      <w:r>
        <w:rPr>
          <w:spacing w:val="-4"/>
          <w:sz w:val="32"/>
          <w:szCs w:val="32"/>
        </w:rPr>
        <w:t xml:space="preserve">个、续建 </w:t>
      </w:r>
      <w:r>
        <w:rPr>
          <w:rFonts w:ascii="Calibri" w:eastAsia="Calibri"/>
          <w:sz w:val="32"/>
          <w:szCs w:val="32"/>
        </w:rPr>
        <w:t>10</w:t>
      </w:r>
      <w:r>
        <w:rPr>
          <w:rFonts w:ascii="Calibri" w:eastAsia="Calibri"/>
          <w:spacing w:val="14"/>
          <w:sz w:val="32"/>
          <w:szCs w:val="32"/>
        </w:rPr>
        <w:t xml:space="preserve"> </w:t>
      </w:r>
      <w:r>
        <w:rPr>
          <w:spacing w:val="8"/>
          <w:sz w:val="32"/>
          <w:szCs w:val="32"/>
        </w:rPr>
        <w:t>个；幼儿</w:t>
      </w:r>
    </w:p>
    <w:p w14:paraId="73590CC5">
      <w:pPr>
        <w:spacing w:before="169"/>
        <w:ind w:left="113"/>
        <w:rPr>
          <w:sz w:val="32"/>
          <w:szCs w:val="32"/>
        </w:rPr>
      </w:pPr>
      <w:r>
        <w:rPr>
          <w:spacing w:val="-32"/>
          <w:sz w:val="32"/>
          <w:szCs w:val="32"/>
        </w:rPr>
        <w:t xml:space="preserve">园 </w:t>
      </w:r>
      <w:r>
        <w:rPr>
          <w:rFonts w:ascii="Calibri" w:eastAsia="Calibri"/>
          <w:sz w:val="32"/>
          <w:szCs w:val="32"/>
        </w:rPr>
        <w:t>14</w:t>
      </w:r>
      <w:r>
        <w:rPr>
          <w:rFonts w:ascii="Calibri" w:eastAsia="Calibri"/>
          <w:spacing w:val="-1"/>
          <w:sz w:val="32"/>
          <w:szCs w:val="32"/>
        </w:rPr>
        <w:t xml:space="preserve"> </w:t>
      </w:r>
      <w:r>
        <w:rPr>
          <w:spacing w:val="-9"/>
          <w:sz w:val="32"/>
          <w:szCs w:val="32"/>
        </w:rPr>
        <w:t xml:space="preserve">个、小学 </w:t>
      </w:r>
      <w:r>
        <w:rPr>
          <w:rFonts w:ascii="Calibri" w:eastAsia="Calibri"/>
          <w:sz w:val="32"/>
          <w:szCs w:val="32"/>
        </w:rPr>
        <w:t>18</w:t>
      </w:r>
      <w:r>
        <w:rPr>
          <w:rFonts w:ascii="Calibri" w:eastAsia="Calibri"/>
          <w:spacing w:val="13"/>
          <w:sz w:val="32"/>
          <w:szCs w:val="32"/>
        </w:rPr>
        <w:t xml:space="preserve"> </w:t>
      </w:r>
      <w:r>
        <w:rPr>
          <w:spacing w:val="-8"/>
          <w:sz w:val="32"/>
          <w:szCs w:val="32"/>
        </w:rPr>
        <w:t xml:space="preserve">个、中学 </w:t>
      </w:r>
      <w:r>
        <w:rPr>
          <w:rFonts w:ascii="Calibri" w:eastAsia="Calibri"/>
          <w:sz w:val="32"/>
          <w:szCs w:val="32"/>
        </w:rPr>
        <w:t>7</w:t>
      </w:r>
      <w:r>
        <w:rPr>
          <w:rFonts w:ascii="Calibri" w:eastAsia="Calibri"/>
          <w:spacing w:val="14"/>
          <w:sz w:val="32"/>
          <w:szCs w:val="32"/>
        </w:rPr>
        <w:t xml:space="preserve"> </w:t>
      </w:r>
      <w:r>
        <w:rPr>
          <w:spacing w:val="9"/>
          <w:sz w:val="32"/>
          <w:szCs w:val="32"/>
        </w:rPr>
        <w:t>个，预计</w:t>
      </w:r>
      <w:r>
        <w:rPr>
          <w:spacing w:val="12"/>
          <w:sz w:val="32"/>
          <w:szCs w:val="32"/>
        </w:rPr>
        <w:t>新增</w:t>
      </w:r>
      <w:r>
        <w:rPr>
          <w:spacing w:val="-10"/>
          <w:sz w:val="32"/>
          <w:szCs w:val="32"/>
        </w:rPr>
        <w:t xml:space="preserve">教学班 </w:t>
      </w:r>
      <w:r>
        <w:rPr>
          <w:rFonts w:ascii="Calibri" w:eastAsia="Calibri"/>
          <w:sz w:val="32"/>
          <w:szCs w:val="32"/>
        </w:rPr>
        <w:t>900</w:t>
      </w:r>
      <w:r>
        <w:rPr>
          <w:rFonts w:ascii="Calibri" w:eastAsia="Calibri"/>
          <w:spacing w:val="17"/>
          <w:sz w:val="32"/>
          <w:szCs w:val="32"/>
        </w:rPr>
        <w:t xml:space="preserve"> </w:t>
      </w:r>
      <w:r>
        <w:rPr>
          <w:sz w:val="32"/>
          <w:szCs w:val="32"/>
        </w:rPr>
        <w:t>个、学</w:t>
      </w:r>
    </w:p>
    <w:p w14:paraId="3A4BD7BB">
      <w:pPr>
        <w:spacing w:before="171" w:line="340" w:lineRule="auto"/>
        <w:ind w:left="113" w:right="283"/>
        <w:rPr>
          <w:sz w:val="32"/>
          <w:szCs w:val="32"/>
        </w:rPr>
      </w:pPr>
      <w:r>
        <w:rPr>
          <w:spacing w:val="-32"/>
          <w:sz w:val="32"/>
          <w:szCs w:val="32"/>
        </w:rPr>
        <w:t xml:space="preserve">位 </w:t>
      </w:r>
      <w:r>
        <w:rPr>
          <w:rFonts w:ascii="Calibri" w:eastAsia="Calibri"/>
          <w:sz w:val="32"/>
          <w:szCs w:val="32"/>
        </w:rPr>
        <w:t>4</w:t>
      </w:r>
      <w:r>
        <w:rPr>
          <w:rFonts w:ascii="Calibri" w:eastAsia="Calibri"/>
          <w:spacing w:val="-15"/>
          <w:sz w:val="32"/>
          <w:szCs w:val="32"/>
        </w:rPr>
        <w:t xml:space="preserve"> </w:t>
      </w:r>
      <w:r>
        <w:rPr>
          <w:spacing w:val="12"/>
          <w:sz w:val="32"/>
          <w:szCs w:val="32"/>
        </w:rPr>
        <w:t>万个</w:t>
      </w:r>
      <w:r>
        <w:rPr>
          <w:spacing w:val="8"/>
          <w:sz w:val="32"/>
          <w:szCs w:val="32"/>
        </w:rPr>
        <w:t>，增强</w:t>
      </w:r>
      <w:r>
        <w:rPr>
          <w:spacing w:val="12"/>
          <w:sz w:val="32"/>
          <w:szCs w:val="32"/>
        </w:rPr>
        <w:t>金凤</w:t>
      </w:r>
      <w:r>
        <w:rPr>
          <w:spacing w:val="13"/>
          <w:sz w:val="32"/>
          <w:szCs w:val="32"/>
        </w:rPr>
        <w:t>教育承</w:t>
      </w:r>
      <w:r>
        <w:rPr>
          <w:spacing w:val="12"/>
          <w:sz w:val="32"/>
          <w:szCs w:val="32"/>
        </w:rPr>
        <w:t>载能</w:t>
      </w:r>
      <w:r>
        <w:rPr>
          <w:spacing w:val="9"/>
          <w:sz w:val="32"/>
          <w:szCs w:val="32"/>
        </w:rPr>
        <w:t>力，创建</w:t>
      </w:r>
      <w:r>
        <w:rPr>
          <w:spacing w:val="12"/>
          <w:sz w:val="32"/>
          <w:szCs w:val="32"/>
        </w:rPr>
        <w:t>国家</w:t>
      </w:r>
      <w:r>
        <w:rPr>
          <w:spacing w:val="13"/>
          <w:sz w:val="32"/>
          <w:szCs w:val="32"/>
        </w:rPr>
        <w:t>义务教</w:t>
      </w:r>
      <w:r>
        <w:rPr>
          <w:spacing w:val="12"/>
          <w:sz w:val="32"/>
          <w:szCs w:val="32"/>
        </w:rPr>
        <w:t>育优</w:t>
      </w:r>
      <w:r>
        <w:rPr>
          <w:spacing w:val="7"/>
          <w:sz w:val="32"/>
          <w:szCs w:val="32"/>
        </w:rPr>
        <w:t>质均</w:t>
      </w:r>
      <w:r>
        <w:rPr>
          <w:spacing w:val="10"/>
          <w:sz w:val="32"/>
          <w:szCs w:val="32"/>
        </w:rPr>
        <w:t>衡发展区</w:t>
      </w:r>
      <w:r>
        <w:rPr>
          <w:sz w:val="32"/>
          <w:szCs w:val="32"/>
        </w:rPr>
        <w:t>。</w:t>
      </w:r>
    </w:p>
    <w:p w14:paraId="0A9FE5A5">
      <w:pPr>
        <w:spacing w:line="338" w:lineRule="auto"/>
        <w:ind w:left="113" w:right="282" w:firstLine="664"/>
        <w:jc w:val="both"/>
        <w:rPr>
          <w:sz w:val="32"/>
          <w:szCs w:val="32"/>
        </w:rPr>
      </w:pPr>
      <w:r>
        <w:rPr>
          <w:b/>
          <w:spacing w:val="12"/>
          <w:w w:val="99"/>
          <w:sz w:val="32"/>
          <w:szCs w:val="32"/>
        </w:rPr>
        <w:t>夯实学前教育基础。</w:t>
      </w:r>
      <w:r>
        <w:rPr>
          <w:spacing w:val="11"/>
          <w:w w:val="99"/>
          <w:sz w:val="32"/>
          <w:szCs w:val="32"/>
        </w:rPr>
        <w:t>持续巩固学前教育“</w:t>
      </w:r>
      <w:r>
        <w:rPr>
          <w:rFonts w:ascii="Times New Roman" w:hAnsi="Times New Roman" w:eastAsia="Times New Roman"/>
          <w:spacing w:val="3"/>
          <w:w w:val="99"/>
          <w:sz w:val="32"/>
          <w:szCs w:val="32"/>
        </w:rPr>
        <w:t>5</w:t>
      </w:r>
      <w:r>
        <w:rPr>
          <w:rFonts w:ascii="Times New Roman" w:hAnsi="Times New Roman" w:eastAsia="Times New Roman"/>
          <w:spacing w:val="6"/>
          <w:w w:val="99"/>
          <w:sz w:val="32"/>
          <w:szCs w:val="32"/>
        </w:rPr>
        <w:t>08</w:t>
      </w:r>
      <w:r>
        <w:rPr>
          <w:rFonts w:ascii="Times New Roman" w:hAnsi="Times New Roman" w:eastAsia="Times New Roman"/>
          <w:spacing w:val="10"/>
          <w:w w:val="99"/>
          <w:sz w:val="32"/>
          <w:szCs w:val="32"/>
        </w:rPr>
        <w:t>0</w:t>
      </w:r>
      <w:r>
        <w:rPr>
          <w:spacing w:val="8"/>
          <w:w w:val="99"/>
          <w:sz w:val="32"/>
          <w:szCs w:val="32"/>
        </w:rPr>
        <w:t>”目标，扩</w:t>
      </w:r>
      <w:r>
        <w:rPr>
          <w:spacing w:val="10"/>
          <w:w w:val="99"/>
          <w:sz w:val="32"/>
          <w:szCs w:val="32"/>
        </w:rPr>
        <w:t>充学前教育普惠性资源，构建以普惠性资源为主体的学前教育</w:t>
      </w:r>
      <w:r>
        <w:rPr>
          <w:spacing w:val="9"/>
          <w:w w:val="99"/>
          <w:sz w:val="32"/>
          <w:szCs w:val="32"/>
        </w:rPr>
        <w:t>体系，城镇新住宅小区同步配套建设普惠型幼儿园，创建一批</w:t>
      </w:r>
      <w:r>
        <w:rPr>
          <w:spacing w:val="11"/>
          <w:w w:val="99"/>
          <w:sz w:val="32"/>
          <w:szCs w:val="32"/>
        </w:rPr>
        <w:t>自治区级示范幼儿园，学前三年毛入园率达到</w:t>
      </w:r>
      <w:r>
        <w:rPr>
          <w:spacing w:val="-64"/>
          <w:sz w:val="32"/>
          <w:szCs w:val="32"/>
        </w:rPr>
        <w:t xml:space="preserve"> </w:t>
      </w:r>
      <w:r>
        <w:rPr>
          <w:rFonts w:ascii="Times New Roman" w:hAnsi="Times New Roman" w:eastAsia="Times New Roman"/>
          <w:spacing w:val="-2"/>
          <w:w w:val="99"/>
          <w:sz w:val="32"/>
          <w:szCs w:val="32"/>
        </w:rPr>
        <w:t>1</w:t>
      </w:r>
      <w:r>
        <w:rPr>
          <w:rFonts w:ascii="Times New Roman" w:hAnsi="Times New Roman" w:eastAsia="Times New Roman"/>
          <w:spacing w:val="1"/>
          <w:w w:val="99"/>
          <w:sz w:val="32"/>
          <w:szCs w:val="32"/>
        </w:rPr>
        <w:t>1</w:t>
      </w:r>
      <w:r>
        <w:rPr>
          <w:rFonts w:ascii="Times New Roman" w:hAnsi="Times New Roman" w:eastAsia="Times New Roman"/>
          <w:spacing w:val="3"/>
          <w:w w:val="99"/>
          <w:sz w:val="32"/>
          <w:szCs w:val="32"/>
        </w:rPr>
        <w:t>5</w:t>
      </w:r>
      <w:r>
        <w:rPr>
          <w:rFonts w:ascii="Times New Roman" w:hAnsi="Times New Roman" w:eastAsia="Times New Roman"/>
          <w:spacing w:val="10"/>
          <w:w w:val="99"/>
          <w:sz w:val="32"/>
          <w:szCs w:val="32"/>
        </w:rPr>
        <w:t>%</w:t>
      </w:r>
      <w:r>
        <w:rPr>
          <w:w w:val="99"/>
          <w:sz w:val="32"/>
          <w:szCs w:val="32"/>
        </w:rPr>
        <w:t>。</w:t>
      </w:r>
    </w:p>
    <w:p w14:paraId="3339B413">
      <w:pPr>
        <w:spacing w:before="3" w:line="338" w:lineRule="auto"/>
        <w:ind w:left="113" w:right="279" w:firstLine="664"/>
        <w:jc w:val="both"/>
        <w:rPr>
          <w:sz w:val="32"/>
          <w:szCs w:val="32"/>
        </w:rPr>
      </w:pPr>
      <w:r>
        <w:rPr>
          <w:b/>
          <w:spacing w:val="12"/>
          <w:w w:val="99"/>
          <w:sz w:val="32"/>
          <w:szCs w:val="32"/>
        </w:rPr>
        <w:t>统筹义务教育发展。</w:t>
      </w:r>
      <w:r>
        <w:rPr>
          <w:spacing w:val="10"/>
          <w:w w:val="99"/>
          <w:sz w:val="32"/>
          <w:szCs w:val="32"/>
        </w:rPr>
        <w:t>提高城乡学校标准化办学条件，进一</w:t>
      </w:r>
      <w:r>
        <w:rPr>
          <w:spacing w:val="23"/>
          <w:w w:val="99"/>
          <w:sz w:val="32"/>
          <w:szCs w:val="32"/>
        </w:rPr>
        <w:t>步完善中小学条件装备设施设备教研仪器和信息化智能设备</w:t>
      </w:r>
      <w:r>
        <w:rPr>
          <w:spacing w:val="9"/>
          <w:w w:val="99"/>
          <w:sz w:val="32"/>
          <w:szCs w:val="32"/>
        </w:rPr>
        <w:t>配置，创建国家义务教育优质均衡示范区。深化集团化办学体</w:t>
      </w:r>
      <w:r>
        <w:rPr>
          <w:w w:val="99"/>
          <w:sz w:val="32"/>
          <w:szCs w:val="32"/>
        </w:rPr>
        <w:t>制改革，通过“京银合作”“双优云桥”等项目，以“互联网+</w:t>
      </w:r>
      <w:r>
        <w:rPr>
          <w:spacing w:val="9"/>
          <w:w w:val="99"/>
          <w:sz w:val="32"/>
          <w:szCs w:val="32"/>
        </w:rPr>
        <w:t>教育”发展打破教育发展壁垒，在学校管理、特色建设、文化培育、师资培养、学生发展方面与发达地区看齐，全力打造全</w:t>
      </w:r>
      <w:r>
        <w:rPr>
          <w:spacing w:val="10"/>
          <w:w w:val="99"/>
          <w:sz w:val="32"/>
          <w:szCs w:val="32"/>
        </w:rPr>
        <w:t>区中小学办学质量高地。</w:t>
      </w:r>
    </w:p>
    <w:p w14:paraId="47BDFB2B">
      <w:pPr>
        <w:spacing w:before="14" w:line="338" w:lineRule="auto"/>
        <w:ind w:left="113" w:right="283" w:firstLine="664"/>
        <w:jc w:val="both"/>
        <w:rPr>
          <w:sz w:val="32"/>
          <w:szCs w:val="32"/>
        </w:rPr>
      </w:pPr>
      <w:r>
        <w:rPr>
          <w:b/>
          <w:spacing w:val="11"/>
          <w:w w:val="99"/>
          <w:sz w:val="32"/>
          <w:szCs w:val="32"/>
        </w:rPr>
        <w:t>统筹服务普高职高发展。</w:t>
      </w:r>
      <w:r>
        <w:rPr>
          <w:spacing w:val="10"/>
          <w:w w:val="99"/>
          <w:sz w:val="32"/>
          <w:szCs w:val="32"/>
        </w:rPr>
        <w:t>统筹初中毕业生入学。按中考成</w:t>
      </w:r>
      <w:r>
        <w:rPr>
          <w:spacing w:val="9"/>
          <w:w w:val="99"/>
          <w:sz w:val="32"/>
          <w:szCs w:val="32"/>
        </w:rPr>
        <w:t>绩及招生要求将毕业生分别录入各级各类普高、职高，使中等</w:t>
      </w:r>
      <w:r>
        <w:rPr>
          <w:spacing w:val="11"/>
          <w:w w:val="99"/>
          <w:sz w:val="32"/>
          <w:szCs w:val="32"/>
        </w:rPr>
        <w:t>职业教育学生</w:t>
      </w:r>
      <w:r>
        <w:rPr>
          <w:spacing w:val="12"/>
          <w:w w:val="99"/>
          <w:sz w:val="32"/>
          <w:szCs w:val="32"/>
        </w:rPr>
        <w:t>（含职业培训</w:t>
      </w:r>
      <w:r>
        <w:rPr>
          <w:spacing w:val="9"/>
          <w:w w:val="99"/>
          <w:sz w:val="32"/>
          <w:szCs w:val="32"/>
        </w:rPr>
        <w:t>）</w:t>
      </w:r>
      <w:r>
        <w:rPr>
          <w:spacing w:val="11"/>
          <w:w w:val="99"/>
          <w:sz w:val="32"/>
          <w:szCs w:val="32"/>
        </w:rPr>
        <w:t>与普通高中学生比例保持基本平</w:t>
      </w:r>
      <w:r>
        <w:rPr>
          <w:spacing w:val="10"/>
          <w:w w:val="99"/>
          <w:sz w:val="32"/>
          <w:szCs w:val="32"/>
        </w:rPr>
        <w:t>衡。实施高中阶段贫困家庭学生免费教育工程，不断扩大贫困</w:t>
      </w:r>
      <w:r>
        <w:rPr>
          <w:spacing w:val="9"/>
          <w:w w:val="99"/>
          <w:sz w:val="32"/>
          <w:szCs w:val="32"/>
        </w:rPr>
        <w:t>生资助覆盖面。配合自治区教育厅、银川市教育局推进辖区高</w:t>
      </w:r>
      <w:r>
        <w:rPr>
          <w:spacing w:val="8"/>
          <w:w w:val="99"/>
          <w:sz w:val="32"/>
          <w:szCs w:val="32"/>
        </w:rPr>
        <w:t>中教育发展。配合全国、全区高考改革实施，推进高中课程设</w:t>
      </w:r>
      <w:r>
        <w:rPr>
          <w:spacing w:val="10"/>
          <w:w w:val="99"/>
          <w:sz w:val="32"/>
          <w:szCs w:val="32"/>
        </w:rPr>
        <w:t>置和教育教学改革。协调辖区内的高中阶段学校与相关部门的</w:t>
      </w:r>
    </w:p>
    <w:p w14:paraId="2D4D937E">
      <w:pPr>
        <w:spacing w:line="338" w:lineRule="auto"/>
        <w:jc w:val="both"/>
        <w:sectPr>
          <w:pgSz w:w="11910" w:h="16840"/>
          <w:pgMar w:top="1800" w:right="1200" w:bottom="1160" w:left="1360" w:header="0" w:footer="975" w:gutter="0"/>
          <w:cols w:space="720" w:num="1"/>
        </w:sectPr>
      </w:pPr>
    </w:p>
    <w:p w14:paraId="2968764B">
      <w:pPr>
        <w:spacing w:before="28" w:line="340" w:lineRule="auto"/>
        <w:ind w:left="113" w:right="283"/>
        <w:rPr>
          <w:sz w:val="32"/>
          <w:szCs w:val="32"/>
        </w:rPr>
      </w:pPr>
      <w:r>
        <w:rPr>
          <w:spacing w:val="9"/>
          <w:w w:val="99"/>
          <w:sz w:val="32"/>
          <w:szCs w:val="32"/>
        </w:rPr>
        <w:t>关系，为学校办学提供优良的外部环境，为学校发展，学生成</w:t>
      </w:r>
      <w:r>
        <w:rPr>
          <w:spacing w:val="11"/>
          <w:w w:val="99"/>
          <w:sz w:val="32"/>
          <w:szCs w:val="32"/>
        </w:rPr>
        <w:t>长提供必要的、优质的服务。</w:t>
      </w:r>
    </w:p>
    <w:p w14:paraId="278ED2B2">
      <w:pPr>
        <w:spacing w:line="338" w:lineRule="auto"/>
        <w:ind w:left="113" w:right="115" w:firstLine="664"/>
        <w:rPr>
          <w:sz w:val="32"/>
          <w:szCs w:val="32"/>
        </w:rPr>
      </w:pPr>
      <w:r>
        <w:rPr>
          <w:b/>
          <w:spacing w:val="7"/>
          <w:w w:val="99"/>
          <w:sz w:val="32"/>
          <w:szCs w:val="32"/>
        </w:rPr>
        <w:t>完善终身教育学习体系。</w:t>
      </w:r>
      <w:r>
        <w:rPr>
          <w:spacing w:val="1"/>
          <w:w w:val="99"/>
          <w:sz w:val="32"/>
          <w:szCs w:val="32"/>
        </w:rPr>
        <w:t>推进“教育进社区，学习到家门”</w:t>
      </w:r>
      <w:r>
        <w:rPr>
          <w:spacing w:val="-2"/>
          <w:w w:val="99"/>
          <w:sz w:val="32"/>
          <w:szCs w:val="32"/>
        </w:rPr>
        <w:t>活动，发挥金凤区老年大学作用，建设覆盖面广泛的继续教育、</w:t>
      </w:r>
      <w:r>
        <w:rPr>
          <w:spacing w:val="9"/>
          <w:w w:val="99"/>
          <w:sz w:val="32"/>
          <w:szCs w:val="32"/>
        </w:rPr>
        <w:t>终身教育学习信息化平台，培育和创新学习共同体。探索建立各类教育相互衔接、贯通的终身教育框架。运用市场机制，配置终身教育社会资源，推进各类教育培训，提高全民终身教育</w:t>
      </w:r>
      <w:r>
        <w:rPr>
          <w:spacing w:val="10"/>
          <w:w w:val="99"/>
          <w:sz w:val="32"/>
          <w:szCs w:val="32"/>
        </w:rPr>
        <w:t>发展能力，努力建设人人乐学、处处可学、时时能学的学习型</w:t>
      </w:r>
      <w:r>
        <w:rPr>
          <w:spacing w:val="11"/>
          <w:w w:val="99"/>
          <w:sz w:val="32"/>
          <w:szCs w:val="32"/>
        </w:rPr>
        <w:t>社会，主要劳动年龄人口平均受教育年限达到</w:t>
      </w:r>
      <w:r>
        <w:rPr>
          <w:spacing w:val="-64"/>
          <w:sz w:val="32"/>
          <w:szCs w:val="32"/>
        </w:rPr>
        <w:t xml:space="preserve"> </w:t>
      </w:r>
      <w:r>
        <w:rPr>
          <w:rFonts w:ascii="Times New Roman" w:hAnsi="Times New Roman" w:eastAsia="Times New Roman"/>
          <w:spacing w:val="3"/>
          <w:w w:val="99"/>
          <w:sz w:val="32"/>
          <w:szCs w:val="32"/>
        </w:rPr>
        <w:t>1</w:t>
      </w:r>
      <w:r>
        <w:rPr>
          <w:rFonts w:ascii="Times New Roman" w:hAnsi="Times New Roman" w:eastAsia="Times New Roman"/>
          <w:w w:val="99"/>
          <w:sz w:val="32"/>
          <w:szCs w:val="32"/>
        </w:rPr>
        <w:t>3</w:t>
      </w:r>
      <w:r>
        <w:rPr>
          <w:rFonts w:ascii="Times New Roman" w:hAnsi="Times New Roman" w:eastAsia="Times New Roman"/>
          <w:spacing w:val="12"/>
          <w:sz w:val="32"/>
          <w:szCs w:val="32"/>
        </w:rPr>
        <w:t xml:space="preserve"> </w:t>
      </w:r>
      <w:r>
        <w:rPr>
          <w:spacing w:val="6"/>
          <w:w w:val="99"/>
          <w:sz w:val="32"/>
          <w:szCs w:val="32"/>
        </w:rPr>
        <w:t>年。</w:t>
      </w:r>
    </w:p>
    <w:p w14:paraId="2D35BA07">
      <w:pPr>
        <w:spacing w:before="8" w:line="338" w:lineRule="auto"/>
        <w:ind w:left="113" w:right="278" w:firstLine="664"/>
        <w:jc w:val="both"/>
        <w:rPr>
          <w:sz w:val="32"/>
          <w:szCs w:val="32"/>
        </w:rPr>
      </w:pPr>
      <w:r>
        <w:rPr>
          <w:b/>
          <w:spacing w:val="12"/>
          <w:w w:val="99"/>
          <w:sz w:val="32"/>
          <w:szCs w:val="32"/>
        </w:rPr>
        <w:t>促进教育品质提升。</w:t>
      </w:r>
      <w:r>
        <w:rPr>
          <w:spacing w:val="10"/>
          <w:w w:val="99"/>
          <w:sz w:val="32"/>
          <w:szCs w:val="32"/>
        </w:rPr>
        <w:t>保障特殊群体受教育权利，实施留守</w:t>
      </w:r>
      <w:r>
        <w:rPr>
          <w:spacing w:val="9"/>
          <w:w w:val="99"/>
          <w:sz w:val="32"/>
          <w:szCs w:val="32"/>
        </w:rPr>
        <w:t>儿童、残疾人等特殊教育提升和送教上门计划，残疾儿童入学</w:t>
      </w:r>
      <w:r>
        <w:rPr>
          <w:spacing w:val="11"/>
          <w:w w:val="99"/>
          <w:sz w:val="32"/>
          <w:szCs w:val="32"/>
        </w:rPr>
        <w:t>率达到</w:t>
      </w:r>
      <w:r>
        <w:rPr>
          <w:spacing w:val="-59"/>
          <w:sz w:val="32"/>
          <w:szCs w:val="32"/>
        </w:rPr>
        <w:t xml:space="preserve"> </w:t>
      </w:r>
      <w:r>
        <w:rPr>
          <w:rFonts w:ascii="Times New Roman" w:eastAsia="Times New Roman"/>
          <w:spacing w:val="3"/>
          <w:w w:val="99"/>
          <w:sz w:val="32"/>
          <w:szCs w:val="32"/>
        </w:rPr>
        <w:t>98</w:t>
      </w:r>
      <w:r>
        <w:rPr>
          <w:rFonts w:ascii="Times New Roman" w:eastAsia="Times New Roman"/>
          <w:spacing w:val="17"/>
          <w:w w:val="99"/>
          <w:sz w:val="32"/>
          <w:szCs w:val="32"/>
        </w:rPr>
        <w:t>%</w:t>
      </w:r>
      <w:r>
        <w:rPr>
          <w:spacing w:val="16"/>
          <w:w w:val="99"/>
          <w:sz w:val="32"/>
          <w:szCs w:val="32"/>
        </w:rPr>
        <w:t>以上。确保少数民族适龄人口入学率达到</w:t>
      </w:r>
      <w:r>
        <w:rPr>
          <w:spacing w:val="-62"/>
          <w:sz w:val="32"/>
          <w:szCs w:val="32"/>
        </w:rPr>
        <w:t xml:space="preserve"> </w:t>
      </w:r>
      <w:r>
        <w:rPr>
          <w:rFonts w:ascii="Times New Roman" w:eastAsia="Times New Roman"/>
          <w:spacing w:val="3"/>
          <w:w w:val="99"/>
          <w:sz w:val="32"/>
          <w:szCs w:val="32"/>
        </w:rPr>
        <w:t>1</w:t>
      </w:r>
      <w:r>
        <w:rPr>
          <w:rFonts w:ascii="Times New Roman" w:eastAsia="Times New Roman"/>
          <w:spacing w:val="6"/>
          <w:w w:val="99"/>
          <w:sz w:val="32"/>
          <w:szCs w:val="32"/>
        </w:rPr>
        <w:t>00</w:t>
      </w:r>
      <w:r>
        <w:rPr>
          <w:rFonts w:ascii="Times New Roman" w:eastAsia="Times New Roman"/>
          <w:spacing w:val="17"/>
          <w:w w:val="99"/>
          <w:sz w:val="32"/>
          <w:szCs w:val="32"/>
        </w:rPr>
        <w:t>%</w:t>
      </w:r>
      <w:r>
        <w:rPr>
          <w:w w:val="99"/>
          <w:sz w:val="32"/>
          <w:szCs w:val="32"/>
        </w:rPr>
        <w:t>，</w:t>
      </w:r>
      <w:r>
        <w:rPr>
          <w:spacing w:val="16"/>
          <w:w w:val="99"/>
          <w:sz w:val="32"/>
          <w:szCs w:val="32"/>
        </w:rPr>
        <w:t>尤其要确保少数民族适龄女童的入学率达到</w:t>
      </w:r>
      <w:r>
        <w:rPr>
          <w:spacing w:val="-59"/>
          <w:sz w:val="32"/>
          <w:szCs w:val="32"/>
        </w:rPr>
        <w:t xml:space="preserve"> </w:t>
      </w:r>
      <w:r>
        <w:rPr>
          <w:rFonts w:ascii="Times New Roman" w:eastAsia="Times New Roman"/>
          <w:spacing w:val="3"/>
          <w:w w:val="99"/>
          <w:sz w:val="32"/>
          <w:szCs w:val="32"/>
        </w:rPr>
        <w:t>1</w:t>
      </w:r>
      <w:r>
        <w:rPr>
          <w:rFonts w:ascii="Times New Roman" w:eastAsia="Times New Roman"/>
          <w:spacing w:val="6"/>
          <w:w w:val="99"/>
          <w:sz w:val="32"/>
          <w:szCs w:val="32"/>
        </w:rPr>
        <w:t>00</w:t>
      </w:r>
      <w:r>
        <w:rPr>
          <w:rFonts w:ascii="Times New Roman" w:eastAsia="Times New Roman"/>
          <w:spacing w:val="15"/>
          <w:w w:val="99"/>
          <w:sz w:val="32"/>
          <w:szCs w:val="32"/>
        </w:rPr>
        <w:t>%</w:t>
      </w:r>
      <w:r>
        <w:rPr>
          <w:spacing w:val="14"/>
          <w:w w:val="99"/>
          <w:sz w:val="32"/>
          <w:szCs w:val="32"/>
        </w:rPr>
        <w:t>。切实做好</w:t>
      </w:r>
      <w:r>
        <w:rPr>
          <w:spacing w:val="11"/>
          <w:w w:val="99"/>
          <w:sz w:val="32"/>
          <w:szCs w:val="32"/>
        </w:rPr>
        <w:t>留守儿童的入学监护、就学关爱。健全学校、家庭、社会协同育人机制，提升教师教书育人能力素质，增强学生文明素养、</w:t>
      </w:r>
      <w:r>
        <w:rPr>
          <w:spacing w:val="9"/>
          <w:w w:val="99"/>
          <w:sz w:val="32"/>
          <w:szCs w:val="32"/>
        </w:rPr>
        <w:t>社会责任意识、实践本领，重视青少年身体素质和心理健康教</w:t>
      </w:r>
      <w:r>
        <w:rPr>
          <w:spacing w:val="6"/>
          <w:w w:val="99"/>
          <w:sz w:val="32"/>
          <w:szCs w:val="32"/>
        </w:rPr>
        <w:t>育。</w:t>
      </w:r>
    </w:p>
    <w:p w14:paraId="012E5D56">
      <w:pPr>
        <w:ind w:left="778"/>
        <w:rPr>
          <w:rFonts w:ascii="黑体" w:hAnsi="黑体" w:eastAsia="黑体"/>
          <w:sz w:val="32"/>
          <w:szCs w:val="32"/>
        </w:rPr>
      </w:pPr>
      <w:r>
        <w:rPr>
          <w:rFonts w:ascii="黑体" w:hAnsi="黑体" w:eastAsia="黑体"/>
          <w:spacing w:val="12"/>
          <w:w w:val="95"/>
          <w:sz w:val="32"/>
          <w:szCs w:val="32"/>
        </w:rPr>
        <w:t>二、推进“互</w:t>
      </w:r>
      <w:r>
        <w:rPr>
          <w:rFonts w:ascii="黑体" w:hAnsi="黑体" w:eastAsia="黑体"/>
          <w:spacing w:val="8"/>
          <w:w w:val="95"/>
          <w:sz w:val="32"/>
          <w:szCs w:val="32"/>
        </w:rPr>
        <w:t>联网+</w:t>
      </w:r>
      <w:r>
        <w:rPr>
          <w:rFonts w:ascii="黑体" w:hAnsi="黑体" w:eastAsia="黑体"/>
          <w:spacing w:val="12"/>
          <w:w w:val="95"/>
          <w:sz w:val="32"/>
          <w:szCs w:val="32"/>
        </w:rPr>
        <w:t>教育</w:t>
      </w:r>
      <w:r>
        <w:rPr>
          <w:rFonts w:ascii="黑体" w:hAnsi="黑体" w:eastAsia="黑体"/>
          <w:spacing w:val="13"/>
          <w:w w:val="95"/>
          <w:sz w:val="32"/>
          <w:szCs w:val="32"/>
        </w:rPr>
        <w:t>”示范</w:t>
      </w:r>
      <w:r>
        <w:rPr>
          <w:rFonts w:ascii="黑体" w:hAnsi="黑体" w:eastAsia="黑体"/>
          <w:spacing w:val="12"/>
          <w:w w:val="95"/>
          <w:sz w:val="32"/>
          <w:szCs w:val="32"/>
        </w:rPr>
        <w:t>区建</w:t>
      </w:r>
      <w:r>
        <w:rPr>
          <w:rFonts w:ascii="黑体" w:hAnsi="黑体" w:eastAsia="黑体"/>
          <w:spacing w:val="-10"/>
          <w:w w:val="95"/>
          <w:sz w:val="32"/>
          <w:szCs w:val="32"/>
        </w:rPr>
        <w:t>设</w:t>
      </w:r>
    </w:p>
    <w:p w14:paraId="6ABF67F5">
      <w:pPr>
        <w:spacing w:before="166" w:line="338" w:lineRule="auto"/>
        <w:ind w:left="113" w:right="278" w:firstLine="664"/>
        <w:jc w:val="both"/>
        <w:rPr>
          <w:sz w:val="32"/>
          <w:szCs w:val="32"/>
        </w:rPr>
      </w:pPr>
      <w:r>
        <w:rPr>
          <w:b/>
          <w:spacing w:val="14"/>
          <w:w w:val="99"/>
          <w:sz w:val="32"/>
          <w:szCs w:val="32"/>
        </w:rPr>
        <w:t>拓展</w:t>
      </w:r>
      <w:r>
        <w:rPr>
          <w:rFonts w:ascii="Calibri" w:hAnsi="Calibri" w:eastAsia="Calibri"/>
          <w:b/>
          <w:spacing w:val="7"/>
          <w:w w:val="99"/>
          <w:sz w:val="32"/>
          <w:szCs w:val="32"/>
        </w:rPr>
        <w:t>“</w:t>
      </w:r>
      <w:r>
        <w:rPr>
          <w:b/>
          <w:spacing w:val="14"/>
          <w:w w:val="99"/>
          <w:sz w:val="32"/>
          <w:szCs w:val="32"/>
        </w:rPr>
        <w:t>互联网</w:t>
      </w:r>
      <w:r>
        <w:rPr>
          <w:rFonts w:ascii="Calibri" w:hAnsi="Calibri" w:eastAsia="Calibri"/>
          <w:b/>
          <w:spacing w:val="6"/>
          <w:w w:val="99"/>
          <w:sz w:val="32"/>
          <w:szCs w:val="32"/>
        </w:rPr>
        <w:t>+</w:t>
      </w:r>
      <w:r>
        <w:rPr>
          <w:b/>
          <w:spacing w:val="15"/>
          <w:w w:val="99"/>
          <w:sz w:val="32"/>
          <w:szCs w:val="32"/>
        </w:rPr>
        <w:t>教育</w:t>
      </w:r>
      <w:r>
        <w:rPr>
          <w:rFonts w:ascii="Calibri" w:hAnsi="Calibri" w:eastAsia="Calibri"/>
          <w:b/>
          <w:spacing w:val="7"/>
          <w:w w:val="99"/>
          <w:sz w:val="32"/>
          <w:szCs w:val="32"/>
        </w:rPr>
        <w:t>”</w:t>
      </w:r>
      <w:r>
        <w:rPr>
          <w:b/>
          <w:spacing w:val="14"/>
          <w:w w:val="99"/>
          <w:sz w:val="32"/>
          <w:szCs w:val="32"/>
        </w:rPr>
        <w:t>应用。</w:t>
      </w:r>
      <w:r>
        <w:rPr>
          <w:spacing w:val="10"/>
          <w:w w:val="99"/>
          <w:sz w:val="32"/>
          <w:szCs w:val="32"/>
        </w:rPr>
        <w:t>落实“互联网+教育”示范区实</w:t>
      </w:r>
      <w:r>
        <w:rPr>
          <w:spacing w:val="11"/>
          <w:w w:val="99"/>
          <w:sz w:val="32"/>
          <w:szCs w:val="32"/>
        </w:rPr>
        <w:t>施方案，推动教育城域网扩容升级，在学校管理、特色建设、文化培育、师资培养、学生发展方面与发达地区看齐，实现城</w:t>
      </w:r>
      <w:r>
        <w:rPr>
          <w:spacing w:val="10"/>
          <w:w w:val="99"/>
          <w:sz w:val="32"/>
          <w:szCs w:val="32"/>
        </w:rPr>
        <w:t>乡、校际、群体教育服务差距明显缩小，推动各级各类教育办出特色、争创一流，全力打造全区中小学办学质量高地。加强</w:t>
      </w:r>
    </w:p>
    <w:p w14:paraId="4C04194A">
      <w:pPr>
        <w:spacing w:before="28" w:line="338" w:lineRule="auto"/>
        <w:ind w:left="213" w:right="117"/>
        <w:rPr>
          <w:sz w:val="32"/>
          <w:szCs w:val="32"/>
        </w:rPr>
      </w:pPr>
      <w:r>
        <w:rPr>
          <w:spacing w:val="17"/>
          <w:sz w:val="32"/>
          <w:szCs w:val="32"/>
        </w:rPr>
        <w:t>“专递课</w:t>
      </w:r>
      <w:r>
        <w:rPr>
          <w:spacing w:val="-37"/>
          <w:sz w:val="32"/>
          <w:szCs w:val="32"/>
        </w:rPr>
        <w:t>堂”“</w:t>
      </w:r>
      <w:r>
        <w:rPr>
          <w:spacing w:val="17"/>
          <w:sz w:val="32"/>
          <w:szCs w:val="32"/>
        </w:rPr>
        <w:t>名师课堂”和“名校网络课堂”建设与应</w:t>
      </w:r>
      <w:r>
        <w:rPr>
          <w:spacing w:val="8"/>
          <w:sz w:val="32"/>
          <w:szCs w:val="32"/>
        </w:rPr>
        <w:t>用，</w:t>
      </w:r>
      <w:r>
        <w:rPr>
          <w:spacing w:val="12"/>
          <w:w w:val="95"/>
          <w:sz w:val="32"/>
          <w:szCs w:val="32"/>
        </w:rPr>
        <w:t>落实并深</w:t>
      </w:r>
      <w:r>
        <w:rPr>
          <w:spacing w:val="6"/>
          <w:w w:val="95"/>
          <w:sz w:val="32"/>
          <w:szCs w:val="32"/>
        </w:rPr>
        <w:t>化“</w:t>
      </w:r>
      <w:r>
        <w:rPr>
          <w:spacing w:val="12"/>
          <w:w w:val="95"/>
          <w:sz w:val="32"/>
          <w:szCs w:val="32"/>
        </w:rPr>
        <w:t>首都带首</w:t>
      </w:r>
      <w:r>
        <w:rPr>
          <w:spacing w:val="8"/>
          <w:w w:val="95"/>
          <w:sz w:val="32"/>
          <w:szCs w:val="32"/>
        </w:rPr>
        <w:t>府”教育</w:t>
      </w:r>
      <w:r>
        <w:rPr>
          <w:spacing w:val="12"/>
          <w:w w:val="95"/>
          <w:sz w:val="32"/>
          <w:szCs w:val="32"/>
        </w:rPr>
        <w:t>合作</w:t>
      </w:r>
      <w:r>
        <w:rPr>
          <w:spacing w:val="8"/>
          <w:w w:val="95"/>
          <w:sz w:val="32"/>
          <w:szCs w:val="32"/>
        </w:rPr>
        <w:t>，组建</w:t>
      </w:r>
      <w:r>
        <w:rPr>
          <w:spacing w:val="12"/>
          <w:w w:val="95"/>
          <w:sz w:val="32"/>
          <w:szCs w:val="32"/>
        </w:rPr>
        <w:t>跨区域教育共同体</w:t>
      </w:r>
      <w:r>
        <w:rPr>
          <w:w w:val="95"/>
          <w:sz w:val="32"/>
          <w:szCs w:val="32"/>
        </w:rPr>
        <w:t>，</w:t>
      </w:r>
      <w:r>
        <w:rPr>
          <w:spacing w:val="12"/>
          <w:sz w:val="32"/>
          <w:szCs w:val="32"/>
        </w:rPr>
        <w:t>实现名校名师资源与信息共建共享共</w:t>
      </w:r>
      <w:r>
        <w:rPr>
          <w:spacing w:val="6"/>
          <w:sz w:val="32"/>
          <w:szCs w:val="32"/>
        </w:rPr>
        <w:t>研。</w:t>
      </w:r>
    </w:p>
    <w:p w14:paraId="544B17C7">
      <w:pPr>
        <w:spacing w:before="5" w:line="338" w:lineRule="auto"/>
        <w:ind w:left="213" w:right="117" w:firstLine="664"/>
        <w:rPr>
          <w:sz w:val="32"/>
          <w:szCs w:val="32"/>
        </w:rPr>
      </w:pPr>
      <w:r>
        <w:rPr>
          <w:b/>
          <w:spacing w:val="18"/>
          <w:w w:val="99"/>
          <w:sz w:val="32"/>
          <w:szCs w:val="32"/>
        </w:rPr>
        <w:t>促进城乡区内外资源流动。</w:t>
      </w:r>
      <w:r>
        <w:rPr>
          <w:spacing w:val="15"/>
          <w:w w:val="99"/>
          <w:sz w:val="32"/>
          <w:szCs w:val="32"/>
        </w:rPr>
        <w:t>以“互联网+教育”发展打破</w:t>
      </w:r>
      <w:r>
        <w:rPr>
          <w:spacing w:val="16"/>
          <w:w w:val="99"/>
          <w:sz w:val="32"/>
          <w:szCs w:val="32"/>
        </w:rPr>
        <w:t>教育发展壁垒，开展“城市+乡村”教育共同体建设，一所城</w:t>
      </w:r>
      <w:r>
        <w:rPr>
          <w:spacing w:val="10"/>
          <w:w w:val="99"/>
          <w:sz w:val="32"/>
          <w:szCs w:val="32"/>
        </w:rPr>
        <w:t>镇学校带多所乡村学校的“</w:t>
      </w:r>
      <w:r>
        <w:rPr>
          <w:rFonts w:ascii="Calibri" w:hAnsi="Calibri" w:eastAsia="Calibri"/>
          <w:spacing w:val="1"/>
          <w:w w:val="99"/>
          <w:sz w:val="32"/>
          <w:szCs w:val="32"/>
        </w:rPr>
        <w:t>1</w:t>
      </w:r>
      <w:r>
        <w:rPr>
          <w:rFonts w:ascii="Calibri" w:hAnsi="Calibri" w:eastAsia="Calibri"/>
          <w:spacing w:val="6"/>
          <w:w w:val="99"/>
          <w:sz w:val="32"/>
          <w:szCs w:val="32"/>
        </w:rPr>
        <w:t>+</w:t>
      </w:r>
      <w:r>
        <w:rPr>
          <w:rFonts w:ascii="Calibri" w:hAnsi="Calibri" w:eastAsia="Calibri"/>
          <w:spacing w:val="12"/>
          <w:w w:val="99"/>
          <w:sz w:val="32"/>
          <w:szCs w:val="32"/>
        </w:rPr>
        <w:t>N</w:t>
      </w:r>
      <w:r>
        <w:rPr>
          <w:spacing w:val="2"/>
          <w:w w:val="99"/>
          <w:sz w:val="32"/>
          <w:szCs w:val="32"/>
        </w:rPr>
        <w:t>”教学</w:t>
      </w:r>
      <w:r>
        <w:rPr>
          <w:spacing w:val="14"/>
          <w:w w:val="99"/>
          <w:sz w:val="32"/>
          <w:szCs w:val="32"/>
        </w:rPr>
        <w:t>（</w:t>
      </w:r>
      <w:r>
        <w:rPr>
          <w:spacing w:val="12"/>
          <w:w w:val="99"/>
          <w:sz w:val="32"/>
          <w:szCs w:val="32"/>
        </w:rPr>
        <w:t>教研</w:t>
      </w:r>
      <w:r>
        <w:rPr>
          <w:w w:val="99"/>
          <w:sz w:val="32"/>
          <w:szCs w:val="32"/>
        </w:rPr>
        <w:t>）</w:t>
      </w:r>
      <w:r>
        <w:rPr>
          <w:spacing w:val="10"/>
          <w:w w:val="99"/>
          <w:sz w:val="32"/>
          <w:szCs w:val="32"/>
        </w:rPr>
        <w:t>共同体全覆盖，</w:t>
      </w:r>
      <w:r>
        <w:rPr>
          <w:spacing w:val="6"/>
          <w:w w:val="99"/>
          <w:sz w:val="32"/>
          <w:szCs w:val="32"/>
        </w:rPr>
        <w:t>建立“区内名校+薄弱学校”教育共同体、“优质学校+分校”</w:t>
      </w:r>
      <w:r>
        <w:rPr>
          <w:spacing w:val="-2"/>
          <w:w w:val="99"/>
          <w:sz w:val="32"/>
          <w:szCs w:val="32"/>
        </w:rPr>
        <w:t>发展共同体、“区内名校+区外学校”结对共同体，开展一体化</w:t>
      </w:r>
      <w:r>
        <w:rPr>
          <w:spacing w:val="8"/>
          <w:w w:val="99"/>
          <w:sz w:val="32"/>
          <w:szCs w:val="32"/>
        </w:rPr>
        <w:t>办学。</w:t>
      </w:r>
    </w:p>
    <w:p w14:paraId="5FDC1CB6">
      <w:pPr>
        <w:spacing w:line="405" w:lineRule="exact"/>
        <w:ind w:left="878"/>
        <w:rPr>
          <w:rFonts w:ascii="黑体" w:eastAsia="黑体"/>
          <w:sz w:val="32"/>
          <w:szCs w:val="32"/>
        </w:rPr>
      </w:pPr>
      <w:r>
        <w:rPr>
          <w:rFonts w:ascii="黑体" w:eastAsia="黑体"/>
          <w:spacing w:val="12"/>
          <w:w w:val="95"/>
          <w:sz w:val="32"/>
          <w:szCs w:val="32"/>
        </w:rPr>
        <w:t>三、打造</w:t>
      </w:r>
      <w:r>
        <w:rPr>
          <w:rFonts w:ascii="黑体" w:eastAsia="黑体"/>
          <w:spacing w:val="14"/>
          <w:w w:val="95"/>
          <w:sz w:val="32"/>
          <w:szCs w:val="32"/>
        </w:rPr>
        <w:t>高</w:t>
      </w:r>
      <w:r>
        <w:rPr>
          <w:rFonts w:ascii="黑体" w:eastAsia="黑体"/>
          <w:spacing w:val="12"/>
          <w:w w:val="95"/>
          <w:sz w:val="32"/>
          <w:szCs w:val="32"/>
        </w:rPr>
        <w:t>素质</w:t>
      </w:r>
      <w:r>
        <w:rPr>
          <w:rFonts w:ascii="黑体" w:eastAsia="黑体"/>
          <w:spacing w:val="14"/>
          <w:w w:val="95"/>
          <w:sz w:val="32"/>
          <w:szCs w:val="32"/>
        </w:rPr>
        <w:t>的</w:t>
      </w:r>
      <w:r>
        <w:rPr>
          <w:rFonts w:ascii="黑体" w:eastAsia="黑体"/>
          <w:spacing w:val="12"/>
          <w:w w:val="95"/>
          <w:sz w:val="32"/>
          <w:szCs w:val="32"/>
        </w:rPr>
        <w:t>师资</w:t>
      </w:r>
      <w:r>
        <w:rPr>
          <w:rFonts w:ascii="黑体" w:eastAsia="黑体"/>
          <w:spacing w:val="2"/>
          <w:w w:val="95"/>
          <w:sz w:val="32"/>
          <w:szCs w:val="32"/>
        </w:rPr>
        <w:t>队伍</w:t>
      </w:r>
    </w:p>
    <w:p w14:paraId="1A464FC8">
      <w:pPr>
        <w:spacing w:before="166" w:line="340" w:lineRule="auto"/>
        <w:ind w:left="213" w:right="285" w:firstLine="664"/>
        <w:jc w:val="both"/>
        <w:rPr>
          <w:sz w:val="32"/>
          <w:szCs w:val="32"/>
        </w:rPr>
      </w:pPr>
      <w:r>
        <w:rPr>
          <w:spacing w:val="9"/>
          <w:w w:val="99"/>
          <w:sz w:val="32"/>
          <w:szCs w:val="32"/>
        </w:rPr>
        <w:t>增强教师职业吸引力，建设一支德才兼备的师资队伍。完善公共资源配置机制，教育信息化水平显著提高，全社会教育</w:t>
      </w:r>
      <w:r>
        <w:rPr>
          <w:spacing w:val="11"/>
          <w:w w:val="99"/>
          <w:sz w:val="32"/>
          <w:szCs w:val="32"/>
        </w:rPr>
        <w:t>资源得到充分开发和利用。</w:t>
      </w:r>
    </w:p>
    <w:p w14:paraId="166F6115">
      <w:pPr>
        <w:spacing w:line="338" w:lineRule="auto"/>
        <w:ind w:left="213" w:right="283" w:firstLine="664"/>
        <w:jc w:val="both"/>
        <w:rPr>
          <w:sz w:val="32"/>
          <w:szCs w:val="32"/>
        </w:rPr>
      </w:pPr>
      <w:r>
        <w:rPr>
          <w:b/>
          <w:spacing w:val="11"/>
          <w:w w:val="99"/>
          <w:sz w:val="32"/>
          <w:szCs w:val="32"/>
        </w:rPr>
        <w:t>促进城乡教师流动。</w:t>
      </w:r>
      <w:r>
        <w:rPr>
          <w:spacing w:val="11"/>
          <w:w w:val="99"/>
          <w:sz w:val="32"/>
          <w:szCs w:val="32"/>
        </w:rPr>
        <w:t>加强区域内义务教育阶段教师的统筹</w:t>
      </w:r>
      <w:r>
        <w:rPr>
          <w:spacing w:val="9"/>
          <w:w w:val="99"/>
          <w:sz w:val="32"/>
          <w:szCs w:val="32"/>
        </w:rPr>
        <w:t>管理，重点引导优秀校长和骨干教师向乡村学校流动。通过学校联盟、对口帮扶、紧缺学科教师走教等多种途径和方式，引</w:t>
      </w:r>
      <w:r>
        <w:rPr>
          <w:spacing w:val="11"/>
          <w:w w:val="99"/>
          <w:sz w:val="32"/>
          <w:szCs w:val="32"/>
        </w:rPr>
        <w:t>导优秀和骨干教师向农村学校流动。</w:t>
      </w:r>
    </w:p>
    <w:p w14:paraId="49EC29A9">
      <w:pPr>
        <w:spacing w:before="2" w:line="338" w:lineRule="auto"/>
        <w:ind w:left="213" w:right="278" w:firstLine="664"/>
        <w:jc w:val="both"/>
        <w:rPr>
          <w:sz w:val="32"/>
          <w:szCs w:val="32"/>
        </w:rPr>
      </w:pPr>
      <w:r>
        <w:rPr>
          <w:b/>
          <w:spacing w:val="12"/>
          <w:w w:val="99"/>
          <w:sz w:val="32"/>
          <w:szCs w:val="32"/>
        </w:rPr>
        <w:t>强化教师交流培训。</w:t>
      </w:r>
      <w:r>
        <w:rPr>
          <w:spacing w:val="10"/>
          <w:w w:val="99"/>
          <w:sz w:val="32"/>
          <w:szCs w:val="32"/>
        </w:rPr>
        <w:t>完善学科教师交流学习平台，进一步发挥名师骨干示范引领和辐射带动作用，提高全区教育综合质</w:t>
      </w:r>
      <w:r>
        <w:rPr>
          <w:spacing w:val="11"/>
          <w:w w:val="99"/>
          <w:sz w:val="32"/>
          <w:szCs w:val="32"/>
        </w:rPr>
        <w:t>量。建设优质教师研修平台，整合优质培训资源，组建培训师资库，落实教师培训各项任务。有计划组织校长、骨干教师、</w:t>
      </w:r>
      <w:r>
        <w:rPr>
          <w:spacing w:val="10"/>
          <w:w w:val="99"/>
          <w:sz w:val="32"/>
          <w:szCs w:val="32"/>
        </w:rPr>
        <w:t>优秀教师赴教育发达地区学习，选派普通高中优秀教师外出考</w:t>
      </w:r>
      <w:r>
        <w:rPr>
          <w:spacing w:val="5"/>
          <w:w w:val="99"/>
          <w:sz w:val="32"/>
          <w:szCs w:val="32"/>
        </w:rPr>
        <w:t>察学习。加强“塞上名师”“凤城名师”等高水平教师培养力</w:t>
      </w:r>
    </w:p>
    <w:p w14:paraId="2B515230">
      <w:pPr>
        <w:spacing w:line="338" w:lineRule="auto"/>
        <w:jc w:val="both"/>
        <w:sectPr>
          <w:footerReference r:id="rId35" w:type="default"/>
          <w:footerReference r:id="rId36" w:type="even"/>
          <w:pgSz w:w="11910" w:h="16840"/>
          <w:pgMar w:top="1800" w:right="1200" w:bottom="1160" w:left="1260" w:header="0" w:footer="975" w:gutter="0"/>
          <w:pgNumType w:start="113"/>
          <w:cols w:space="720" w:num="1"/>
        </w:sectPr>
      </w:pPr>
    </w:p>
    <w:p w14:paraId="1F72CC8A">
      <w:pPr>
        <w:spacing w:before="28" w:line="340" w:lineRule="auto"/>
        <w:ind w:left="213" w:right="283"/>
        <w:rPr>
          <w:sz w:val="32"/>
          <w:szCs w:val="32"/>
        </w:rPr>
      </w:pPr>
      <w:r>
        <w:rPr>
          <w:spacing w:val="10"/>
          <w:w w:val="99"/>
          <w:sz w:val="32"/>
          <w:szCs w:val="32"/>
        </w:rPr>
        <w:t>度，完善“师徒制”传帮带机制，支持更多教师进入自治区各类高层次人才队伍。</w:t>
      </w:r>
    </w:p>
    <w:p w14:paraId="121D870D">
      <w:pPr>
        <w:spacing w:line="340" w:lineRule="auto"/>
        <w:ind w:left="213" w:right="283" w:firstLine="664"/>
        <w:jc w:val="both"/>
        <w:rPr>
          <w:sz w:val="32"/>
          <w:szCs w:val="32"/>
        </w:rPr>
      </w:pPr>
      <w:r>
        <w:rPr>
          <w:sz w:val="32"/>
          <w:szCs w:val="32"/>
        </w:rPr>
        <mc:AlternateContent>
          <mc:Choice Requires="wps">
            <w:drawing>
              <wp:anchor distT="0" distB="0" distL="114300" distR="114300" simplePos="0" relativeHeight="251706368" behindDoc="1" locked="0" layoutInCell="1" allowOverlap="1">
                <wp:simplePos x="0" y="0"/>
                <wp:positionH relativeFrom="page">
                  <wp:posOffset>867410</wp:posOffset>
                </wp:positionH>
                <wp:positionV relativeFrom="paragraph">
                  <wp:posOffset>2121535</wp:posOffset>
                </wp:positionV>
                <wp:extent cx="5694680" cy="1319530"/>
                <wp:effectExtent l="0" t="0" r="0" b="0"/>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5694680" cy="1319530"/>
                        </a:xfrm>
                        <a:prstGeom prst="rect">
                          <a:avLst/>
                        </a:prstGeom>
                        <a:noFill/>
                        <a:ln w="6096">
                          <a:solidFill>
                            <a:srgbClr val="000000"/>
                          </a:solidFill>
                          <a:prstDash val="solid"/>
                          <a:miter lim="800000"/>
                        </a:ln>
                      </wps:spPr>
                      <wps:txbx>
                        <w:txbxContent>
                          <w:p w14:paraId="349B7200">
                            <w:pPr>
                              <w:spacing w:before="82"/>
                              <w:ind w:left="2741" w:right="2752"/>
                              <w:jc w:val="center"/>
                              <w:rPr>
                                <w:rFonts w:ascii="黑体" w:eastAsia="黑体"/>
                                <w:sz w:val="24"/>
                              </w:rPr>
                            </w:pPr>
                            <w:r>
                              <w:rPr>
                                <w:rFonts w:ascii="黑体" w:eastAsia="黑体"/>
                                <w:spacing w:val="-12"/>
                                <w:sz w:val="24"/>
                              </w:rPr>
                              <w:t xml:space="preserve">专栏 </w:t>
                            </w:r>
                            <w:r>
                              <w:rPr>
                                <w:rFonts w:ascii="黑体" w:eastAsia="黑体"/>
                                <w:sz w:val="24"/>
                              </w:rPr>
                              <w:t>7</w:t>
                            </w:r>
                            <w:r>
                              <w:rPr>
                                <w:rFonts w:ascii="黑体" w:eastAsia="黑体"/>
                                <w:spacing w:val="20"/>
                                <w:sz w:val="24"/>
                              </w:rPr>
                              <w:t xml:space="preserve"> 教育设施重点建设项目</w:t>
                            </w:r>
                          </w:p>
                          <w:p w14:paraId="4A7134B4">
                            <w:pPr>
                              <w:spacing w:before="188" w:line="357" w:lineRule="auto"/>
                              <w:ind w:left="102" w:right="112" w:firstLine="444"/>
                              <w:jc w:val="both"/>
                              <w:rPr>
                                <w:rFonts w:ascii="宋体" w:eastAsia="宋体"/>
                                <w:i/>
                                <w:sz w:val="21"/>
                              </w:rPr>
                            </w:pPr>
                            <w:r>
                              <w:rPr>
                                <w:rFonts w:hint="eastAsia" w:ascii="宋体" w:eastAsia="宋体"/>
                                <w:i/>
                                <w:spacing w:val="13"/>
                                <w:w w:val="99"/>
                                <w:sz w:val="21"/>
                              </w:rPr>
                              <w:t>金凤区第十六幼儿园、第十七幼儿园、第十八幼儿园、第十九幼儿园、第十幼儿园等幼儿园；金凤区第二十七小学、第二十五小学、第二十九小学、第十小学艺体楼、第二十三小学、第二十八小学、第十九小学、曼新小学教学楼、第八小学艺体楼等小学项目；银</w:t>
                            </w:r>
                          </w:p>
                          <w:p w14:paraId="73FFBAE6">
                            <w:pPr>
                              <w:spacing w:line="266" w:lineRule="exact"/>
                              <w:ind w:left="102"/>
                              <w:rPr>
                                <w:rFonts w:ascii="宋体" w:eastAsia="宋体"/>
                                <w:i/>
                                <w:sz w:val="21"/>
                              </w:rPr>
                            </w:pPr>
                            <w:r>
                              <w:rPr>
                                <w:rFonts w:hint="eastAsia" w:ascii="宋体" w:eastAsia="宋体"/>
                                <w:i/>
                                <w:spacing w:val="10"/>
                                <w:w w:val="95"/>
                                <w:sz w:val="21"/>
                              </w:rPr>
                              <w:t>川市第三十四中学、第三十二中学、第三十五中学等中学项目。</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68.3pt;margin-top:167.05pt;height:103.9pt;width:448.4pt;mso-position-horizontal-relative:page;z-index:-251610112;mso-width-relative:page;mso-height-relative:page;" filled="f" stroked="t" coordsize="21600,21600" o:gfxdata="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jpK2tgAAAAMAQAADwAAAAAAAAABACAAAAAiAAAA&#10;ZHJzL2Rvd25yZXYueG1sUEsBAhQAFAAAAAgAh07iQJNne39AAgAAagQAAA4AAAAAAAAAAQAgAAAA&#10;JwEAAGRycy9lMm9Eb2MueG1sUEsFBgAAAAAGAAYAWQEAANkFAAAAAA==&#10;">
                <v:fill on="f" focussize="0,0"/>
                <v:stroke weight="0.48pt" color="#000000" miterlimit="8" joinstyle="miter"/>
                <v:imagedata o:title=""/>
                <o:lock v:ext="edit" aspectratio="f"/>
                <v:textbox inset="0mm,0mm,0mm,0mm">
                  <w:txbxContent>
                    <w:p w14:paraId="349B7200">
                      <w:pPr>
                        <w:spacing w:before="82"/>
                        <w:ind w:left="2741" w:right="2752"/>
                        <w:jc w:val="center"/>
                        <w:rPr>
                          <w:rFonts w:ascii="黑体" w:eastAsia="黑体"/>
                          <w:sz w:val="24"/>
                        </w:rPr>
                      </w:pPr>
                      <w:r>
                        <w:rPr>
                          <w:rFonts w:ascii="黑体" w:eastAsia="黑体"/>
                          <w:spacing w:val="-12"/>
                          <w:sz w:val="24"/>
                        </w:rPr>
                        <w:t xml:space="preserve">专栏 </w:t>
                      </w:r>
                      <w:r>
                        <w:rPr>
                          <w:rFonts w:ascii="黑体" w:eastAsia="黑体"/>
                          <w:sz w:val="24"/>
                        </w:rPr>
                        <w:t>7</w:t>
                      </w:r>
                      <w:r>
                        <w:rPr>
                          <w:rFonts w:ascii="黑体" w:eastAsia="黑体"/>
                          <w:spacing w:val="20"/>
                          <w:sz w:val="24"/>
                        </w:rPr>
                        <w:t xml:space="preserve"> 教育设施重点建设项目</w:t>
                      </w:r>
                    </w:p>
                    <w:p w14:paraId="4A7134B4">
                      <w:pPr>
                        <w:spacing w:before="188" w:line="357" w:lineRule="auto"/>
                        <w:ind w:left="102" w:right="112" w:firstLine="444"/>
                        <w:jc w:val="both"/>
                        <w:rPr>
                          <w:rFonts w:ascii="宋体" w:eastAsia="宋体"/>
                          <w:i/>
                          <w:sz w:val="21"/>
                        </w:rPr>
                      </w:pPr>
                      <w:r>
                        <w:rPr>
                          <w:rFonts w:hint="eastAsia" w:ascii="宋体" w:eastAsia="宋体"/>
                          <w:i/>
                          <w:spacing w:val="13"/>
                          <w:w w:val="99"/>
                          <w:sz w:val="21"/>
                        </w:rPr>
                        <w:t>金凤区第十六幼儿园、第十七幼儿园、第十八幼儿园、第十九幼儿园、第十幼儿园等幼儿园；金凤区第二十七小学、第二十五小学、第二十九小学、第十小学艺体楼、第二十三小学、第二十八小学、第十九小学、曼新小学教学楼、第八小学艺体楼等小学项目；银</w:t>
                      </w:r>
                    </w:p>
                    <w:p w14:paraId="73FFBAE6">
                      <w:pPr>
                        <w:spacing w:line="266" w:lineRule="exact"/>
                        <w:ind w:left="102"/>
                        <w:rPr>
                          <w:rFonts w:ascii="宋体" w:eastAsia="宋体"/>
                          <w:i/>
                          <w:sz w:val="21"/>
                        </w:rPr>
                      </w:pPr>
                      <w:r>
                        <w:rPr>
                          <w:rFonts w:hint="eastAsia" w:ascii="宋体" w:eastAsia="宋体"/>
                          <w:i/>
                          <w:spacing w:val="10"/>
                          <w:w w:val="95"/>
                          <w:sz w:val="21"/>
                        </w:rPr>
                        <w:t>川市第三十四中学、第三十二中学、第三十五中学等中学项目。</w:t>
                      </w:r>
                    </w:p>
                  </w:txbxContent>
                </v:textbox>
              </v:shape>
            </w:pict>
          </mc:Fallback>
        </mc:AlternateContent>
      </w:r>
      <w:r>
        <w:rPr>
          <w:b/>
          <w:spacing w:val="12"/>
          <w:w w:val="99"/>
          <w:sz w:val="32"/>
          <w:szCs w:val="32"/>
        </w:rPr>
        <w:t>优化教师资源配置。</w:t>
      </w:r>
      <w:r>
        <w:rPr>
          <w:spacing w:val="10"/>
          <w:w w:val="99"/>
          <w:sz w:val="32"/>
          <w:szCs w:val="32"/>
        </w:rPr>
        <w:t>完善教师补充机制，对新建中小学和</w:t>
      </w:r>
      <w:r>
        <w:rPr>
          <w:spacing w:val="9"/>
          <w:w w:val="99"/>
          <w:sz w:val="32"/>
          <w:szCs w:val="32"/>
        </w:rPr>
        <w:t>教师缺额较大的学校，及时核批教师编制，加大紧缺科目教师和优质人才引进力度，尝试政府购买教育服务，确保教育教学工作正常有序开展。加大区域内城镇与乡村教师双向交流、定期轮岗力度，建立教师走教制度，实现区域内教师资源优化配</w:t>
      </w:r>
      <w:r>
        <w:rPr>
          <w:spacing w:val="6"/>
          <w:w w:val="99"/>
          <w:sz w:val="32"/>
          <w:szCs w:val="32"/>
        </w:rPr>
        <w:t>置。</w:t>
      </w:r>
    </w:p>
    <w:p w14:paraId="11D2CB0D">
      <w:pPr>
        <w:rPr>
          <w:sz w:val="20"/>
          <w:szCs w:val="32"/>
        </w:rPr>
      </w:pPr>
    </w:p>
    <w:p w14:paraId="5EC47695">
      <w:pPr>
        <w:rPr>
          <w:sz w:val="20"/>
          <w:szCs w:val="32"/>
        </w:rPr>
      </w:pPr>
    </w:p>
    <w:p w14:paraId="32060932">
      <w:pPr>
        <w:rPr>
          <w:sz w:val="20"/>
          <w:szCs w:val="32"/>
        </w:rPr>
      </w:pPr>
    </w:p>
    <w:p w14:paraId="2C9B9F8D">
      <w:pPr>
        <w:rPr>
          <w:sz w:val="20"/>
          <w:szCs w:val="32"/>
        </w:rPr>
      </w:pPr>
    </w:p>
    <w:p w14:paraId="6944BCA3">
      <w:pPr>
        <w:rPr>
          <w:sz w:val="20"/>
          <w:szCs w:val="32"/>
        </w:rPr>
      </w:pPr>
    </w:p>
    <w:p w14:paraId="0D059FF2">
      <w:pPr>
        <w:rPr>
          <w:sz w:val="20"/>
          <w:szCs w:val="32"/>
        </w:rPr>
      </w:pPr>
    </w:p>
    <w:p w14:paraId="2BD5BB84">
      <w:pPr>
        <w:rPr>
          <w:sz w:val="20"/>
          <w:szCs w:val="32"/>
        </w:rPr>
      </w:pPr>
    </w:p>
    <w:p w14:paraId="41877E0F">
      <w:pPr>
        <w:spacing w:before="4"/>
        <w:rPr>
          <w:sz w:val="28"/>
          <w:szCs w:val="32"/>
        </w:rPr>
      </w:pPr>
    </w:p>
    <w:p w14:paraId="05FBEDC1">
      <w:pPr>
        <w:spacing w:before="54"/>
        <w:ind w:left="2353" w:right="2422"/>
        <w:jc w:val="center"/>
        <w:rPr>
          <w:rFonts w:ascii="宋体" w:eastAsia="宋体"/>
          <w:b/>
          <w:sz w:val="32"/>
        </w:rPr>
      </w:pPr>
      <w:r>
        <w:rPr>
          <w:rFonts w:hint="eastAsia" w:ascii="宋体" w:eastAsia="宋体"/>
          <w:b/>
          <w:spacing w:val="14"/>
          <w:sz w:val="32"/>
        </w:rPr>
        <w:t>第三</w:t>
      </w:r>
      <w:r>
        <w:rPr>
          <w:rFonts w:hint="eastAsia" w:ascii="宋体" w:eastAsia="宋体"/>
          <w:b/>
          <w:spacing w:val="56"/>
          <w:sz w:val="32"/>
        </w:rPr>
        <w:t>节 深</w:t>
      </w:r>
      <w:r>
        <w:rPr>
          <w:rFonts w:hint="eastAsia" w:ascii="宋体" w:eastAsia="宋体"/>
          <w:b/>
          <w:spacing w:val="14"/>
          <w:sz w:val="32"/>
        </w:rPr>
        <w:t>入推</w:t>
      </w:r>
      <w:r>
        <w:rPr>
          <w:rFonts w:hint="eastAsia" w:ascii="宋体" w:eastAsia="宋体"/>
          <w:b/>
          <w:spacing w:val="12"/>
          <w:sz w:val="32"/>
        </w:rPr>
        <w:t>进</w:t>
      </w:r>
      <w:r>
        <w:rPr>
          <w:rFonts w:hint="eastAsia" w:ascii="宋体" w:eastAsia="宋体"/>
          <w:b/>
          <w:spacing w:val="14"/>
          <w:sz w:val="32"/>
        </w:rPr>
        <w:t>健康金凤建</w:t>
      </w:r>
      <w:r>
        <w:rPr>
          <w:rFonts w:hint="eastAsia" w:ascii="宋体" w:eastAsia="宋体"/>
          <w:b/>
          <w:spacing w:val="-10"/>
          <w:sz w:val="32"/>
        </w:rPr>
        <w:t>设</w:t>
      </w:r>
    </w:p>
    <w:p w14:paraId="2CDCB299">
      <w:pPr>
        <w:spacing w:before="2"/>
        <w:rPr>
          <w:rFonts w:ascii="宋体"/>
          <w:b/>
          <w:sz w:val="25"/>
          <w:szCs w:val="32"/>
        </w:rPr>
      </w:pPr>
    </w:p>
    <w:p w14:paraId="29BC54E0">
      <w:pPr>
        <w:spacing w:line="338" w:lineRule="auto"/>
        <w:ind w:left="213" w:right="283" w:firstLine="664"/>
        <w:jc w:val="both"/>
        <w:rPr>
          <w:sz w:val="32"/>
          <w:szCs w:val="32"/>
        </w:rPr>
      </w:pPr>
      <w:r>
        <w:rPr>
          <w:spacing w:val="11"/>
          <w:w w:val="99"/>
          <w:sz w:val="32"/>
          <w:szCs w:val="32"/>
        </w:rPr>
        <w:t>坚持“大卫生、大健康、大服务、大共享”理念，组织实</w:t>
      </w:r>
      <w:r>
        <w:rPr>
          <w:spacing w:val="9"/>
          <w:w w:val="99"/>
          <w:sz w:val="32"/>
          <w:szCs w:val="32"/>
        </w:rPr>
        <w:t>施健康宁夏、健康银川专项行动，服务方式从以治病为中心向</w:t>
      </w:r>
      <w:r>
        <w:rPr>
          <w:spacing w:val="11"/>
          <w:w w:val="99"/>
          <w:sz w:val="32"/>
          <w:szCs w:val="32"/>
        </w:rPr>
        <w:t>以健康为中心转变，使健康促进政策体系基本建立。</w:t>
      </w:r>
    </w:p>
    <w:p w14:paraId="3910DF2E">
      <w:pPr>
        <w:spacing w:line="399" w:lineRule="exact"/>
        <w:ind w:left="878"/>
        <w:rPr>
          <w:rFonts w:ascii="黑体" w:eastAsia="黑体"/>
          <w:sz w:val="32"/>
          <w:szCs w:val="32"/>
        </w:rPr>
      </w:pPr>
      <w:r>
        <w:rPr>
          <w:rFonts w:ascii="黑体" w:eastAsia="黑体"/>
          <w:spacing w:val="12"/>
          <w:w w:val="95"/>
          <w:sz w:val="32"/>
          <w:szCs w:val="32"/>
        </w:rPr>
        <w:t>一、优化</w:t>
      </w:r>
      <w:r>
        <w:rPr>
          <w:rFonts w:ascii="黑体" w:eastAsia="黑体"/>
          <w:spacing w:val="14"/>
          <w:w w:val="95"/>
          <w:sz w:val="32"/>
          <w:szCs w:val="32"/>
        </w:rPr>
        <w:t>医</w:t>
      </w:r>
      <w:r>
        <w:rPr>
          <w:rFonts w:ascii="黑体" w:eastAsia="黑体"/>
          <w:spacing w:val="12"/>
          <w:w w:val="95"/>
          <w:sz w:val="32"/>
          <w:szCs w:val="32"/>
        </w:rPr>
        <w:t>疗卫</w:t>
      </w:r>
      <w:r>
        <w:rPr>
          <w:rFonts w:ascii="黑体" w:eastAsia="黑体"/>
          <w:spacing w:val="14"/>
          <w:w w:val="95"/>
          <w:sz w:val="32"/>
          <w:szCs w:val="32"/>
        </w:rPr>
        <w:t>生</w:t>
      </w:r>
      <w:r>
        <w:rPr>
          <w:rFonts w:ascii="黑体" w:eastAsia="黑体"/>
          <w:spacing w:val="12"/>
          <w:w w:val="95"/>
          <w:sz w:val="32"/>
          <w:szCs w:val="32"/>
        </w:rPr>
        <w:t>服务</w:t>
      </w:r>
      <w:r>
        <w:rPr>
          <w:rFonts w:ascii="黑体" w:eastAsia="黑体"/>
          <w:spacing w:val="2"/>
          <w:w w:val="95"/>
          <w:sz w:val="32"/>
          <w:szCs w:val="32"/>
        </w:rPr>
        <w:t>体系</w:t>
      </w:r>
    </w:p>
    <w:p w14:paraId="574EBE54">
      <w:pPr>
        <w:spacing w:before="166" w:line="338" w:lineRule="auto"/>
        <w:ind w:left="213" w:right="278" w:firstLine="664"/>
        <w:jc w:val="both"/>
        <w:rPr>
          <w:sz w:val="32"/>
          <w:szCs w:val="32"/>
        </w:rPr>
      </w:pPr>
      <w:r>
        <w:rPr>
          <w:spacing w:val="9"/>
          <w:w w:val="99"/>
          <w:sz w:val="32"/>
          <w:szCs w:val="32"/>
        </w:rPr>
        <w:t>着手推进“金凤区医疗卫生资源—社区卫生服务中心—卫</w:t>
      </w:r>
      <w:r>
        <w:rPr>
          <w:spacing w:val="11"/>
          <w:w w:val="99"/>
          <w:sz w:val="32"/>
          <w:szCs w:val="32"/>
        </w:rPr>
        <w:t>生服务站”纵向贯通、体系健全的城市社区卫生三级网建设，</w:t>
      </w:r>
      <w:r>
        <w:rPr>
          <w:spacing w:val="14"/>
          <w:w w:val="99"/>
          <w:sz w:val="32"/>
          <w:szCs w:val="32"/>
        </w:rPr>
        <w:t>着力构建均衡协调、一体高效的“</w:t>
      </w:r>
      <w:r>
        <w:rPr>
          <w:rFonts w:ascii="Times New Roman" w:hAnsi="Times New Roman" w:eastAsia="Times New Roman"/>
          <w:spacing w:val="3"/>
          <w:w w:val="99"/>
          <w:sz w:val="32"/>
          <w:szCs w:val="32"/>
        </w:rPr>
        <w:t>1</w:t>
      </w:r>
      <w:r>
        <w:rPr>
          <w:rFonts w:ascii="Times New Roman" w:hAnsi="Times New Roman" w:eastAsia="Times New Roman"/>
          <w:w w:val="99"/>
          <w:sz w:val="32"/>
          <w:szCs w:val="32"/>
        </w:rPr>
        <w:t>5</w:t>
      </w:r>
      <w:r>
        <w:rPr>
          <w:rFonts w:ascii="Times New Roman" w:hAnsi="Times New Roman" w:eastAsia="Times New Roman"/>
          <w:spacing w:val="17"/>
          <w:sz w:val="32"/>
          <w:szCs w:val="32"/>
        </w:rPr>
        <w:t xml:space="preserve"> </w:t>
      </w:r>
      <w:r>
        <w:rPr>
          <w:spacing w:val="11"/>
          <w:w w:val="99"/>
          <w:sz w:val="32"/>
          <w:szCs w:val="32"/>
        </w:rPr>
        <w:t>分钟健康服务圈”,全民</w:t>
      </w:r>
      <w:r>
        <w:rPr>
          <w:spacing w:val="10"/>
          <w:w w:val="99"/>
          <w:sz w:val="32"/>
          <w:szCs w:val="32"/>
        </w:rPr>
        <w:t>健康素养水平稳步提高。</w:t>
      </w:r>
    </w:p>
    <w:p w14:paraId="02E87576">
      <w:pPr>
        <w:spacing w:before="8" w:line="338" w:lineRule="auto"/>
        <w:ind w:left="213" w:right="283" w:firstLine="664"/>
        <w:rPr>
          <w:sz w:val="32"/>
        </w:rPr>
      </w:pPr>
      <w:r>
        <w:rPr>
          <w:b/>
          <w:spacing w:val="3"/>
          <w:w w:val="99"/>
          <w:sz w:val="32"/>
        </w:rPr>
        <w:t>补齐基础设施短板弱项。</w:t>
      </w:r>
      <w:r>
        <w:rPr>
          <w:spacing w:val="12"/>
          <w:w w:val="99"/>
          <w:sz w:val="32"/>
        </w:rPr>
        <w:t>统筹卫生资源分配</w:t>
      </w:r>
      <w:r>
        <w:rPr>
          <w:rFonts w:ascii="Times New Roman" w:eastAsia="Times New Roman"/>
          <w:spacing w:val="4"/>
          <w:w w:val="99"/>
          <w:sz w:val="32"/>
        </w:rPr>
        <w:t>,</w:t>
      </w:r>
      <w:r>
        <w:rPr>
          <w:spacing w:val="10"/>
          <w:w w:val="99"/>
          <w:sz w:val="32"/>
        </w:rPr>
        <w:t>重点向基层倾斜、向社区倾斜、向公共卫生倾斜，建立资源布局均衡、运转</w:t>
      </w:r>
    </w:p>
    <w:p w14:paraId="5F761C48">
      <w:pPr>
        <w:spacing w:line="338" w:lineRule="auto"/>
        <w:rPr>
          <w:sz w:val="32"/>
        </w:rPr>
        <w:sectPr>
          <w:pgSz w:w="11910" w:h="16840"/>
          <w:pgMar w:top="1800" w:right="1200" w:bottom="1160" w:left="1260" w:header="0" w:footer="975" w:gutter="0"/>
          <w:cols w:space="720" w:num="1"/>
        </w:sectPr>
      </w:pPr>
    </w:p>
    <w:p w14:paraId="2752B2A4">
      <w:pPr>
        <w:spacing w:before="28" w:line="338" w:lineRule="auto"/>
        <w:ind w:left="213" w:right="126"/>
        <w:rPr>
          <w:sz w:val="32"/>
          <w:szCs w:val="32"/>
        </w:rPr>
      </w:pPr>
      <w:r>
        <w:rPr>
          <w:spacing w:val="11"/>
          <w:w w:val="99"/>
          <w:sz w:val="32"/>
          <w:szCs w:val="32"/>
        </w:rPr>
        <w:t>高效顺畅、服务便捷优质的基层公共卫生服务体系运行模式，</w:t>
      </w:r>
      <w:r>
        <w:rPr>
          <w:spacing w:val="23"/>
          <w:w w:val="99"/>
          <w:sz w:val="32"/>
          <w:szCs w:val="32"/>
        </w:rPr>
        <w:t>达到一个街道办事处至少设置一个社区卫生服务中心，两个镇均有一个完全公益性的镇卫生院。新改扩建良田、丰登社区医院，打造金凤区南北部区域医疗健康服务中心；补建北京中路街道社区卫生服务中心以及高桥、五里台、平伏桥等</w:t>
      </w:r>
      <w:r>
        <w:rPr>
          <w:spacing w:val="10"/>
          <w:w w:val="99"/>
          <w:sz w:val="32"/>
          <w:szCs w:val="32"/>
        </w:rPr>
        <w:t>社区卫生服务站；加快妇幼保健计划生育服务中心筹建进度，</w:t>
      </w:r>
      <w:r>
        <w:rPr>
          <w:spacing w:val="23"/>
          <w:w w:val="99"/>
          <w:sz w:val="32"/>
          <w:szCs w:val="32"/>
        </w:rPr>
        <w:t>启动实施母婴安全行动计划和妇幼健康重大公共卫生项目；构建区域紧密性医联体，建立由上级医疗机构牵头的健康集团，金凤区妇幼保健计划生育服务中心、金凤区疾病预防控</w:t>
      </w:r>
      <w:r>
        <w:rPr>
          <w:spacing w:val="24"/>
          <w:w w:val="99"/>
          <w:sz w:val="32"/>
          <w:szCs w:val="32"/>
        </w:rPr>
        <w:t>制中心、两镇卫生院和社区卫生服务中心（</w:t>
      </w:r>
      <w:r>
        <w:rPr>
          <w:spacing w:val="26"/>
          <w:w w:val="99"/>
          <w:sz w:val="32"/>
          <w:szCs w:val="32"/>
        </w:rPr>
        <w:t>站）</w:t>
      </w:r>
      <w:r>
        <w:rPr>
          <w:spacing w:val="19"/>
          <w:w w:val="99"/>
          <w:sz w:val="32"/>
          <w:szCs w:val="32"/>
        </w:rPr>
        <w:t>为成员的医</w:t>
      </w:r>
      <w:r>
        <w:rPr>
          <w:spacing w:val="20"/>
          <w:w w:val="99"/>
          <w:sz w:val="32"/>
          <w:szCs w:val="32"/>
        </w:rPr>
        <w:t>疗健康集团，填补金凤区无县级医疗机构的空白。</w:t>
      </w:r>
    </w:p>
    <w:p w14:paraId="2A9BF7F3">
      <w:pPr>
        <w:spacing w:before="20" w:line="338" w:lineRule="auto"/>
        <w:ind w:left="213" w:right="293" w:firstLine="684"/>
        <w:jc w:val="both"/>
        <w:rPr>
          <w:sz w:val="32"/>
          <w:szCs w:val="32"/>
        </w:rPr>
      </w:pPr>
      <w:r>
        <w:rPr>
          <w:b/>
          <w:spacing w:val="26"/>
          <w:w w:val="99"/>
          <w:sz w:val="32"/>
          <w:szCs w:val="32"/>
        </w:rPr>
        <w:t>提升基本医疗卫生服务。</w:t>
      </w:r>
      <w:r>
        <w:rPr>
          <w:spacing w:val="22"/>
          <w:w w:val="99"/>
          <w:sz w:val="32"/>
          <w:szCs w:val="32"/>
        </w:rPr>
        <w:t>基层公共卫生设施保障。逐步</w:t>
      </w:r>
      <w:r>
        <w:rPr>
          <w:spacing w:val="23"/>
          <w:w w:val="99"/>
          <w:sz w:val="32"/>
          <w:szCs w:val="32"/>
        </w:rPr>
        <w:t>改造和新建基层医疗卫生机构，完善乡镇卫生院、村卫生室</w:t>
      </w:r>
      <w:r>
        <w:rPr>
          <w:spacing w:val="24"/>
          <w:w w:val="99"/>
          <w:sz w:val="32"/>
          <w:szCs w:val="32"/>
        </w:rPr>
        <w:t>和社区卫生服务中心</w:t>
      </w:r>
      <w:r>
        <w:rPr>
          <w:spacing w:val="26"/>
          <w:w w:val="99"/>
          <w:sz w:val="32"/>
          <w:szCs w:val="32"/>
        </w:rPr>
        <w:t>（站</w:t>
      </w:r>
      <w:r>
        <w:rPr>
          <w:spacing w:val="24"/>
          <w:w w:val="99"/>
          <w:sz w:val="32"/>
          <w:szCs w:val="32"/>
        </w:rPr>
        <w:t>）</w:t>
      </w:r>
      <w:r>
        <w:rPr>
          <w:spacing w:val="22"/>
          <w:w w:val="99"/>
          <w:sz w:val="32"/>
          <w:szCs w:val="32"/>
        </w:rPr>
        <w:t>业务用房和基本医疗设备配置，</w:t>
      </w:r>
      <w:r>
        <w:rPr>
          <w:spacing w:val="23"/>
          <w:w w:val="99"/>
          <w:sz w:val="32"/>
          <w:szCs w:val="32"/>
        </w:rPr>
        <w:t>加快推进乡村一体化建设和城市社区卫生服务机构标准化建设。进一步优化机构规划设置，加强基层医疗卫生机构标准化建设。完善卫生人才保障，采取下来一批、返聘一批、招聘一批、培养一批“四个一批”迅速改变基层医疗卫生机构人才匮乏的现状，完善卫生人才保障。加强基层人才培训，</w:t>
      </w:r>
      <w:r>
        <w:rPr>
          <w:spacing w:val="24"/>
          <w:w w:val="99"/>
          <w:sz w:val="32"/>
          <w:szCs w:val="32"/>
        </w:rPr>
        <w:t>加大人才引进力度，优化社区（</w:t>
      </w:r>
      <w:r>
        <w:rPr>
          <w:spacing w:val="26"/>
          <w:w w:val="99"/>
          <w:sz w:val="32"/>
          <w:szCs w:val="32"/>
        </w:rPr>
        <w:t>村）</w:t>
      </w:r>
      <w:r>
        <w:rPr>
          <w:spacing w:val="21"/>
          <w:w w:val="99"/>
          <w:sz w:val="32"/>
          <w:szCs w:val="32"/>
        </w:rPr>
        <w:t>医生队伍。以常见病、</w:t>
      </w:r>
      <w:r>
        <w:rPr>
          <w:spacing w:val="23"/>
          <w:w w:val="99"/>
          <w:sz w:val="32"/>
          <w:szCs w:val="32"/>
        </w:rPr>
        <w:t>多发病诊疗、基本公共卫生服务、健康管理为重点，加强基本医疗卫生服务能力建设，优化服务方式，提升服务水平。开展特色科室建设，鼓励家庭医生开展特色服务项目，提升</w:t>
      </w:r>
    </w:p>
    <w:p w14:paraId="5B3D4C87">
      <w:pPr>
        <w:spacing w:line="338" w:lineRule="auto"/>
        <w:jc w:val="both"/>
        <w:sectPr>
          <w:pgSz w:w="11910" w:h="16840"/>
          <w:pgMar w:top="1800" w:right="1200" w:bottom="1160" w:left="1260" w:header="0" w:footer="975" w:gutter="0"/>
          <w:cols w:space="720" w:num="1"/>
        </w:sectPr>
      </w:pPr>
    </w:p>
    <w:p w14:paraId="2BFC34CF">
      <w:pPr>
        <w:spacing w:before="28"/>
        <w:ind w:left="213"/>
        <w:rPr>
          <w:sz w:val="32"/>
          <w:szCs w:val="32"/>
        </w:rPr>
      </w:pPr>
      <w:r>
        <w:rPr>
          <w:spacing w:val="18"/>
          <w:w w:val="95"/>
          <w:sz w:val="32"/>
          <w:szCs w:val="32"/>
        </w:rPr>
        <w:t>家医签约服务质量和服务效果。</w:t>
      </w:r>
    </w:p>
    <w:p w14:paraId="0582B388">
      <w:pPr>
        <w:spacing w:before="170" w:line="338" w:lineRule="auto"/>
        <w:ind w:left="213" w:right="293" w:firstLine="684"/>
        <w:jc w:val="both"/>
        <w:rPr>
          <w:sz w:val="32"/>
          <w:szCs w:val="32"/>
        </w:rPr>
      </w:pPr>
      <w:r>
        <w:rPr>
          <w:b/>
          <w:spacing w:val="26"/>
          <w:w w:val="99"/>
          <w:sz w:val="32"/>
          <w:szCs w:val="32"/>
        </w:rPr>
        <w:t>鼓励社会力量参与办医。</w:t>
      </w:r>
      <w:r>
        <w:rPr>
          <w:spacing w:val="22"/>
          <w:w w:val="99"/>
          <w:sz w:val="32"/>
          <w:szCs w:val="32"/>
        </w:rPr>
        <w:t>促进非公立医疗卫生服务机构</w:t>
      </w:r>
      <w:r>
        <w:rPr>
          <w:spacing w:val="23"/>
          <w:w w:val="99"/>
          <w:sz w:val="32"/>
          <w:szCs w:val="32"/>
        </w:rPr>
        <w:t>发展，落实社区诊所等小型医疗机构享受小微企业税收优惠政策，引导康复医疗、健康护理、健康体检等健康机构连锁化、集团化运营。推进中医药传承创新发展，建立健全社会医疗机构从业人员培训机制，巩固提升全国基层中医药工作</w:t>
      </w:r>
      <w:r>
        <w:rPr>
          <w:spacing w:val="19"/>
          <w:w w:val="99"/>
          <w:sz w:val="32"/>
          <w:szCs w:val="32"/>
        </w:rPr>
        <w:t>先进单位服务能力建设。</w:t>
      </w:r>
    </w:p>
    <w:p w14:paraId="022E2314">
      <w:pPr>
        <w:spacing w:before="12" w:line="338" w:lineRule="auto"/>
        <w:ind w:left="213" w:right="126" w:firstLine="684"/>
        <w:rPr>
          <w:sz w:val="32"/>
          <w:szCs w:val="32"/>
        </w:rPr>
      </w:pPr>
      <w:r>
        <w:rPr>
          <w:b/>
          <w:spacing w:val="24"/>
          <w:w w:val="99"/>
          <w:sz w:val="32"/>
          <w:szCs w:val="32"/>
        </w:rPr>
        <w:t>加快发展互联网</w:t>
      </w:r>
      <w:r>
        <w:rPr>
          <w:rFonts w:ascii="Times New Roman" w:hAnsi="Times New Roman" w:eastAsia="Times New Roman"/>
          <w:b/>
          <w:spacing w:val="10"/>
          <w:w w:val="99"/>
          <w:sz w:val="32"/>
          <w:szCs w:val="32"/>
        </w:rPr>
        <w:t>+</w:t>
      </w:r>
      <w:r>
        <w:rPr>
          <w:b/>
          <w:spacing w:val="9"/>
          <w:w w:val="99"/>
          <w:sz w:val="32"/>
          <w:szCs w:val="32"/>
        </w:rPr>
        <w:t>医疗健康。</w:t>
      </w:r>
      <w:r>
        <w:rPr>
          <w:spacing w:val="12"/>
          <w:w w:val="99"/>
          <w:sz w:val="32"/>
          <w:szCs w:val="32"/>
        </w:rPr>
        <w:t>持续提升基层网络建设，依</w:t>
      </w:r>
      <w:r>
        <w:rPr>
          <w:spacing w:val="23"/>
          <w:w w:val="99"/>
          <w:sz w:val="32"/>
          <w:szCs w:val="32"/>
        </w:rPr>
        <w:t>托自治区“卫生云”和“智慧医疗”项目建设，搭建互联网</w:t>
      </w:r>
      <w:r>
        <w:rPr>
          <w:spacing w:val="19"/>
          <w:w w:val="99"/>
          <w:sz w:val="32"/>
          <w:szCs w:val="32"/>
        </w:rPr>
        <w:t>云平台，发展“互联网+医疗”服务。大力推进互联网医院、</w:t>
      </w:r>
      <w:r>
        <w:rPr>
          <w:spacing w:val="23"/>
          <w:w w:val="99"/>
          <w:sz w:val="32"/>
          <w:szCs w:val="32"/>
        </w:rPr>
        <w:t>互联网健康咨询、网上预约分诊、健康移动终端应用，建立互联网在线医疗服务新模式。加强互联网便民服务体系、线上门诊体系、远程诊断体系、慢病服务体系建设，丰富便民服务内容，扩大远程诊断覆盖面，继续优化居民就医全流程服务，为群众提供全方位、多层次的健康服务。建设人口健康信息服务体系、电子病历、电子健康档案和综合管理资源</w:t>
      </w:r>
      <w:r>
        <w:rPr>
          <w:spacing w:val="11"/>
          <w:w w:val="99"/>
          <w:sz w:val="32"/>
          <w:szCs w:val="32"/>
        </w:rPr>
        <w:t>数据库，实现区域内卫生业务信息、人口健康信息互联互通，推进数据采集、信息共享和业务协同。普及应用居民健康卡，</w:t>
      </w:r>
      <w:r>
        <w:rPr>
          <w:spacing w:val="23"/>
          <w:w w:val="99"/>
          <w:sz w:val="32"/>
          <w:szCs w:val="32"/>
        </w:rPr>
        <w:t>逐步建立人口信息、健康信息、就诊信息跨机构、跨区域、</w:t>
      </w:r>
      <w:r>
        <w:rPr>
          <w:spacing w:val="-3"/>
          <w:w w:val="99"/>
          <w:sz w:val="32"/>
          <w:szCs w:val="32"/>
        </w:rPr>
        <w:t>跨业务的共享机制，发展远程医疗服务，实现就医“一卡通”。</w:t>
      </w:r>
    </w:p>
    <w:p w14:paraId="3F04725C">
      <w:pPr>
        <w:spacing w:before="8"/>
        <w:ind w:left="897"/>
        <w:rPr>
          <w:rFonts w:ascii="黑体" w:eastAsia="黑体"/>
          <w:sz w:val="32"/>
          <w:szCs w:val="32"/>
        </w:rPr>
      </w:pPr>
      <w:r>
        <w:rPr>
          <w:rFonts w:ascii="黑体" w:eastAsia="黑体"/>
          <w:spacing w:val="18"/>
          <w:w w:val="95"/>
          <w:sz w:val="32"/>
          <w:szCs w:val="32"/>
        </w:rPr>
        <w:t>二、改善重点人群健康状况</w:t>
      </w:r>
    </w:p>
    <w:p w14:paraId="28A400D4">
      <w:pPr>
        <w:spacing w:before="166" w:line="338" w:lineRule="auto"/>
        <w:ind w:left="213" w:right="293" w:firstLine="684"/>
        <w:rPr>
          <w:sz w:val="32"/>
        </w:rPr>
      </w:pPr>
      <w:r>
        <w:rPr>
          <w:b/>
          <w:spacing w:val="26"/>
          <w:w w:val="99"/>
          <w:sz w:val="32"/>
        </w:rPr>
        <w:t>全面提升疾病防治素养。</w:t>
      </w:r>
      <w:r>
        <w:rPr>
          <w:spacing w:val="22"/>
          <w:w w:val="99"/>
          <w:sz w:val="32"/>
        </w:rPr>
        <w:t>巩固全国慢性病综合防控示范</w:t>
      </w:r>
      <w:r>
        <w:rPr>
          <w:spacing w:val="23"/>
          <w:w w:val="99"/>
          <w:sz w:val="32"/>
        </w:rPr>
        <w:t>区创建成果，加强慢性病管理，推进高血压、糖尿病、高脂</w:t>
      </w:r>
    </w:p>
    <w:p w14:paraId="351D00AA">
      <w:pPr>
        <w:spacing w:line="338" w:lineRule="auto"/>
        <w:rPr>
          <w:sz w:val="32"/>
        </w:rPr>
        <w:sectPr>
          <w:pgSz w:w="11910" w:h="16840"/>
          <w:pgMar w:top="1800" w:right="1200" w:bottom="1160" w:left="1260" w:header="0" w:footer="975" w:gutter="0"/>
          <w:cols w:space="720" w:num="1"/>
        </w:sectPr>
      </w:pPr>
    </w:p>
    <w:p w14:paraId="12343BEE">
      <w:pPr>
        <w:spacing w:before="28" w:line="340" w:lineRule="auto"/>
        <w:ind w:left="213" w:right="126"/>
        <w:rPr>
          <w:sz w:val="32"/>
          <w:szCs w:val="32"/>
        </w:rPr>
      </w:pPr>
      <w:r>
        <w:rPr>
          <w:spacing w:val="11"/>
          <w:w w:val="99"/>
          <w:sz w:val="32"/>
          <w:szCs w:val="32"/>
        </w:rPr>
        <w:t>血症的分级诊疗制度，实现全流程健康管理。心脑血管疾病、</w:t>
      </w:r>
      <w:r>
        <w:rPr>
          <w:spacing w:val="23"/>
          <w:w w:val="99"/>
          <w:sz w:val="32"/>
          <w:szCs w:val="32"/>
        </w:rPr>
        <w:t>癌症、呼吸系统疾病、糖尿病、重大慢性发病率上升趋势得到遏制，重点传染病、严重精神障碍、地方病、职业病得到有效防控，致残和死亡风险逐步降低，重点人群健康状况显</w:t>
      </w:r>
      <w:r>
        <w:rPr>
          <w:spacing w:val="15"/>
          <w:w w:val="99"/>
          <w:sz w:val="32"/>
          <w:szCs w:val="32"/>
        </w:rPr>
        <w:t>著改善。</w:t>
      </w:r>
    </w:p>
    <w:p w14:paraId="78EBD0AE">
      <w:pPr>
        <w:spacing w:line="340" w:lineRule="auto"/>
        <w:ind w:left="213" w:right="293" w:firstLine="684"/>
        <w:rPr>
          <w:sz w:val="32"/>
        </w:rPr>
      </w:pPr>
      <w:r>
        <w:rPr>
          <w:b/>
          <w:spacing w:val="26"/>
          <w:w w:val="99"/>
          <w:sz w:val="32"/>
        </w:rPr>
        <w:t>完善妇幼健康服务体系。</w:t>
      </w:r>
      <w:r>
        <w:rPr>
          <w:spacing w:val="22"/>
          <w:w w:val="99"/>
          <w:sz w:val="32"/>
        </w:rPr>
        <w:t>加强妇幼保健机构基础设施建</w:t>
      </w:r>
      <w:r>
        <w:rPr>
          <w:spacing w:val="21"/>
          <w:w w:val="99"/>
          <w:sz w:val="32"/>
        </w:rPr>
        <w:t>设，确保辖区建设</w:t>
      </w:r>
      <w:r>
        <w:rPr>
          <w:spacing w:val="-50"/>
          <w:sz w:val="32"/>
        </w:rPr>
        <w:t xml:space="preserve"> </w:t>
      </w:r>
      <w:r>
        <w:rPr>
          <w:rFonts w:ascii="Calibri" w:eastAsia="Calibri"/>
          <w:w w:val="99"/>
          <w:sz w:val="32"/>
        </w:rPr>
        <w:t>1</w:t>
      </w:r>
      <w:r>
        <w:rPr>
          <w:rFonts w:ascii="Calibri" w:eastAsia="Calibri"/>
          <w:spacing w:val="27"/>
          <w:sz w:val="32"/>
        </w:rPr>
        <w:t xml:space="preserve"> </w:t>
      </w:r>
      <w:r>
        <w:rPr>
          <w:spacing w:val="22"/>
          <w:w w:val="99"/>
          <w:sz w:val="32"/>
        </w:rPr>
        <w:t>所标准化妇幼保健机构，推动建设孕妇</w:t>
      </w:r>
    </w:p>
    <w:p w14:paraId="09B19E66">
      <w:pPr>
        <w:spacing w:line="338" w:lineRule="auto"/>
        <w:ind w:left="213" w:right="126"/>
        <w:rPr>
          <w:sz w:val="32"/>
          <w:szCs w:val="32"/>
        </w:rPr>
      </w:pPr>
      <w:r>
        <w:rPr>
          <w:spacing w:val="22"/>
          <w:w w:val="99"/>
          <w:sz w:val="32"/>
          <w:szCs w:val="32"/>
        </w:rPr>
        <w:t>休息室、母婴室等设施，提升</w:t>
      </w:r>
      <w:r>
        <w:rPr>
          <w:spacing w:val="-50"/>
          <w:sz w:val="32"/>
          <w:szCs w:val="32"/>
        </w:rPr>
        <w:t xml:space="preserve"> </w:t>
      </w:r>
      <w:r>
        <w:rPr>
          <w:rFonts w:ascii="Calibri" w:hAnsi="Calibri" w:eastAsia="Calibri"/>
          <w:w w:val="99"/>
          <w:sz w:val="32"/>
          <w:szCs w:val="32"/>
        </w:rPr>
        <w:t>3</w:t>
      </w:r>
      <w:r>
        <w:rPr>
          <w:rFonts w:ascii="Calibri" w:hAnsi="Calibri" w:eastAsia="Calibri"/>
          <w:spacing w:val="27"/>
          <w:sz w:val="32"/>
          <w:szCs w:val="32"/>
        </w:rPr>
        <w:t xml:space="preserve"> </w:t>
      </w:r>
      <w:r>
        <w:rPr>
          <w:spacing w:val="22"/>
          <w:w w:val="99"/>
          <w:sz w:val="32"/>
          <w:szCs w:val="32"/>
        </w:rPr>
        <w:t>岁以下婴幼儿照护服务。提</w:t>
      </w:r>
      <w:r>
        <w:rPr>
          <w:spacing w:val="36"/>
          <w:w w:val="99"/>
          <w:sz w:val="32"/>
          <w:szCs w:val="32"/>
        </w:rPr>
        <w:t>倡适龄人群主动学习掌握出生缺陷防治和儿童早期发展知</w:t>
      </w:r>
      <w:r>
        <w:rPr>
          <w:spacing w:val="10"/>
          <w:w w:val="99"/>
          <w:sz w:val="32"/>
          <w:szCs w:val="32"/>
        </w:rPr>
        <w:t>识，主动接受婚前医学检查、孕前优生健康检查和产前检查。</w:t>
      </w:r>
      <w:r>
        <w:rPr>
          <w:spacing w:val="23"/>
          <w:w w:val="99"/>
          <w:sz w:val="32"/>
          <w:szCs w:val="32"/>
        </w:rPr>
        <w:t>提高出生缺陷综合防治服务能力，加强高危孕产妇管理，加强出生缺陷儿童的疾病筛查和救治，做好儿童健康管理，加</w:t>
      </w:r>
      <w:r>
        <w:rPr>
          <w:spacing w:val="21"/>
          <w:w w:val="99"/>
          <w:sz w:val="32"/>
          <w:szCs w:val="32"/>
        </w:rPr>
        <w:t>强贫困地区妇女儿童重点疾病管理</w:t>
      </w:r>
      <w:r>
        <w:rPr>
          <w:spacing w:val="-6"/>
          <w:w w:val="99"/>
          <w:sz w:val="32"/>
          <w:szCs w:val="32"/>
        </w:rPr>
        <w:t>。“十四五”期间，婴儿死</w:t>
      </w:r>
      <w:r>
        <w:rPr>
          <w:spacing w:val="16"/>
          <w:w w:val="99"/>
          <w:sz w:val="32"/>
          <w:szCs w:val="32"/>
        </w:rPr>
        <w:t>亡率控制在</w:t>
      </w:r>
      <w:r>
        <w:rPr>
          <w:spacing w:val="-52"/>
          <w:sz w:val="32"/>
          <w:szCs w:val="32"/>
        </w:rPr>
        <w:t xml:space="preserve"> </w:t>
      </w:r>
      <w:r>
        <w:rPr>
          <w:rFonts w:ascii="Calibri" w:hAnsi="Calibri" w:eastAsia="Calibri"/>
          <w:spacing w:val="8"/>
          <w:w w:val="99"/>
          <w:sz w:val="32"/>
          <w:szCs w:val="32"/>
        </w:rPr>
        <w:t>4</w:t>
      </w:r>
      <w:r>
        <w:rPr>
          <w:rFonts w:ascii="Calibri" w:hAnsi="Calibri" w:eastAsia="Calibri"/>
          <w:spacing w:val="10"/>
          <w:w w:val="99"/>
          <w:sz w:val="32"/>
          <w:szCs w:val="32"/>
        </w:rPr>
        <w:t>.</w:t>
      </w:r>
      <w:r>
        <w:rPr>
          <w:rFonts w:ascii="Calibri" w:hAnsi="Calibri" w:eastAsia="Calibri"/>
          <w:spacing w:val="15"/>
          <w:w w:val="99"/>
          <w:sz w:val="32"/>
          <w:szCs w:val="32"/>
        </w:rPr>
        <w:t>5</w:t>
      </w:r>
      <w:r>
        <w:rPr>
          <w:rFonts w:ascii="Calibri" w:hAnsi="Calibri" w:eastAsia="Calibri"/>
          <w:spacing w:val="12"/>
          <w:w w:val="99"/>
          <w:sz w:val="32"/>
          <w:szCs w:val="32"/>
        </w:rPr>
        <w:t>‰</w:t>
      </w:r>
      <w:r>
        <w:rPr>
          <w:spacing w:val="15"/>
          <w:w w:val="99"/>
          <w:sz w:val="32"/>
          <w:szCs w:val="32"/>
        </w:rPr>
        <w:t>以下，</w:t>
      </w:r>
      <w:r>
        <w:rPr>
          <w:rFonts w:ascii="Calibri" w:hAnsi="Calibri" w:eastAsia="Calibri"/>
          <w:w w:val="99"/>
          <w:sz w:val="32"/>
          <w:szCs w:val="32"/>
        </w:rPr>
        <w:t>7</w:t>
      </w:r>
      <w:r>
        <w:rPr>
          <w:rFonts w:ascii="Calibri" w:hAnsi="Calibri" w:eastAsia="Calibri"/>
          <w:spacing w:val="25"/>
          <w:sz w:val="32"/>
          <w:szCs w:val="32"/>
        </w:rPr>
        <w:t xml:space="preserve"> </w:t>
      </w:r>
      <w:r>
        <w:rPr>
          <w:spacing w:val="19"/>
          <w:w w:val="99"/>
          <w:sz w:val="32"/>
          <w:szCs w:val="32"/>
        </w:rPr>
        <w:t>岁以下儿童健康管理率达到</w:t>
      </w:r>
      <w:r>
        <w:rPr>
          <w:spacing w:val="-50"/>
          <w:sz w:val="32"/>
          <w:szCs w:val="32"/>
        </w:rPr>
        <w:t xml:space="preserve"> </w:t>
      </w:r>
      <w:r>
        <w:rPr>
          <w:rFonts w:ascii="Calibri" w:hAnsi="Calibri" w:eastAsia="Calibri"/>
          <w:spacing w:val="6"/>
          <w:w w:val="99"/>
          <w:sz w:val="32"/>
          <w:szCs w:val="32"/>
        </w:rPr>
        <w:t>9</w:t>
      </w:r>
      <w:r>
        <w:rPr>
          <w:rFonts w:ascii="Calibri" w:hAnsi="Calibri" w:eastAsia="Calibri"/>
          <w:spacing w:val="11"/>
          <w:w w:val="99"/>
          <w:sz w:val="32"/>
          <w:szCs w:val="32"/>
        </w:rPr>
        <w:t>6</w:t>
      </w:r>
      <w:r>
        <w:rPr>
          <w:rFonts w:ascii="Calibri" w:hAnsi="Calibri" w:eastAsia="Calibri"/>
          <w:spacing w:val="16"/>
          <w:w w:val="99"/>
          <w:sz w:val="32"/>
          <w:szCs w:val="32"/>
        </w:rPr>
        <w:t>%</w:t>
      </w:r>
      <w:r>
        <w:rPr>
          <w:w w:val="99"/>
          <w:sz w:val="32"/>
          <w:szCs w:val="32"/>
        </w:rPr>
        <w:t>以</w:t>
      </w:r>
      <w:r>
        <w:rPr>
          <w:spacing w:val="23"/>
          <w:w w:val="99"/>
          <w:sz w:val="32"/>
          <w:szCs w:val="32"/>
        </w:rPr>
        <w:t>上，农村适龄妇女宫颈癌和乳腺癌筛查覆盖率分别达到</w:t>
      </w:r>
      <w:r>
        <w:rPr>
          <w:spacing w:val="-47"/>
          <w:sz w:val="32"/>
          <w:szCs w:val="32"/>
        </w:rPr>
        <w:t xml:space="preserve"> </w:t>
      </w:r>
      <w:r>
        <w:rPr>
          <w:rFonts w:ascii="Calibri" w:hAnsi="Calibri" w:eastAsia="Calibri"/>
          <w:spacing w:val="8"/>
          <w:w w:val="99"/>
          <w:sz w:val="32"/>
          <w:szCs w:val="32"/>
        </w:rPr>
        <w:t>8</w:t>
      </w:r>
      <w:r>
        <w:rPr>
          <w:rFonts w:ascii="Calibri" w:hAnsi="Calibri" w:eastAsia="Calibri"/>
          <w:spacing w:val="11"/>
          <w:w w:val="99"/>
          <w:sz w:val="32"/>
          <w:szCs w:val="32"/>
        </w:rPr>
        <w:t>0</w:t>
      </w:r>
      <w:r>
        <w:rPr>
          <w:rFonts w:ascii="Calibri" w:hAnsi="Calibri" w:eastAsia="Calibri"/>
          <w:w w:val="99"/>
          <w:sz w:val="32"/>
          <w:szCs w:val="32"/>
        </w:rPr>
        <w:t>%</w:t>
      </w:r>
      <w:r>
        <w:rPr>
          <w:w w:val="99"/>
          <w:sz w:val="32"/>
          <w:szCs w:val="32"/>
        </w:rPr>
        <w:t>和</w:t>
      </w:r>
      <w:r>
        <w:rPr>
          <w:spacing w:val="-52"/>
          <w:sz w:val="32"/>
          <w:szCs w:val="32"/>
        </w:rPr>
        <w:t xml:space="preserve"> </w:t>
      </w:r>
      <w:r>
        <w:rPr>
          <w:rFonts w:ascii="Calibri" w:hAnsi="Calibri" w:eastAsia="Calibri"/>
          <w:spacing w:val="8"/>
          <w:w w:val="99"/>
          <w:sz w:val="32"/>
          <w:szCs w:val="32"/>
        </w:rPr>
        <w:t>9</w:t>
      </w:r>
      <w:r>
        <w:rPr>
          <w:rFonts w:ascii="Calibri" w:hAnsi="Calibri" w:eastAsia="Calibri"/>
          <w:spacing w:val="11"/>
          <w:w w:val="99"/>
          <w:sz w:val="32"/>
          <w:szCs w:val="32"/>
        </w:rPr>
        <w:t>0</w:t>
      </w:r>
      <w:r>
        <w:rPr>
          <w:rFonts w:ascii="Calibri" w:hAnsi="Calibri" w:eastAsia="Calibri"/>
          <w:spacing w:val="14"/>
          <w:w w:val="99"/>
          <w:sz w:val="32"/>
          <w:szCs w:val="32"/>
        </w:rPr>
        <w:t>%</w:t>
      </w:r>
      <w:r>
        <w:rPr>
          <w:spacing w:val="14"/>
          <w:w w:val="99"/>
          <w:sz w:val="32"/>
          <w:szCs w:val="32"/>
        </w:rPr>
        <w:t>以上。</w:t>
      </w:r>
    </w:p>
    <w:p w14:paraId="7E1653D7">
      <w:pPr>
        <w:spacing w:before="2" w:line="338" w:lineRule="auto"/>
        <w:ind w:left="213" w:right="293" w:firstLine="684"/>
        <w:jc w:val="both"/>
        <w:rPr>
          <w:sz w:val="32"/>
          <w:szCs w:val="32"/>
        </w:rPr>
      </w:pPr>
      <w:r>
        <w:rPr>
          <w:b/>
          <w:spacing w:val="26"/>
          <w:w w:val="99"/>
          <w:sz w:val="32"/>
          <w:szCs w:val="32"/>
        </w:rPr>
        <w:t>促进中小学生健康成长。</w:t>
      </w:r>
      <w:r>
        <w:rPr>
          <w:spacing w:val="22"/>
          <w:w w:val="99"/>
          <w:sz w:val="32"/>
          <w:szCs w:val="32"/>
        </w:rPr>
        <w:t>进一步健全学校体育卫生发展</w:t>
      </w:r>
      <w:r>
        <w:rPr>
          <w:spacing w:val="23"/>
          <w:w w:val="99"/>
          <w:sz w:val="32"/>
          <w:szCs w:val="32"/>
        </w:rPr>
        <w:t>制度和体系，加强现有中小学卫生保健机构建设，按照标准和要求强化人员和设备配备。保障儿童青少年优先发展，全面加强儿童青少年视力健康及其相关危险因素监测网络、数据收集与信息化建设。引导支持社会力量开展各类儿童青少</w:t>
      </w:r>
      <w:r>
        <w:rPr>
          <w:spacing w:val="24"/>
          <w:w w:val="99"/>
          <w:sz w:val="32"/>
          <w:szCs w:val="32"/>
        </w:rPr>
        <w:t>年体育活动，有针对性地开展各类冬（</w:t>
      </w:r>
      <w:r>
        <w:rPr>
          <w:spacing w:val="26"/>
          <w:w w:val="99"/>
          <w:sz w:val="32"/>
          <w:szCs w:val="32"/>
        </w:rPr>
        <w:t>夏</w:t>
      </w:r>
      <w:r>
        <w:rPr>
          <w:spacing w:val="24"/>
          <w:w w:val="99"/>
          <w:sz w:val="32"/>
          <w:szCs w:val="32"/>
        </w:rPr>
        <w:t>）</w:t>
      </w:r>
      <w:r>
        <w:rPr>
          <w:spacing w:val="20"/>
          <w:w w:val="99"/>
          <w:sz w:val="32"/>
          <w:szCs w:val="32"/>
        </w:rPr>
        <w:t>令营、训练营、</w:t>
      </w:r>
      <w:r>
        <w:rPr>
          <w:spacing w:val="23"/>
          <w:w w:val="99"/>
          <w:sz w:val="32"/>
          <w:szCs w:val="32"/>
        </w:rPr>
        <w:t>体育赛事、劳动教育等。完善学生健康体检制度和学生体质</w:t>
      </w:r>
    </w:p>
    <w:p w14:paraId="0E7BB60D">
      <w:pPr>
        <w:spacing w:line="338" w:lineRule="auto"/>
        <w:jc w:val="both"/>
        <w:sectPr>
          <w:pgSz w:w="11910" w:h="16840"/>
          <w:pgMar w:top="1800" w:right="1200" w:bottom="1160" w:left="1260" w:header="0" w:footer="975" w:gutter="0"/>
          <w:cols w:space="720" w:num="1"/>
        </w:sectPr>
      </w:pPr>
    </w:p>
    <w:p w14:paraId="19B53F3D">
      <w:pPr>
        <w:spacing w:before="28" w:line="338" w:lineRule="auto"/>
        <w:ind w:left="213" w:right="295"/>
        <w:jc w:val="both"/>
        <w:rPr>
          <w:sz w:val="32"/>
          <w:szCs w:val="32"/>
        </w:rPr>
      </w:pPr>
      <w:r>
        <w:rPr>
          <w:spacing w:val="23"/>
          <w:w w:val="99"/>
          <w:sz w:val="32"/>
          <w:szCs w:val="32"/>
        </w:rPr>
        <w:t>健康监测制度。鼓励学校引导学生达到《国家学生体质健康标准》良好及以上水平。加强对青少年的人文关怀和心理疏</w:t>
      </w:r>
      <w:r>
        <w:rPr>
          <w:spacing w:val="19"/>
          <w:w w:val="99"/>
          <w:sz w:val="32"/>
          <w:szCs w:val="32"/>
        </w:rPr>
        <w:t>导，促进青少年身心健康发展。</w:t>
      </w:r>
    </w:p>
    <w:p w14:paraId="5947C041">
      <w:pPr>
        <w:spacing w:before="5" w:line="338" w:lineRule="auto"/>
        <w:ind w:left="213" w:right="120" w:firstLine="684"/>
        <w:rPr>
          <w:sz w:val="32"/>
          <w:szCs w:val="32"/>
        </w:rPr>
      </w:pPr>
      <w:r>
        <w:rPr>
          <w:b/>
          <w:spacing w:val="13"/>
          <w:w w:val="99"/>
          <w:sz w:val="32"/>
          <w:szCs w:val="32"/>
        </w:rPr>
        <w:t>开展职业人群健康保护。</w:t>
      </w:r>
      <w:r>
        <w:rPr>
          <w:spacing w:val="19"/>
          <w:w w:val="99"/>
          <w:sz w:val="32"/>
          <w:szCs w:val="32"/>
        </w:rPr>
        <w:t>完善职业病防治技术支撑体系，</w:t>
      </w:r>
      <w:r>
        <w:rPr>
          <w:spacing w:val="23"/>
          <w:w w:val="99"/>
          <w:sz w:val="32"/>
          <w:szCs w:val="32"/>
        </w:rPr>
        <w:t>关注医生、教师、公务员等行业从业人员健康，加强特种作业等人群职业病防治。推进职业健康监管体系建设，健全职业健康监管执法队伍，重点加强基层执法力量，加强执法装备建设。提倡重点行业劳动者对本岗位主要危害及防护知识</w:t>
      </w:r>
      <w:r>
        <w:rPr>
          <w:spacing w:val="19"/>
          <w:w w:val="99"/>
          <w:sz w:val="32"/>
          <w:szCs w:val="32"/>
        </w:rPr>
        <w:t>知晓率达到</w:t>
      </w:r>
      <w:r>
        <w:rPr>
          <w:spacing w:val="-50"/>
          <w:sz w:val="32"/>
          <w:szCs w:val="32"/>
        </w:rPr>
        <w:t xml:space="preserve"> </w:t>
      </w:r>
      <w:r>
        <w:rPr>
          <w:rFonts w:ascii="Times New Roman" w:hAnsi="Times New Roman" w:eastAsia="Times New Roman"/>
          <w:spacing w:val="8"/>
          <w:w w:val="99"/>
          <w:sz w:val="32"/>
          <w:szCs w:val="32"/>
        </w:rPr>
        <w:t>9</w:t>
      </w:r>
      <w:r>
        <w:rPr>
          <w:rFonts w:ascii="Times New Roman" w:hAnsi="Times New Roman" w:eastAsia="Times New Roman"/>
          <w:spacing w:val="10"/>
          <w:w w:val="99"/>
          <w:sz w:val="32"/>
          <w:szCs w:val="32"/>
        </w:rPr>
        <w:t>0</w:t>
      </w:r>
      <w:r>
        <w:rPr>
          <w:rFonts w:ascii="Times New Roman" w:hAnsi="Times New Roman" w:eastAsia="Times New Roman"/>
          <w:spacing w:val="17"/>
          <w:w w:val="99"/>
          <w:sz w:val="32"/>
          <w:szCs w:val="32"/>
        </w:rPr>
        <w:t>%</w:t>
      </w:r>
      <w:r>
        <w:rPr>
          <w:spacing w:val="22"/>
          <w:w w:val="99"/>
          <w:sz w:val="32"/>
          <w:szCs w:val="32"/>
        </w:rPr>
        <w:t>并持续保持，鼓励各用人单位做好员工健康</w:t>
      </w:r>
      <w:r>
        <w:rPr>
          <w:spacing w:val="4"/>
          <w:w w:val="99"/>
          <w:sz w:val="32"/>
          <w:szCs w:val="32"/>
        </w:rPr>
        <w:t>管理，评选“健康达人”。“十四五”期间，劳动工时制度得</w:t>
      </w:r>
      <w:r>
        <w:rPr>
          <w:spacing w:val="19"/>
          <w:w w:val="99"/>
          <w:sz w:val="32"/>
          <w:szCs w:val="32"/>
        </w:rPr>
        <w:t>到全面落实，工伤保险参保人数稳步提升。</w:t>
      </w:r>
    </w:p>
    <w:p w14:paraId="30A76730">
      <w:pPr>
        <w:spacing w:before="15" w:line="338" w:lineRule="auto"/>
        <w:ind w:left="213" w:right="126" w:firstLine="684"/>
        <w:rPr>
          <w:sz w:val="32"/>
          <w:szCs w:val="32"/>
        </w:rPr>
      </w:pPr>
      <w:r>
        <w:rPr>
          <w:b/>
          <w:spacing w:val="26"/>
          <w:w w:val="99"/>
          <w:sz w:val="32"/>
          <w:szCs w:val="32"/>
        </w:rPr>
        <w:t>保障老年人口健康生活。</w:t>
      </w:r>
      <w:r>
        <w:rPr>
          <w:spacing w:val="22"/>
          <w:w w:val="99"/>
          <w:sz w:val="32"/>
          <w:szCs w:val="32"/>
        </w:rPr>
        <w:t>强化基层医疗卫生服务网络功</w:t>
      </w:r>
      <w:r>
        <w:rPr>
          <w:spacing w:val="16"/>
          <w:w w:val="99"/>
          <w:sz w:val="32"/>
          <w:szCs w:val="32"/>
        </w:rPr>
        <w:t>能，发挥家庭医生</w:t>
      </w:r>
      <w:r>
        <w:rPr>
          <w:spacing w:val="21"/>
          <w:w w:val="99"/>
          <w:sz w:val="32"/>
          <w:szCs w:val="32"/>
        </w:rPr>
        <w:t>（</w:t>
      </w:r>
      <w:r>
        <w:rPr>
          <w:spacing w:val="22"/>
          <w:w w:val="99"/>
          <w:sz w:val="32"/>
          <w:szCs w:val="32"/>
        </w:rPr>
        <w:t>团队</w:t>
      </w:r>
      <w:r>
        <w:rPr>
          <w:spacing w:val="2"/>
          <w:w w:val="99"/>
          <w:sz w:val="32"/>
          <w:szCs w:val="32"/>
        </w:rPr>
        <w:t>）</w:t>
      </w:r>
      <w:r>
        <w:rPr>
          <w:spacing w:val="14"/>
          <w:w w:val="99"/>
          <w:sz w:val="32"/>
          <w:szCs w:val="32"/>
        </w:rPr>
        <w:t>作用，为老年人提供综合、连续、</w:t>
      </w:r>
      <w:r>
        <w:rPr>
          <w:spacing w:val="11"/>
          <w:w w:val="99"/>
          <w:sz w:val="32"/>
          <w:szCs w:val="32"/>
        </w:rPr>
        <w:t>协同、规范的基本医疗和公共卫生服务。完善医养结合政策，</w:t>
      </w:r>
      <w:r>
        <w:rPr>
          <w:spacing w:val="23"/>
          <w:w w:val="99"/>
          <w:sz w:val="32"/>
          <w:szCs w:val="32"/>
        </w:rPr>
        <w:t>推进医疗卫生与养老服务融合发展，基本建立符合区情的医养结合体制机制，加强社区日间照料中心等社区养老机构建设，进一步健全居家为基础、社区为依托、机构为补充、医养相结合的社会养老服务体系，使医疗服务融入养老服务的各个环节。开展长期护理保险制度试点，逐步建立支持家庭</w:t>
      </w:r>
      <w:r>
        <w:rPr>
          <w:spacing w:val="10"/>
          <w:w w:val="99"/>
          <w:sz w:val="32"/>
          <w:szCs w:val="32"/>
        </w:rPr>
        <w:t>养老的政策体系，推动夯实居家社区养老服务基础</w:t>
      </w:r>
      <w:r>
        <w:rPr>
          <w:spacing w:val="-35"/>
          <w:w w:val="99"/>
          <w:sz w:val="32"/>
          <w:szCs w:val="32"/>
        </w:rPr>
        <w:t>。“十四五”</w:t>
      </w:r>
      <w:r>
        <w:rPr>
          <w:spacing w:val="23"/>
          <w:w w:val="99"/>
          <w:sz w:val="32"/>
          <w:szCs w:val="32"/>
        </w:rPr>
        <w:t>期间，养老机构以不同形式为入住老年人提供医疗卫生服务比例、医疗机构为老年人提供挂号就医等便利服务绿色通道</w:t>
      </w:r>
      <w:r>
        <w:rPr>
          <w:spacing w:val="15"/>
          <w:w w:val="99"/>
          <w:sz w:val="32"/>
          <w:szCs w:val="32"/>
        </w:rPr>
        <w:t>比例达到</w:t>
      </w:r>
      <w:r>
        <w:rPr>
          <w:spacing w:val="-50"/>
          <w:sz w:val="32"/>
          <w:szCs w:val="32"/>
        </w:rPr>
        <w:t xml:space="preserve"> </w:t>
      </w:r>
      <w:r>
        <w:rPr>
          <w:rFonts w:ascii="Times New Roman" w:hAnsi="Times New Roman" w:eastAsia="Times New Roman"/>
          <w:spacing w:val="6"/>
          <w:w w:val="99"/>
          <w:sz w:val="32"/>
          <w:szCs w:val="32"/>
        </w:rPr>
        <w:t>1</w:t>
      </w:r>
      <w:r>
        <w:rPr>
          <w:rFonts w:ascii="Times New Roman" w:hAnsi="Times New Roman" w:eastAsia="Times New Roman"/>
          <w:spacing w:val="13"/>
          <w:w w:val="99"/>
          <w:sz w:val="32"/>
          <w:szCs w:val="32"/>
        </w:rPr>
        <w:t>0</w:t>
      </w:r>
      <w:r>
        <w:rPr>
          <w:rFonts w:ascii="Times New Roman" w:hAnsi="Times New Roman" w:eastAsia="Times New Roman"/>
          <w:spacing w:val="10"/>
          <w:w w:val="99"/>
          <w:sz w:val="32"/>
          <w:szCs w:val="32"/>
        </w:rPr>
        <w:t>0</w:t>
      </w:r>
      <w:r>
        <w:rPr>
          <w:rFonts w:ascii="Times New Roman" w:hAnsi="Times New Roman" w:eastAsia="Times New Roman"/>
          <w:spacing w:val="15"/>
          <w:w w:val="99"/>
          <w:sz w:val="32"/>
          <w:szCs w:val="32"/>
        </w:rPr>
        <w:t>%</w:t>
      </w:r>
      <w:r>
        <w:rPr>
          <w:w w:val="99"/>
          <w:sz w:val="32"/>
          <w:szCs w:val="32"/>
        </w:rPr>
        <w:t>。</w:t>
      </w:r>
    </w:p>
    <w:p w14:paraId="27FAFDDE">
      <w:pPr>
        <w:spacing w:line="338" w:lineRule="auto"/>
        <w:sectPr>
          <w:pgSz w:w="11910" w:h="16840"/>
          <w:pgMar w:top="1800" w:right="1200" w:bottom="1160" w:left="1260" w:header="0" w:footer="975" w:gutter="0"/>
          <w:cols w:space="720" w:num="1"/>
        </w:sectPr>
      </w:pPr>
    </w:p>
    <w:p w14:paraId="0E17B7FF">
      <w:pPr>
        <w:spacing w:before="28" w:line="338" w:lineRule="auto"/>
        <w:ind w:left="213" w:right="293" w:firstLine="684"/>
        <w:jc w:val="both"/>
        <w:rPr>
          <w:sz w:val="32"/>
          <w:szCs w:val="32"/>
        </w:rPr>
      </w:pPr>
      <w:r>
        <w:rPr>
          <w:b/>
          <w:spacing w:val="26"/>
          <w:w w:val="99"/>
          <w:sz w:val="32"/>
          <w:szCs w:val="32"/>
        </w:rPr>
        <w:t>维护残疾人群体健康。</w:t>
      </w:r>
      <w:r>
        <w:rPr>
          <w:spacing w:val="22"/>
          <w:w w:val="99"/>
          <w:sz w:val="32"/>
          <w:szCs w:val="32"/>
        </w:rPr>
        <w:t>持续完善残疾预防和康复体系，</w:t>
      </w:r>
      <w:r>
        <w:rPr>
          <w:spacing w:val="23"/>
          <w:w w:val="99"/>
          <w:sz w:val="32"/>
          <w:szCs w:val="32"/>
        </w:rPr>
        <w:t>开展全人群、全生命周期的残疾预防。推进社区康复，合理配置残疾人康复资源。建立</w:t>
      </w:r>
      <w:r>
        <w:rPr>
          <w:spacing w:val="-47"/>
          <w:sz w:val="32"/>
          <w:szCs w:val="32"/>
        </w:rPr>
        <w:t xml:space="preserve"> </w:t>
      </w:r>
      <w:r>
        <w:rPr>
          <w:rFonts w:ascii="Times New Roman" w:eastAsia="Times New Roman"/>
          <w:spacing w:val="6"/>
          <w:w w:val="99"/>
          <w:sz w:val="32"/>
          <w:szCs w:val="32"/>
        </w:rPr>
        <w:t>0</w:t>
      </w:r>
      <w:r>
        <w:rPr>
          <w:rFonts w:ascii="Times New Roman" w:eastAsia="Times New Roman"/>
          <w:spacing w:val="11"/>
          <w:w w:val="99"/>
          <w:sz w:val="32"/>
          <w:szCs w:val="32"/>
        </w:rPr>
        <w:t>-</w:t>
      </w:r>
      <w:r>
        <w:rPr>
          <w:rFonts w:ascii="Times New Roman" w:eastAsia="Times New Roman"/>
          <w:w w:val="99"/>
          <w:sz w:val="32"/>
          <w:szCs w:val="32"/>
        </w:rPr>
        <w:t>6</w:t>
      </w:r>
      <w:r>
        <w:rPr>
          <w:rFonts w:ascii="Times New Roman" w:eastAsia="Times New Roman"/>
          <w:spacing w:val="26"/>
          <w:sz w:val="32"/>
          <w:szCs w:val="32"/>
        </w:rPr>
        <w:t xml:space="preserve"> </w:t>
      </w:r>
      <w:r>
        <w:rPr>
          <w:spacing w:val="22"/>
          <w:w w:val="99"/>
          <w:sz w:val="32"/>
          <w:szCs w:val="32"/>
        </w:rPr>
        <w:t>岁儿童残疾疾病筛查工作机</w:t>
      </w:r>
      <w:r>
        <w:rPr>
          <w:spacing w:val="23"/>
          <w:w w:val="99"/>
          <w:sz w:val="32"/>
          <w:szCs w:val="32"/>
        </w:rPr>
        <w:t>制，为脑瘫、智力残疾、孤独症、低视力儿童免费提供基本康复训练、辅助器具适配服务，逐步实现贫困残疾儿童康复救助全覆盖。实施精准康复，完善残疾儿童康复救助制度。加强残疾人康复和托养设施建设，支持社会力量投资建设康复机构。完善社区康复服务功能，推广建设无障碍设施，发</w:t>
      </w:r>
      <w:r>
        <w:rPr>
          <w:spacing w:val="20"/>
          <w:w w:val="99"/>
          <w:sz w:val="32"/>
          <w:szCs w:val="32"/>
        </w:rPr>
        <w:t>展壮大助残志愿服务队伍，倡导全社会扶残、助残行为。</w:t>
      </w:r>
    </w:p>
    <w:p w14:paraId="3EFA5B72">
      <w:pPr>
        <w:ind w:left="897"/>
        <w:rPr>
          <w:rFonts w:ascii="黑体" w:eastAsia="黑体"/>
          <w:sz w:val="32"/>
          <w:szCs w:val="32"/>
        </w:rPr>
      </w:pPr>
      <w:r>
        <w:rPr>
          <w:rFonts w:ascii="黑体" w:eastAsia="黑体"/>
          <w:spacing w:val="18"/>
          <w:w w:val="95"/>
          <w:sz w:val="32"/>
          <w:szCs w:val="32"/>
        </w:rPr>
        <w:t>三、引导建立健康生活方式</w:t>
      </w:r>
    </w:p>
    <w:p w14:paraId="25930BE4">
      <w:pPr>
        <w:spacing w:before="166" w:line="340" w:lineRule="auto"/>
        <w:ind w:left="213" w:right="286" w:firstLine="684"/>
        <w:jc w:val="both"/>
        <w:rPr>
          <w:sz w:val="32"/>
          <w:szCs w:val="32"/>
        </w:rPr>
      </w:pPr>
      <w:r>
        <w:rPr>
          <w:spacing w:val="24"/>
          <w:sz w:val="32"/>
          <w:szCs w:val="32"/>
        </w:rPr>
        <w:t>建立并完善健康科普专家库，构建健康科普知识</w:t>
      </w:r>
      <w:r>
        <w:rPr>
          <w:spacing w:val="15"/>
          <w:sz w:val="32"/>
          <w:szCs w:val="32"/>
        </w:rPr>
        <w:t>传播机</w:t>
      </w:r>
      <w:r>
        <w:rPr>
          <w:spacing w:val="12"/>
          <w:sz w:val="32"/>
          <w:szCs w:val="32"/>
        </w:rPr>
        <w:t xml:space="preserve">制。提倡个人定期记录身心健康状况。到 </w:t>
      </w:r>
      <w:r>
        <w:rPr>
          <w:rFonts w:ascii="Times New Roman" w:hAnsi="Times New Roman" w:eastAsia="Times New Roman"/>
          <w:sz w:val="32"/>
          <w:szCs w:val="32"/>
        </w:rPr>
        <w:t>2025</w:t>
      </w:r>
      <w:r>
        <w:rPr>
          <w:rFonts w:ascii="Times New Roman" w:hAnsi="Times New Roman" w:eastAsia="Times New Roman"/>
          <w:spacing w:val="-20"/>
          <w:sz w:val="32"/>
          <w:szCs w:val="32"/>
        </w:rPr>
        <w:t xml:space="preserve"> </w:t>
      </w:r>
      <w:r>
        <w:rPr>
          <w:spacing w:val="15"/>
          <w:sz w:val="32"/>
          <w:szCs w:val="32"/>
        </w:rPr>
        <w:t>年，金凤区居</w:t>
      </w:r>
      <w:r>
        <w:rPr>
          <w:spacing w:val="17"/>
          <w:w w:val="95"/>
          <w:sz w:val="32"/>
          <w:szCs w:val="32"/>
        </w:rPr>
        <w:t xml:space="preserve">民健康素养水平不低于 </w:t>
      </w:r>
      <w:r>
        <w:rPr>
          <w:rFonts w:ascii="Times New Roman" w:hAnsi="Times New Roman" w:eastAsia="Times New Roman"/>
          <w:spacing w:val="10"/>
          <w:w w:val="95"/>
          <w:sz w:val="32"/>
          <w:szCs w:val="32"/>
        </w:rPr>
        <w:t>26%</w:t>
      </w:r>
      <w:r>
        <w:rPr>
          <w:spacing w:val="15"/>
          <w:w w:val="95"/>
          <w:sz w:val="32"/>
          <w:szCs w:val="32"/>
        </w:rPr>
        <w:t xml:space="preserve">，人口献血率达到 </w:t>
      </w:r>
      <w:r>
        <w:rPr>
          <w:rFonts w:ascii="Times New Roman" w:hAnsi="Times New Roman" w:eastAsia="Times New Roman"/>
          <w:spacing w:val="10"/>
          <w:w w:val="95"/>
          <w:sz w:val="32"/>
          <w:szCs w:val="32"/>
        </w:rPr>
        <w:t>23‰</w:t>
      </w:r>
      <w:r>
        <w:rPr>
          <w:spacing w:val="13"/>
          <w:w w:val="95"/>
          <w:sz w:val="32"/>
          <w:szCs w:val="32"/>
        </w:rPr>
        <w:t>，城乡居</w:t>
      </w:r>
      <w:r>
        <w:rPr>
          <w:spacing w:val="25"/>
          <w:w w:val="95"/>
          <w:sz w:val="32"/>
          <w:szCs w:val="32"/>
        </w:rPr>
        <w:t>民达</w:t>
      </w:r>
      <w:r>
        <w:rPr>
          <w:spacing w:val="24"/>
          <w:w w:val="95"/>
          <w:sz w:val="32"/>
          <w:szCs w:val="32"/>
        </w:rPr>
        <w:t>到《国</w:t>
      </w:r>
      <w:r>
        <w:rPr>
          <w:spacing w:val="26"/>
          <w:w w:val="95"/>
          <w:sz w:val="32"/>
          <w:szCs w:val="32"/>
        </w:rPr>
        <w:t>民</w:t>
      </w:r>
      <w:r>
        <w:rPr>
          <w:spacing w:val="24"/>
          <w:w w:val="95"/>
          <w:sz w:val="32"/>
          <w:szCs w:val="32"/>
        </w:rPr>
        <w:t>体质</w:t>
      </w:r>
      <w:r>
        <w:rPr>
          <w:spacing w:val="26"/>
          <w:w w:val="95"/>
          <w:sz w:val="32"/>
          <w:szCs w:val="32"/>
        </w:rPr>
        <w:t>测</w:t>
      </w:r>
      <w:r>
        <w:rPr>
          <w:spacing w:val="24"/>
          <w:w w:val="95"/>
          <w:sz w:val="32"/>
          <w:szCs w:val="32"/>
        </w:rPr>
        <w:t>定标</w:t>
      </w:r>
      <w:r>
        <w:rPr>
          <w:spacing w:val="26"/>
          <w:w w:val="95"/>
          <w:sz w:val="32"/>
          <w:szCs w:val="32"/>
        </w:rPr>
        <w:t>准</w:t>
      </w:r>
      <w:r>
        <w:rPr>
          <w:spacing w:val="24"/>
          <w:w w:val="95"/>
          <w:sz w:val="32"/>
          <w:szCs w:val="32"/>
        </w:rPr>
        <w:t>》合格</w:t>
      </w:r>
      <w:r>
        <w:rPr>
          <w:spacing w:val="26"/>
          <w:w w:val="95"/>
          <w:sz w:val="32"/>
          <w:szCs w:val="32"/>
        </w:rPr>
        <w:t>以</w:t>
      </w:r>
      <w:r>
        <w:rPr>
          <w:spacing w:val="24"/>
          <w:w w:val="95"/>
          <w:sz w:val="32"/>
          <w:szCs w:val="32"/>
        </w:rPr>
        <w:t>上的</w:t>
      </w:r>
      <w:r>
        <w:rPr>
          <w:spacing w:val="26"/>
          <w:w w:val="95"/>
          <w:sz w:val="32"/>
          <w:szCs w:val="32"/>
        </w:rPr>
        <w:t>人</w:t>
      </w:r>
      <w:r>
        <w:rPr>
          <w:spacing w:val="24"/>
          <w:w w:val="95"/>
          <w:sz w:val="32"/>
          <w:szCs w:val="32"/>
        </w:rPr>
        <w:t>数比</w:t>
      </w:r>
      <w:r>
        <w:rPr>
          <w:spacing w:val="16"/>
          <w:w w:val="95"/>
          <w:sz w:val="32"/>
          <w:szCs w:val="32"/>
        </w:rPr>
        <w:t>例达到</w:t>
      </w:r>
      <w:r>
        <w:rPr>
          <w:spacing w:val="39"/>
          <w:sz w:val="32"/>
          <w:szCs w:val="32"/>
        </w:rPr>
        <w:t xml:space="preserve"> </w:t>
      </w:r>
      <w:r>
        <w:rPr>
          <w:rFonts w:ascii="Times New Roman" w:hAnsi="Times New Roman" w:eastAsia="Times New Roman"/>
          <w:w w:val="95"/>
          <w:sz w:val="32"/>
          <w:szCs w:val="32"/>
        </w:rPr>
        <w:t>93%</w:t>
      </w:r>
      <w:r>
        <w:rPr>
          <w:spacing w:val="24"/>
          <w:sz w:val="32"/>
          <w:szCs w:val="32"/>
        </w:rPr>
        <w:t>以上。推广低盐低糖低油等合理膳食，因地制宜开</w:t>
      </w:r>
      <w:r>
        <w:rPr>
          <w:spacing w:val="17"/>
          <w:sz w:val="32"/>
          <w:szCs w:val="32"/>
        </w:rPr>
        <w:t>展营养和</w:t>
      </w:r>
      <w:r>
        <w:rPr>
          <w:spacing w:val="24"/>
          <w:sz w:val="32"/>
          <w:szCs w:val="32"/>
        </w:rPr>
        <w:t>膳食指导，实施农村义务教育学生营养改善计划</w:t>
      </w:r>
      <w:r>
        <w:rPr>
          <w:spacing w:val="19"/>
          <w:sz w:val="32"/>
          <w:szCs w:val="32"/>
        </w:rPr>
        <w:t>和贫困地区</w:t>
      </w:r>
      <w:r>
        <w:rPr>
          <w:spacing w:val="24"/>
          <w:sz w:val="32"/>
          <w:szCs w:val="32"/>
        </w:rPr>
        <w:t>儿童营养改善项目。推广中医养生保健，基本建</w:t>
      </w:r>
      <w:r>
        <w:rPr>
          <w:spacing w:val="19"/>
          <w:sz w:val="32"/>
          <w:szCs w:val="32"/>
        </w:rPr>
        <w:t>立社会非医</w:t>
      </w:r>
      <w:r>
        <w:rPr>
          <w:spacing w:val="24"/>
          <w:sz w:val="32"/>
          <w:szCs w:val="32"/>
        </w:rPr>
        <w:t>疗性中医养生保健机构与医疗卫生机构协同发展</w:t>
      </w:r>
      <w:r>
        <w:rPr>
          <w:spacing w:val="19"/>
          <w:sz w:val="32"/>
          <w:szCs w:val="32"/>
        </w:rPr>
        <w:t>的中医养生</w:t>
      </w:r>
      <w:r>
        <w:rPr>
          <w:spacing w:val="24"/>
          <w:w w:val="95"/>
          <w:sz w:val="32"/>
          <w:szCs w:val="32"/>
        </w:rPr>
        <w:t>保健服务</w:t>
      </w:r>
      <w:r>
        <w:rPr>
          <w:spacing w:val="26"/>
          <w:w w:val="95"/>
          <w:sz w:val="32"/>
          <w:szCs w:val="32"/>
        </w:rPr>
        <w:t>体系</w:t>
      </w:r>
      <w:r>
        <w:rPr>
          <w:spacing w:val="24"/>
          <w:w w:val="95"/>
          <w:sz w:val="32"/>
          <w:szCs w:val="32"/>
        </w:rPr>
        <w:t>。推广全民</w:t>
      </w:r>
      <w:r>
        <w:rPr>
          <w:spacing w:val="26"/>
          <w:w w:val="95"/>
          <w:sz w:val="32"/>
          <w:szCs w:val="32"/>
        </w:rPr>
        <w:t>健身</w:t>
      </w:r>
      <w:r>
        <w:rPr>
          <w:spacing w:val="24"/>
          <w:w w:val="95"/>
          <w:sz w:val="32"/>
          <w:szCs w:val="32"/>
        </w:rPr>
        <w:t>，</w:t>
      </w:r>
      <w:r>
        <w:rPr>
          <w:spacing w:val="26"/>
          <w:w w:val="95"/>
          <w:sz w:val="32"/>
          <w:szCs w:val="32"/>
        </w:rPr>
        <w:t>鼓励每</w:t>
      </w:r>
      <w:r>
        <w:rPr>
          <w:spacing w:val="18"/>
          <w:w w:val="95"/>
          <w:sz w:val="32"/>
          <w:szCs w:val="32"/>
        </w:rPr>
        <w:t>人至少有</w:t>
      </w:r>
      <w:r>
        <w:rPr>
          <w:spacing w:val="35"/>
          <w:w w:val="150"/>
          <w:sz w:val="32"/>
          <w:szCs w:val="32"/>
        </w:rPr>
        <w:t xml:space="preserve"> </w:t>
      </w:r>
      <w:r>
        <w:rPr>
          <w:rFonts w:ascii="Times New Roman" w:hAnsi="Times New Roman" w:eastAsia="Times New Roman"/>
          <w:w w:val="95"/>
          <w:sz w:val="32"/>
          <w:szCs w:val="32"/>
        </w:rPr>
        <w:t>1</w:t>
      </w:r>
      <w:r>
        <w:rPr>
          <w:rFonts w:ascii="Times New Roman" w:hAnsi="Times New Roman" w:eastAsia="Times New Roman"/>
          <w:spacing w:val="43"/>
          <w:sz w:val="32"/>
          <w:szCs w:val="32"/>
        </w:rPr>
        <w:t xml:space="preserve">  </w:t>
      </w:r>
      <w:r>
        <w:rPr>
          <w:spacing w:val="16"/>
          <w:w w:val="95"/>
          <w:sz w:val="32"/>
          <w:szCs w:val="32"/>
        </w:rPr>
        <w:t>项运动爱</w:t>
      </w:r>
    </w:p>
    <w:p w14:paraId="153BFDC0">
      <w:pPr>
        <w:spacing w:line="390" w:lineRule="exact"/>
        <w:ind w:left="213"/>
        <w:jc w:val="both"/>
        <w:rPr>
          <w:sz w:val="32"/>
          <w:szCs w:val="32"/>
        </w:rPr>
      </w:pPr>
      <w:r>
        <w:rPr>
          <w:spacing w:val="18"/>
          <w:w w:val="95"/>
          <w:sz w:val="32"/>
          <w:szCs w:val="32"/>
        </w:rPr>
        <w:t>好或掌握</w:t>
      </w:r>
      <w:r>
        <w:rPr>
          <w:spacing w:val="30"/>
          <w:sz w:val="32"/>
          <w:szCs w:val="32"/>
        </w:rPr>
        <w:t xml:space="preserve"> </w:t>
      </w:r>
      <w:r>
        <w:rPr>
          <w:rFonts w:ascii="Times New Roman" w:eastAsia="Times New Roman"/>
          <w:w w:val="95"/>
          <w:sz w:val="32"/>
          <w:szCs w:val="32"/>
        </w:rPr>
        <w:t>1</w:t>
      </w:r>
      <w:r>
        <w:rPr>
          <w:rFonts w:ascii="Times New Roman" w:eastAsia="Times New Roman"/>
          <w:spacing w:val="52"/>
          <w:w w:val="150"/>
          <w:sz w:val="32"/>
          <w:szCs w:val="32"/>
        </w:rPr>
        <w:t xml:space="preserve"> </w:t>
      </w:r>
      <w:r>
        <w:rPr>
          <w:spacing w:val="25"/>
          <w:w w:val="95"/>
          <w:sz w:val="32"/>
          <w:szCs w:val="32"/>
        </w:rPr>
        <w:t>项传</w:t>
      </w:r>
      <w:r>
        <w:rPr>
          <w:spacing w:val="26"/>
          <w:w w:val="95"/>
          <w:sz w:val="32"/>
          <w:szCs w:val="32"/>
        </w:rPr>
        <w:t>统运</w:t>
      </w:r>
      <w:r>
        <w:rPr>
          <w:spacing w:val="24"/>
          <w:w w:val="95"/>
          <w:sz w:val="32"/>
          <w:szCs w:val="32"/>
        </w:rPr>
        <w:t>动项目，参</w:t>
      </w:r>
      <w:r>
        <w:rPr>
          <w:spacing w:val="26"/>
          <w:w w:val="95"/>
          <w:sz w:val="32"/>
          <w:szCs w:val="32"/>
        </w:rPr>
        <w:t>加至</w:t>
      </w:r>
      <w:r>
        <w:rPr>
          <w:w w:val="95"/>
          <w:sz w:val="32"/>
          <w:szCs w:val="32"/>
        </w:rPr>
        <w:t>少</w:t>
      </w:r>
      <w:r>
        <w:rPr>
          <w:spacing w:val="31"/>
          <w:sz w:val="32"/>
          <w:szCs w:val="32"/>
        </w:rPr>
        <w:t xml:space="preserve"> </w:t>
      </w:r>
      <w:r>
        <w:rPr>
          <w:rFonts w:ascii="Times New Roman" w:eastAsia="Times New Roman"/>
          <w:w w:val="95"/>
          <w:sz w:val="32"/>
          <w:szCs w:val="32"/>
        </w:rPr>
        <w:t>1</w:t>
      </w:r>
      <w:r>
        <w:rPr>
          <w:rFonts w:ascii="Times New Roman" w:eastAsia="Times New Roman"/>
          <w:spacing w:val="52"/>
          <w:w w:val="150"/>
          <w:sz w:val="32"/>
          <w:szCs w:val="32"/>
        </w:rPr>
        <w:t xml:space="preserve"> </w:t>
      </w:r>
      <w:r>
        <w:rPr>
          <w:spacing w:val="25"/>
          <w:w w:val="95"/>
          <w:sz w:val="32"/>
          <w:szCs w:val="32"/>
        </w:rPr>
        <w:t>个健</w:t>
      </w:r>
      <w:r>
        <w:rPr>
          <w:spacing w:val="26"/>
          <w:w w:val="95"/>
          <w:sz w:val="32"/>
          <w:szCs w:val="32"/>
        </w:rPr>
        <w:t>身组</w:t>
      </w:r>
      <w:r>
        <w:rPr>
          <w:spacing w:val="15"/>
          <w:w w:val="95"/>
          <w:sz w:val="32"/>
          <w:szCs w:val="32"/>
        </w:rPr>
        <w:t>织，每天</w:t>
      </w:r>
    </w:p>
    <w:p w14:paraId="39827303">
      <w:pPr>
        <w:spacing w:before="171" w:line="338" w:lineRule="auto"/>
        <w:ind w:left="213" w:right="126"/>
        <w:jc w:val="both"/>
        <w:rPr>
          <w:sz w:val="32"/>
          <w:szCs w:val="32"/>
        </w:rPr>
      </w:pPr>
      <w:r>
        <w:rPr>
          <w:spacing w:val="24"/>
          <w:sz w:val="32"/>
          <w:szCs w:val="32"/>
        </w:rPr>
        <w:t>进行中等强度运动至少半小时；鼓励公共体育场</w:t>
      </w:r>
      <w:r>
        <w:rPr>
          <w:spacing w:val="19"/>
          <w:sz w:val="32"/>
          <w:szCs w:val="32"/>
        </w:rPr>
        <w:t>地设施提供</w:t>
      </w:r>
      <w:r>
        <w:rPr>
          <w:spacing w:val="24"/>
          <w:sz w:val="32"/>
          <w:szCs w:val="32"/>
        </w:rPr>
        <w:t>免费或低收费开放服务，确保具备条件的企事业</w:t>
      </w:r>
      <w:r>
        <w:rPr>
          <w:spacing w:val="19"/>
          <w:sz w:val="32"/>
          <w:szCs w:val="32"/>
        </w:rPr>
        <w:t>单位体育场</w:t>
      </w:r>
      <w:r>
        <w:rPr>
          <w:spacing w:val="16"/>
          <w:w w:val="95"/>
          <w:sz w:val="32"/>
          <w:szCs w:val="32"/>
        </w:rPr>
        <w:t>地设施全部向社会开放。全面控烟，逐步实现室内公共场所、</w:t>
      </w:r>
    </w:p>
    <w:p w14:paraId="4D2768E6">
      <w:pPr>
        <w:spacing w:line="338" w:lineRule="auto"/>
        <w:jc w:val="both"/>
        <w:sectPr>
          <w:pgSz w:w="11910" w:h="16840"/>
          <w:pgMar w:top="1800" w:right="1200" w:bottom="1160" w:left="1260" w:header="0" w:footer="975" w:gutter="0"/>
          <w:cols w:space="720" w:num="1"/>
        </w:sectPr>
      </w:pPr>
    </w:p>
    <w:p w14:paraId="289B25EC">
      <w:pPr>
        <w:spacing w:before="28" w:line="340" w:lineRule="auto"/>
        <w:ind w:left="213" w:right="295"/>
        <w:jc w:val="both"/>
        <w:rPr>
          <w:sz w:val="32"/>
          <w:szCs w:val="32"/>
        </w:rPr>
      </w:pPr>
      <w:r>
        <w:rPr>
          <w:spacing w:val="23"/>
          <w:w w:val="99"/>
          <w:sz w:val="32"/>
          <w:szCs w:val="32"/>
        </w:rPr>
        <w:t>工作场所和公共交通工具全面禁烟。关注心理健康，建立精神卫生医疗机构、社区康复机构及社会组织、家庭相互衔接的精神障碍社区康复服务体系，建立和完善心理健康教育、心理热线服务、心理评估、心理咨询、心理治疗、精神科治</w:t>
      </w:r>
      <w:r>
        <w:rPr>
          <w:spacing w:val="20"/>
          <w:w w:val="99"/>
          <w:sz w:val="32"/>
          <w:szCs w:val="32"/>
        </w:rPr>
        <w:t>疗等衔接合作的心理危机干预和心理援助服务模式。</w:t>
      </w:r>
    </w:p>
    <w:p w14:paraId="630AA427">
      <w:pPr>
        <w:spacing w:line="384" w:lineRule="exact"/>
        <w:ind w:left="897"/>
        <w:rPr>
          <w:rFonts w:ascii="黑体" w:eastAsia="黑体"/>
          <w:sz w:val="32"/>
          <w:szCs w:val="32"/>
        </w:rPr>
      </w:pPr>
      <w:r>
        <w:rPr>
          <w:rFonts w:ascii="黑体" w:eastAsia="黑体"/>
          <w:spacing w:val="18"/>
          <w:w w:val="95"/>
          <w:sz w:val="32"/>
          <w:szCs w:val="32"/>
        </w:rPr>
        <w:t>四、增强公共卫生应急能力</w:t>
      </w:r>
    </w:p>
    <w:p w14:paraId="2A4848B5">
      <w:pPr>
        <w:spacing w:before="166" w:line="338" w:lineRule="auto"/>
        <w:ind w:left="213" w:right="290" w:firstLine="684"/>
        <w:jc w:val="both"/>
        <w:rPr>
          <w:sz w:val="32"/>
          <w:szCs w:val="32"/>
        </w:rPr>
      </w:pPr>
      <w:r>
        <w:rPr>
          <w:b/>
          <w:spacing w:val="26"/>
          <w:w w:val="99"/>
          <w:sz w:val="32"/>
          <w:szCs w:val="32"/>
        </w:rPr>
        <w:t>健全公共卫生应急管理体系。</w:t>
      </w:r>
      <w:r>
        <w:rPr>
          <w:spacing w:val="21"/>
          <w:w w:val="99"/>
          <w:sz w:val="32"/>
          <w:szCs w:val="32"/>
        </w:rPr>
        <w:t>建立健全上下联动、反应</w:t>
      </w:r>
      <w:r>
        <w:rPr>
          <w:spacing w:val="23"/>
          <w:w w:val="99"/>
          <w:sz w:val="32"/>
          <w:szCs w:val="32"/>
        </w:rPr>
        <w:t>灵敏、处置及时的公共卫生应急管理体系。坚持预防为主、防治结合，加快完善突发公共卫生应急响应、传染病防控救治、疾病预防控制等体制机制，强化公共卫生应急预案分级分类管理，进一步完善常态化疫情防控机制，提升疫情监测预警和应急响应能力。推进金凤区疾控中心新建项目，强化疾病预防控制体系建设和硬件建设，提高突发公共卫生事件</w:t>
      </w:r>
      <w:r>
        <w:rPr>
          <w:spacing w:val="16"/>
          <w:w w:val="99"/>
          <w:sz w:val="32"/>
          <w:szCs w:val="32"/>
        </w:rPr>
        <w:t>处置能力。</w:t>
      </w:r>
    </w:p>
    <w:p w14:paraId="321A07BE">
      <w:pPr>
        <w:spacing w:before="14" w:line="340" w:lineRule="auto"/>
        <w:ind w:left="213" w:right="293" w:firstLine="684"/>
        <w:jc w:val="both"/>
        <w:rPr>
          <w:sz w:val="32"/>
          <w:szCs w:val="32"/>
        </w:rPr>
      </w:pPr>
      <w:r>
        <w:rPr>
          <w:b/>
          <w:spacing w:val="26"/>
          <w:w w:val="99"/>
          <w:sz w:val="32"/>
          <w:szCs w:val="32"/>
        </w:rPr>
        <w:t>强化应急专业队伍建设。</w:t>
      </w:r>
      <w:r>
        <w:rPr>
          <w:spacing w:val="22"/>
          <w:w w:val="99"/>
          <w:sz w:val="32"/>
          <w:szCs w:val="32"/>
        </w:rPr>
        <w:t>采取内外结合方式，加快应急</w:t>
      </w:r>
      <w:r>
        <w:rPr>
          <w:spacing w:val="23"/>
          <w:w w:val="99"/>
          <w:sz w:val="32"/>
          <w:szCs w:val="32"/>
        </w:rPr>
        <w:t>专业人才队伍建设，整合辖区所有医疗卫生资源建立应急救援专业医疗队伍库，争取市级紧急医学救援队伍和应急心理救援队伍技术支持，提升医学救援队伍的快速反应和有效处</w:t>
      </w:r>
      <w:r>
        <w:rPr>
          <w:spacing w:val="15"/>
          <w:w w:val="99"/>
          <w:sz w:val="32"/>
          <w:szCs w:val="32"/>
        </w:rPr>
        <w:t>置能力。</w:t>
      </w:r>
    </w:p>
    <w:p w14:paraId="2BA7E282">
      <w:pPr>
        <w:spacing w:line="338" w:lineRule="auto"/>
        <w:ind w:left="213" w:right="293" w:firstLine="684"/>
        <w:jc w:val="both"/>
        <w:rPr>
          <w:sz w:val="32"/>
          <w:szCs w:val="32"/>
        </w:rPr>
      </w:pPr>
      <w:r>
        <w:rPr>
          <w:b/>
          <w:spacing w:val="25"/>
          <w:w w:val="99"/>
          <w:sz w:val="32"/>
          <w:szCs w:val="32"/>
        </w:rPr>
        <w:t>加强应急演练。</w:t>
      </w:r>
      <w:r>
        <w:rPr>
          <w:spacing w:val="22"/>
          <w:w w:val="99"/>
          <w:sz w:val="32"/>
          <w:szCs w:val="32"/>
        </w:rPr>
        <w:t>开展“不预先通知演练时间地点、不预先设定演练内容”的“双盲”应急演练，每年不少于</w:t>
      </w:r>
      <w:r>
        <w:rPr>
          <w:spacing w:val="-47"/>
          <w:sz w:val="32"/>
          <w:szCs w:val="32"/>
        </w:rPr>
        <w:t xml:space="preserve"> </w:t>
      </w:r>
      <w:r>
        <w:rPr>
          <w:rFonts w:ascii="Calibri" w:hAnsi="Calibri" w:eastAsia="Calibri"/>
          <w:w w:val="99"/>
          <w:sz w:val="32"/>
          <w:szCs w:val="32"/>
        </w:rPr>
        <w:t>2</w:t>
      </w:r>
      <w:r>
        <w:rPr>
          <w:rFonts w:ascii="Calibri" w:hAnsi="Calibri" w:eastAsia="Calibri"/>
          <w:spacing w:val="27"/>
          <w:sz w:val="32"/>
          <w:szCs w:val="32"/>
        </w:rPr>
        <w:t xml:space="preserve"> </w:t>
      </w:r>
      <w:r>
        <w:rPr>
          <w:spacing w:val="13"/>
          <w:w w:val="99"/>
          <w:sz w:val="32"/>
          <w:szCs w:val="32"/>
        </w:rPr>
        <w:t>次，</w:t>
      </w:r>
      <w:r>
        <w:rPr>
          <w:spacing w:val="23"/>
          <w:w w:val="99"/>
          <w:sz w:val="32"/>
          <w:szCs w:val="32"/>
        </w:rPr>
        <w:t>提升应急预案的实用性、针对性和可操作性。密切关注监测数据，科学评估疫情走向，建立行政层级间、部门间、政府</w:t>
      </w:r>
    </w:p>
    <w:p w14:paraId="1EECAEBF">
      <w:pPr>
        <w:spacing w:line="338" w:lineRule="auto"/>
        <w:jc w:val="both"/>
        <w:sectPr>
          <w:pgSz w:w="11910" w:h="16840"/>
          <w:pgMar w:top="1800" w:right="1200" w:bottom="1160" w:left="1260" w:header="0" w:footer="975" w:gutter="0"/>
          <w:cols w:space="720" w:num="1"/>
        </w:sectPr>
      </w:pPr>
    </w:p>
    <w:p w14:paraId="195E8D9E">
      <w:pPr>
        <w:spacing w:before="28" w:line="340" w:lineRule="auto"/>
        <w:ind w:left="213" w:right="295"/>
        <w:rPr>
          <w:sz w:val="32"/>
          <w:szCs w:val="32"/>
        </w:rPr>
      </w:pPr>
      <w:r>
        <w:rPr>
          <w:spacing w:val="23"/>
          <w:w w:val="99"/>
          <w:sz w:val="32"/>
          <w:szCs w:val="32"/>
        </w:rPr>
        <w:t>与企业间应急物资储备信息交换机制，建立资金与生产力匹</w:t>
      </w:r>
      <w:r>
        <w:rPr>
          <w:spacing w:val="19"/>
          <w:w w:val="99"/>
          <w:sz w:val="32"/>
          <w:szCs w:val="32"/>
        </w:rPr>
        <w:t>配机制，做好应急物资储备工作。</w:t>
      </w:r>
    </w:p>
    <w:p w14:paraId="5B6BA57D">
      <w:pPr>
        <w:spacing w:line="390" w:lineRule="exact"/>
        <w:ind w:left="897"/>
        <w:rPr>
          <w:rFonts w:ascii="黑体" w:eastAsia="黑体"/>
          <w:sz w:val="32"/>
          <w:szCs w:val="32"/>
        </w:rPr>
      </w:pPr>
      <w:r>
        <w:rPr>
          <w:rFonts w:ascii="黑体" w:eastAsia="黑体"/>
          <w:spacing w:val="18"/>
          <w:w w:val="95"/>
          <w:sz w:val="32"/>
          <w:szCs w:val="32"/>
        </w:rPr>
        <w:t>五、促进全民健身事业普惠化发展</w:t>
      </w:r>
    </w:p>
    <w:p w14:paraId="4BB88400">
      <w:pPr>
        <w:spacing w:before="166" w:line="338" w:lineRule="auto"/>
        <w:ind w:left="213" w:right="120" w:firstLine="684"/>
        <w:rPr>
          <w:sz w:val="32"/>
          <w:szCs w:val="32"/>
        </w:rPr>
      </w:pPr>
      <w:r>
        <w:rPr>
          <w:spacing w:val="23"/>
          <w:w w:val="99"/>
          <w:sz w:val="32"/>
          <w:szCs w:val="32"/>
        </w:rPr>
        <w:t>完善公共体育设施的生态建设和管理，不断满足群众日</w:t>
      </w:r>
      <w:r>
        <w:rPr>
          <w:spacing w:val="12"/>
          <w:w w:val="99"/>
          <w:sz w:val="32"/>
          <w:szCs w:val="32"/>
        </w:rPr>
        <w:t>益增长的多元化体育健身需求，人均体育场地面积明显提高。</w:t>
      </w:r>
      <w:r>
        <w:rPr>
          <w:spacing w:val="23"/>
          <w:w w:val="99"/>
          <w:sz w:val="32"/>
          <w:szCs w:val="32"/>
        </w:rPr>
        <w:t>促进体育场地设施建设，着力构建三级全民健身设施网络。到</w:t>
      </w:r>
      <w:r>
        <w:rPr>
          <w:spacing w:val="-86"/>
          <w:sz w:val="32"/>
          <w:szCs w:val="32"/>
        </w:rPr>
        <w:t xml:space="preserve"> </w:t>
      </w:r>
      <w:r>
        <w:rPr>
          <w:rFonts w:ascii="Calibri" w:eastAsia="Calibri"/>
          <w:spacing w:val="8"/>
          <w:w w:val="99"/>
          <w:sz w:val="32"/>
          <w:szCs w:val="32"/>
        </w:rPr>
        <w:t>2</w:t>
      </w:r>
      <w:r>
        <w:rPr>
          <w:rFonts w:ascii="Calibri" w:eastAsia="Calibri"/>
          <w:spacing w:val="11"/>
          <w:w w:val="99"/>
          <w:sz w:val="32"/>
          <w:szCs w:val="32"/>
        </w:rPr>
        <w:t>0</w:t>
      </w:r>
      <w:r>
        <w:rPr>
          <w:rFonts w:ascii="Calibri" w:eastAsia="Calibri"/>
          <w:spacing w:val="15"/>
          <w:w w:val="99"/>
          <w:sz w:val="32"/>
          <w:szCs w:val="32"/>
        </w:rPr>
        <w:t>2</w:t>
      </w:r>
      <w:r>
        <w:rPr>
          <w:rFonts w:ascii="Calibri" w:eastAsia="Calibri"/>
          <w:w w:val="99"/>
          <w:sz w:val="32"/>
          <w:szCs w:val="32"/>
        </w:rPr>
        <w:t>5</w:t>
      </w:r>
      <w:r>
        <w:rPr>
          <w:rFonts w:ascii="Calibri" w:eastAsia="Calibri"/>
          <w:spacing w:val="-11"/>
          <w:sz w:val="32"/>
          <w:szCs w:val="32"/>
        </w:rPr>
        <w:t xml:space="preserve"> </w:t>
      </w:r>
      <w:r>
        <w:rPr>
          <w:spacing w:val="7"/>
          <w:w w:val="99"/>
          <w:sz w:val="32"/>
          <w:szCs w:val="32"/>
        </w:rPr>
        <w:t>年，确保社区公共体育设施覆盖率达</w:t>
      </w:r>
      <w:r>
        <w:rPr>
          <w:spacing w:val="-83"/>
          <w:sz w:val="32"/>
          <w:szCs w:val="32"/>
        </w:rPr>
        <w:t xml:space="preserve"> </w:t>
      </w:r>
      <w:r>
        <w:rPr>
          <w:rFonts w:ascii="Calibri" w:eastAsia="Calibri"/>
          <w:spacing w:val="6"/>
          <w:w w:val="99"/>
          <w:sz w:val="32"/>
          <w:szCs w:val="32"/>
        </w:rPr>
        <w:t>9</w:t>
      </w:r>
      <w:r>
        <w:rPr>
          <w:rFonts w:ascii="Calibri" w:eastAsia="Calibri"/>
          <w:spacing w:val="11"/>
          <w:w w:val="99"/>
          <w:sz w:val="32"/>
          <w:szCs w:val="32"/>
        </w:rPr>
        <w:t>0</w:t>
      </w:r>
      <w:r>
        <w:rPr>
          <w:rFonts w:ascii="Calibri" w:eastAsia="Calibri"/>
          <w:spacing w:val="16"/>
          <w:w w:val="99"/>
          <w:sz w:val="32"/>
          <w:szCs w:val="32"/>
        </w:rPr>
        <w:t>%</w:t>
      </w:r>
      <w:r>
        <w:rPr>
          <w:spacing w:val="-63"/>
          <w:w w:val="99"/>
          <w:sz w:val="32"/>
          <w:szCs w:val="32"/>
        </w:rPr>
        <w:t>以上，村</w:t>
      </w:r>
      <w:r>
        <w:rPr>
          <w:spacing w:val="21"/>
          <w:w w:val="99"/>
          <w:sz w:val="32"/>
          <w:szCs w:val="32"/>
        </w:rPr>
        <w:t>（</w:t>
      </w:r>
      <w:r>
        <w:rPr>
          <w:spacing w:val="24"/>
          <w:w w:val="99"/>
          <w:sz w:val="32"/>
          <w:szCs w:val="32"/>
        </w:rPr>
        <w:t>居</w:t>
      </w:r>
      <w:r>
        <w:rPr>
          <w:w w:val="99"/>
          <w:sz w:val="32"/>
          <w:szCs w:val="32"/>
        </w:rPr>
        <w:t>）</w:t>
      </w:r>
      <w:r>
        <w:rPr>
          <w:spacing w:val="21"/>
          <w:w w:val="99"/>
          <w:sz w:val="32"/>
          <w:szCs w:val="32"/>
        </w:rPr>
        <w:t>覆盖率达</w:t>
      </w:r>
      <w:r>
        <w:rPr>
          <w:spacing w:val="-45"/>
          <w:sz w:val="32"/>
          <w:szCs w:val="32"/>
        </w:rPr>
        <w:t xml:space="preserve"> </w:t>
      </w:r>
      <w:r>
        <w:rPr>
          <w:rFonts w:ascii="Calibri" w:eastAsia="Calibri"/>
          <w:spacing w:val="6"/>
          <w:w w:val="99"/>
          <w:sz w:val="32"/>
          <w:szCs w:val="32"/>
        </w:rPr>
        <w:t>8</w:t>
      </w:r>
      <w:r>
        <w:rPr>
          <w:rFonts w:ascii="Calibri" w:eastAsia="Calibri"/>
          <w:spacing w:val="13"/>
          <w:w w:val="99"/>
          <w:sz w:val="32"/>
          <w:szCs w:val="32"/>
        </w:rPr>
        <w:t>0</w:t>
      </w:r>
      <w:r>
        <w:rPr>
          <w:rFonts w:ascii="Calibri" w:eastAsia="Calibri"/>
          <w:spacing w:val="21"/>
          <w:w w:val="99"/>
          <w:sz w:val="32"/>
          <w:szCs w:val="32"/>
        </w:rPr>
        <w:t>%</w:t>
      </w:r>
      <w:r>
        <w:rPr>
          <w:spacing w:val="20"/>
          <w:w w:val="99"/>
          <w:sz w:val="32"/>
          <w:szCs w:val="32"/>
        </w:rPr>
        <w:t>以上，</w:t>
      </w:r>
      <w:r>
        <w:rPr>
          <w:spacing w:val="-131"/>
          <w:sz w:val="32"/>
          <w:szCs w:val="32"/>
        </w:rPr>
        <w:t xml:space="preserve"> </w:t>
      </w:r>
      <w:r>
        <w:rPr>
          <w:spacing w:val="25"/>
          <w:w w:val="99"/>
          <w:sz w:val="32"/>
          <w:szCs w:val="32"/>
        </w:rPr>
        <w:t>人均体育场地面积达</w:t>
      </w:r>
      <w:r>
        <w:rPr>
          <w:spacing w:val="-45"/>
          <w:sz w:val="32"/>
          <w:szCs w:val="32"/>
        </w:rPr>
        <w:t xml:space="preserve"> </w:t>
      </w:r>
      <w:r>
        <w:rPr>
          <w:rFonts w:ascii="Calibri" w:eastAsia="Calibri"/>
          <w:spacing w:val="8"/>
          <w:w w:val="99"/>
          <w:sz w:val="32"/>
          <w:szCs w:val="32"/>
        </w:rPr>
        <w:t>7</w:t>
      </w:r>
      <w:r>
        <w:rPr>
          <w:rFonts w:ascii="Calibri" w:eastAsia="Calibri"/>
          <w:spacing w:val="10"/>
          <w:w w:val="99"/>
          <w:sz w:val="32"/>
          <w:szCs w:val="32"/>
        </w:rPr>
        <w:t>.</w:t>
      </w:r>
      <w:r>
        <w:rPr>
          <w:rFonts w:ascii="Calibri" w:eastAsia="Calibri"/>
          <w:w w:val="99"/>
          <w:sz w:val="32"/>
          <w:szCs w:val="32"/>
        </w:rPr>
        <w:t>5</w:t>
      </w:r>
      <w:r>
        <w:rPr>
          <w:rFonts w:ascii="Calibri" w:eastAsia="Calibri"/>
          <w:spacing w:val="34"/>
          <w:sz w:val="32"/>
          <w:szCs w:val="32"/>
        </w:rPr>
        <w:t xml:space="preserve"> </w:t>
      </w:r>
      <w:r>
        <w:rPr>
          <w:spacing w:val="24"/>
          <w:w w:val="99"/>
          <w:sz w:val="32"/>
          <w:szCs w:val="32"/>
        </w:rPr>
        <w:t>平方米以上。</w:t>
      </w:r>
      <w:r>
        <w:rPr>
          <w:spacing w:val="23"/>
          <w:w w:val="99"/>
          <w:sz w:val="32"/>
          <w:szCs w:val="32"/>
        </w:rPr>
        <w:t>竞技体育综合实力进一步增强，体育产业高质量发展取得新</w:t>
      </w:r>
      <w:r>
        <w:rPr>
          <w:spacing w:val="14"/>
          <w:w w:val="99"/>
          <w:sz w:val="32"/>
          <w:szCs w:val="32"/>
        </w:rPr>
        <w:t>进展。</w:t>
      </w:r>
    </w:p>
    <w:p w14:paraId="00ACDACE">
      <w:pPr>
        <w:spacing w:before="11" w:line="338" w:lineRule="auto"/>
        <w:ind w:left="213" w:right="126" w:firstLine="684"/>
        <w:rPr>
          <w:sz w:val="32"/>
          <w:szCs w:val="32"/>
        </w:rPr>
      </w:pPr>
      <w:r>
        <w:rPr>
          <w:b/>
          <w:spacing w:val="26"/>
          <w:w w:val="99"/>
          <w:sz w:val="32"/>
          <w:szCs w:val="32"/>
        </w:rPr>
        <w:t>构建完善城乡全民健身服务圈。</w:t>
      </w:r>
      <w:r>
        <w:rPr>
          <w:spacing w:val="21"/>
          <w:w w:val="99"/>
          <w:sz w:val="32"/>
          <w:szCs w:val="32"/>
        </w:rPr>
        <w:t>以创建全国全民运动健</w:t>
      </w:r>
      <w:r>
        <w:rPr>
          <w:spacing w:val="23"/>
          <w:w w:val="99"/>
          <w:sz w:val="32"/>
          <w:szCs w:val="32"/>
        </w:rPr>
        <w:t>身模范区为契机，大力促进体育场地设施建设。推进宁夏国际会堂体育运动公园、银川市文化园全民健身中心综合馆、</w:t>
      </w:r>
      <w:r>
        <w:rPr>
          <w:spacing w:val="20"/>
          <w:w w:val="99"/>
          <w:sz w:val="32"/>
          <w:szCs w:val="32"/>
        </w:rPr>
        <w:t>体育健身主题公园、</w:t>
      </w:r>
      <w:r>
        <w:rPr>
          <w:rFonts w:ascii="Calibri" w:hAnsi="Calibri" w:eastAsia="Calibri"/>
          <w:spacing w:val="6"/>
          <w:w w:val="99"/>
          <w:sz w:val="32"/>
          <w:szCs w:val="32"/>
        </w:rPr>
        <w:t>1</w:t>
      </w:r>
      <w:r>
        <w:rPr>
          <w:rFonts w:ascii="Calibri" w:hAnsi="Calibri" w:eastAsia="Calibri"/>
          <w:w w:val="99"/>
          <w:sz w:val="32"/>
          <w:szCs w:val="32"/>
        </w:rPr>
        <w:t>1</w:t>
      </w:r>
      <w:r>
        <w:rPr>
          <w:rFonts w:ascii="Calibri" w:hAnsi="Calibri" w:eastAsia="Calibri"/>
          <w:spacing w:val="29"/>
          <w:sz w:val="32"/>
          <w:szCs w:val="32"/>
        </w:rPr>
        <w:t xml:space="preserve"> </w:t>
      </w:r>
      <w:r>
        <w:rPr>
          <w:spacing w:val="18"/>
          <w:w w:val="99"/>
          <w:sz w:val="32"/>
          <w:szCs w:val="32"/>
        </w:rPr>
        <w:t>人制足球场等专项型、适用性强的体</w:t>
      </w:r>
      <w:r>
        <w:rPr>
          <w:spacing w:val="23"/>
          <w:w w:val="99"/>
          <w:sz w:val="32"/>
          <w:szCs w:val="32"/>
        </w:rPr>
        <w:t>育场地设施建设。充分利用自然资源、公园绿地开辟健身设</w:t>
      </w:r>
      <w:r>
        <w:rPr>
          <w:spacing w:val="9"/>
          <w:w w:val="99"/>
          <w:sz w:val="32"/>
          <w:szCs w:val="32"/>
        </w:rPr>
        <w:t>施，在河两岸、绿地、楼宇(顶、地下室)等配建篮球、足球、</w:t>
      </w:r>
      <w:r>
        <w:rPr>
          <w:spacing w:val="23"/>
          <w:w w:val="99"/>
          <w:sz w:val="32"/>
          <w:szCs w:val="32"/>
        </w:rPr>
        <w:t>乒乓球、羽毛球、健身步道等运动场所。在机关、企事业单位开辟空地安装体育设施，为职工参加体育锻炼创造条件。因地制宜，科学规划，全面推进滨水绿道、旅游风景廊道、绿道、骑行道、休闲步行道等全城健身网络体系建设。推进阅海湾全民健身冰上运动中心项目建设，引进国际化活动赛</w:t>
      </w:r>
      <w:r>
        <w:rPr>
          <w:spacing w:val="3"/>
          <w:w w:val="99"/>
          <w:sz w:val="32"/>
          <w:szCs w:val="32"/>
        </w:rPr>
        <w:t>事。规划建设金凤区“养生公园”，积极推广覆盖全生命周期</w:t>
      </w:r>
      <w:r>
        <w:rPr>
          <w:spacing w:val="19"/>
          <w:w w:val="99"/>
          <w:sz w:val="32"/>
          <w:szCs w:val="32"/>
        </w:rPr>
        <w:t>的运动健康服务，推动“体育+”发展新格局。</w:t>
      </w:r>
    </w:p>
    <w:p w14:paraId="2BC9C9EE">
      <w:pPr>
        <w:spacing w:line="338" w:lineRule="auto"/>
        <w:sectPr>
          <w:pgSz w:w="11910" w:h="16840"/>
          <w:pgMar w:top="1800" w:right="1200" w:bottom="1160" w:left="1260" w:header="0" w:footer="975" w:gutter="0"/>
          <w:cols w:space="720" w:num="1"/>
        </w:sectPr>
      </w:pPr>
    </w:p>
    <w:p w14:paraId="3D7874C5">
      <w:pPr>
        <w:spacing w:before="28" w:line="338" w:lineRule="auto"/>
        <w:ind w:left="213" w:right="290" w:firstLine="684"/>
        <w:jc w:val="both"/>
        <w:rPr>
          <w:sz w:val="32"/>
          <w:szCs w:val="32"/>
        </w:rPr>
      </w:pPr>
      <w:r>
        <w:rPr>
          <w:b/>
          <w:spacing w:val="26"/>
          <w:w w:val="99"/>
          <w:sz w:val="32"/>
          <w:szCs w:val="32"/>
        </w:rPr>
        <w:t>提升公共体育场地及设施管理。</w:t>
      </w:r>
      <w:r>
        <w:rPr>
          <w:spacing w:val="21"/>
          <w:w w:val="99"/>
          <w:sz w:val="32"/>
          <w:szCs w:val="32"/>
        </w:rPr>
        <w:t>加大老年人、残疾人等</w:t>
      </w:r>
      <w:r>
        <w:rPr>
          <w:spacing w:val="23"/>
          <w:w w:val="99"/>
          <w:sz w:val="32"/>
          <w:szCs w:val="32"/>
        </w:rPr>
        <w:t>特殊人群的健身服务供给，并提供科学指导。全面落实脱贫不脱政策要求，加大对良田镇、丰登镇体育基础设施支持力度，让广大群众共享体育发展成果。实施体育场馆免费、低收费开放的补助政策，执行体育场馆税收优惠政策，积极推动各类公共体育设施免费或低收费开放，提高公共体育场馆利用率。积极鼓励社会资本参与新建体育场馆建设与运营，支持社会力量建设小型、多样的运动场地设施并参与管理运营。加强对新建住宅小区、移民搬迁小区、廉租房小区等配套公共体育设施的支持和督查力度，实现全民健身路径在社区、小区、公共绿化广场等全覆盖，不断提升辖区内各类体</w:t>
      </w:r>
      <w:r>
        <w:rPr>
          <w:spacing w:val="19"/>
          <w:w w:val="99"/>
          <w:sz w:val="32"/>
          <w:szCs w:val="32"/>
        </w:rPr>
        <w:t>育设施的利用率和管理、运营、服务水平。</w:t>
      </w:r>
    </w:p>
    <w:p w14:paraId="51247760">
      <w:pPr>
        <w:spacing w:before="22" w:line="338" w:lineRule="auto"/>
        <w:ind w:left="213" w:right="126" w:firstLine="684"/>
        <w:rPr>
          <w:sz w:val="32"/>
          <w:szCs w:val="32"/>
        </w:rPr>
      </w:pPr>
      <w:r>
        <w:rPr>
          <w:b/>
          <w:spacing w:val="26"/>
          <w:w w:val="99"/>
          <w:sz w:val="32"/>
          <w:szCs w:val="32"/>
        </w:rPr>
        <w:t>大力开展全民健身活动。</w:t>
      </w:r>
      <w:r>
        <w:rPr>
          <w:spacing w:val="22"/>
          <w:w w:val="99"/>
          <w:sz w:val="32"/>
          <w:szCs w:val="32"/>
        </w:rPr>
        <w:t>指导镇、街道、村居利用群众</w:t>
      </w:r>
      <w:r>
        <w:rPr>
          <w:spacing w:val="23"/>
          <w:w w:val="99"/>
          <w:sz w:val="32"/>
          <w:szCs w:val="32"/>
        </w:rPr>
        <w:t>体育三级服务组织，全面开展“百乡千村农民活动月”等便民、利民健身体育活动。依托阅海湖等水域和湖泊资源，发展皮划艇、摩托艇、游泳、垂钓、龙舟等水上运动项目，打造金凤户外特色水上运动品牌。实施冬季冰雪运动推广普及计划，推广滑雪、滑冰、冰球、冰钓、冰上龙舟、攀冰等系列冰雪休闲项目，培育发展冰雪设备和运动装备产业，支持</w:t>
      </w:r>
      <w:r>
        <w:rPr>
          <w:spacing w:val="11"/>
          <w:w w:val="99"/>
          <w:sz w:val="32"/>
          <w:szCs w:val="32"/>
        </w:rPr>
        <w:t>冰雪项目社会组织建设，提升冰雪运动普及和产业发展水平。</w:t>
      </w:r>
      <w:r>
        <w:rPr>
          <w:spacing w:val="23"/>
          <w:w w:val="99"/>
          <w:sz w:val="32"/>
          <w:szCs w:val="32"/>
        </w:rPr>
        <w:t>挖掘民俗、民间传统体育项目，修订完善运动方法和活动规则，扶持推广风筝、方棋、踏脚、木球、掼牛等传统体育活动，开展农民体育运动会和趣味运动会，促进传统体育活动</w:t>
      </w:r>
    </w:p>
    <w:p w14:paraId="7F048C3E">
      <w:pPr>
        <w:spacing w:before="28"/>
        <w:ind w:left="113"/>
        <w:rPr>
          <w:sz w:val="32"/>
          <w:szCs w:val="32"/>
        </w:rPr>
      </w:pPr>
      <w:r>
        <w:rPr>
          <w:spacing w:val="14"/>
          <w:w w:val="95"/>
          <w:sz w:val="32"/>
          <w:szCs w:val="32"/>
        </w:rPr>
        <w:t>广泛开展。</w:t>
      </w:r>
    </w:p>
    <w:p w14:paraId="6C8515B7">
      <w:pPr>
        <w:spacing w:before="170" w:line="338" w:lineRule="auto"/>
        <w:ind w:left="113" w:right="120" w:firstLine="664"/>
        <w:rPr>
          <w:sz w:val="32"/>
          <w:szCs w:val="32"/>
        </w:rPr>
      </w:pPr>
      <w:r>
        <w:rPr>
          <w:b/>
          <w:spacing w:val="11"/>
          <w:w w:val="99"/>
          <w:sz w:val="32"/>
          <w:szCs w:val="32"/>
        </w:rPr>
        <w:t>不断提高竞技体育综合实力。</w:t>
      </w:r>
      <w:r>
        <w:rPr>
          <w:spacing w:val="10"/>
          <w:w w:val="99"/>
          <w:sz w:val="32"/>
          <w:szCs w:val="32"/>
        </w:rPr>
        <w:t>积极探索多元办赛机制，以体育社会组织引领带动校园体育发展，建立从小学、初中到高</w:t>
      </w:r>
      <w:r>
        <w:rPr>
          <w:spacing w:val="9"/>
          <w:w w:val="99"/>
          <w:sz w:val="32"/>
          <w:szCs w:val="32"/>
        </w:rPr>
        <w:t>中的体育人才发掘培养体系，举办多层次、多样化的各类体育</w:t>
      </w:r>
      <w:r>
        <w:rPr>
          <w:spacing w:val="18"/>
          <w:w w:val="99"/>
          <w:sz w:val="32"/>
          <w:szCs w:val="32"/>
        </w:rPr>
        <w:t>赛事、运动会</w:t>
      </w:r>
      <w:r>
        <w:rPr>
          <w:spacing w:val="19"/>
          <w:w w:val="99"/>
          <w:sz w:val="32"/>
          <w:szCs w:val="32"/>
        </w:rPr>
        <w:t>（节</w:t>
      </w:r>
      <w:r>
        <w:rPr>
          <w:spacing w:val="-147"/>
          <w:w w:val="99"/>
          <w:sz w:val="32"/>
          <w:szCs w:val="32"/>
        </w:rPr>
        <w:t>）</w:t>
      </w:r>
      <w:r>
        <w:rPr>
          <w:spacing w:val="16"/>
          <w:w w:val="99"/>
          <w:sz w:val="32"/>
          <w:szCs w:val="32"/>
        </w:rPr>
        <w:t>，大力发展田径、足球、篮球、排球、乒</w:t>
      </w:r>
      <w:r>
        <w:rPr>
          <w:spacing w:val="10"/>
          <w:w w:val="99"/>
          <w:sz w:val="32"/>
          <w:szCs w:val="32"/>
        </w:rPr>
        <w:t>乓球、羽毛球、武术、射击等竞技性强、普及面广的体育运动</w:t>
      </w:r>
      <w:r>
        <w:rPr>
          <w:spacing w:val="-1"/>
          <w:w w:val="99"/>
          <w:sz w:val="32"/>
          <w:szCs w:val="32"/>
        </w:rPr>
        <w:t>项目。扶持各类足球单项协会和足球俱乐部的发展，建立初中、</w:t>
      </w:r>
      <w:r>
        <w:rPr>
          <w:spacing w:val="9"/>
          <w:w w:val="99"/>
          <w:sz w:val="32"/>
          <w:szCs w:val="32"/>
        </w:rPr>
        <w:t>小学足球竞赛体系，推动全国青少年足球特色学校的创建，举</w:t>
      </w:r>
      <w:r>
        <w:rPr>
          <w:spacing w:val="11"/>
          <w:w w:val="99"/>
          <w:sz w:val="32"/>
          <w:szCs w:val="32"/>
        </w:rPr>
        <w:t>办多层次足球赛事，不断提高青少年竞技体育水平。</w:t>
      </w:r>
    </w:p>
    <w:p w14:paraId="489EFC99">
      <w:pPr>
        <w:spacing w:before="15" w:line="338" w:lineRule="auto"/>
        <w:ind w:left="113" w:right="278" w:firstLine="664"/>
        <w:jc w:val="both"/>
        <w:rPr>
          <w:sz w:val="32"/>
          <w:szCs w:val="32"/>
        </w:rPr>
      </w:pPr>
      <w:r>
        <w:rPr>
          <w:sz w:val="32"/>
          <w:szCs w:val="32"/>
        </w:rPr>
        <mc:AlternateContent>
          <mc:Choice Requires="wps">
            <w:drawing>
              <wp:anchor distT="0" distB="0" distL="114300" distR="114300" simplePos="0" relativeHeight="251707392" behindDoc="1" locked="0" layoutInCell="1" allowOverlap="1">
                <wp:simplePos x="0" y="0"/>
                <wp:positionH relativeFrom="page">
                  <wp:posOffset>932815</wp:posOffset>
                </wp:positionH>
                <wp:positionV relativeFrom="paragraph">
                  <wp:posOffset>3235325</wp:posOffset>
                </wp:positionV>
                <wp:extent cx="5694680" cy="1832610"/>
                <wp:effectExtent l="0" t="0" r="0" b="0"/>
                <wp:wrapNone/>
                <wp:docPr id="17"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5694680" cy="1832610"/>
                        </a:xfrm>
                        <a:prstGeom prst="rect">
                          <a:avLst/>
                        </a:prstGeom>
                        <a:noFill/>
                        <a:ln w="6096">
                          <a:solidFill>
                            <a:srgbClr val="000000"/>
                          </a:solidFill>
                          <a:prstDash val="solid"/>
                          <a:miter lim="800000"/>
                        </a:ln>
                      </wps:spPr>
                      <wps:txbx>
                        <w:txbxContent>
                          <w:p w14:paraId="2B613DEB">
                            <w:pPr>
                              <w:spacing w:before="80"/>
                              <w:ind w:left="2661" w:right="2683"/>
                              <w:jc w:val="center"/>
                              <w:rPr>
                                <w:rFonts w:ascii="黑体" w:eastAsia="黑体"/>
                                <w:sz w:val="24"/>
                              </w:rPr>
                            </w:pPr>
                            <w:r>
                              <w:rPr>
                                <w:rFonts w:ascii="黑体" w:eastAsia="黑体"/>
                                <w:spacing w:val="-4"/>
                                <w:sz w:val="24"/>
                              </w:rPr>
                              <w:t xml:space="preserve">专栏 </w:t>
                            </w:r>
                            <w:r>
                              <w:rPr>
                                <w:rFonts w:ascii="黑体" w:eastAsia="黑体"/>
                                <w:sz w:val="24"/>
                              </w:rPr>
                              <w:t>8</w:t>
                            </w:r>
                            <w:r>
                              <w:rPr>
                                <w:rFonts w:ascii="黑体" w:eastAsia="黑体"/>
                                <w:spacing w:val="115"/>
                                <w:w w:val="150"/>
                                <w:sz w:val="24"/>
                              </w:rPr>
                              <w:t xml:space="preserve"> </w:t>
                            </w:r>
                            <w:r>
                              <w:rPr>
                                <w:rFonts w:ascii="黑体" w:eastAsia="黑体"/>
                                <w:spacing w:val="17"/>
                                <w:sz w:val="24"/>
                              </w:rPr>
                              <w:t>健康金凤重点建设项目</w:t>
                            </w:r>
                          </w:p>
                          <w:p w14:paraId="4C91218F">
                            <w:pPr>
                              <w:spacing w:before="191" w:line="355" w:lineRule="auto"/>
                              <w:ind w:left="102" w:right="110" w:firstLine="463"/>
                              <w:rPr>
                                <w:rFonts w:ascii="宋体" w:eastAsia="宋体"/>
                                <w:sz w:val="21"/>
                              </w:rPr>
                            </w:pPr>
                            <w:r>
                              <w:rPr>
                                <w:rFonts w:hint="eastAsia" w:ascii="宋体" w:eastAsia="宋体"/>
                                <w:b/>
                                <w:spacing w:val="20"/>
                                <w:w w:val="99"/>
                                <w:sz w:val="21"/>
                              </w:rPr>
                              <w:t>公共卫生服务体系建设工程项目。</w:t>
                            </w:r>
                            <w:r>
                              <w:rPr>
                                <w:rFonts w:ascii="宋体" w:eastAsia="宋体"/>
                                <w:spacing w:val="18"/>
                                <w:w w:val="99"/>
                                <w:sz w:val="21"/>
                              </w:rPr>
                              <w:t>银川市第二人民医院传染病楼建设工程、金凤区</w:t>
                            </w:r>
                            <w:r>
                              <w:rPr>
                                <w:rFonts w:ascii="宋体" w:eastAsia="宋体"/>
                                <w:spacing w:val="19"/>
                                <w:w w:val="99"/>
                                <w:sz w:val="21"/>
                              </w:rPr>
                              <w:t>疾病预防控制中心等项目。</w:t>
                            </w:r>
                          </w:p>
                          <w:p w14:paraId="76C145D6">
                            <w:pPr>
                              <w:spacing w:before="3" w:line="357" w:lineRule="auto"/>
                              <w:ind w:left="102" w:right="112" w:firstLine="463"/>
                              <w:rPr>
                                <w:rFonts w:ascii="宋体" w:eastAsia="宋体"/>
                                <w:sz w:val="21"/>
                              </w:rPr>
                            </w:pPr>
                            <w:r>
                              <w:rPr>
                                <w:rFonts w:hint="eastAsia" w:ascii="宋体" w:eastAsia="宋体"/>
                                <w:b/>
                                <w:spacing w:val="20"/>
                                <w:w w:val="99"/>
                                <w:sz w:val="21"/>
                              </w:rPr>
                              <w:t>医疗卫生服务能力提升工程项目。</w:t>
                            </w:r>
                            <w:r>
                              <w:rPr>
                                <w:rFonts w:ascii="宋体" w:eastAsia="宋体"/>
                                <w:spacing w:val="16"/>
                                <w:w w:val="99"/>
                                <w:sz w:val="21"/>
                              </w:rPr>
                              <w:t>金凤区人民医院分院、北京中路社区卫生服务中</w:t>
                            </w:r>
                            <w:r>
                              <w:rPr>
                                <w:rFonts w:ascii="宋体" w:eastAsia="宋体"/>
                                <w:spacing w:val="20"/>
                                <w:w w:val="99"/>
                                <w:sz w:val="21"/>
                              </w:rPr>
                              <w:t>心、丰登镇社区医院、金凤区人民医院、金凤区中医院、金凤区妇幼保健院等项目。</w:t>
                            </w:r>
                          </w:p>
                          <w:p w14:paraId="6FA1093E">
                            <w:pPr>
                              <w:spacing w:line="266" w:lineRule="exact"/>
                              <w:ind w:left="566"/>
                              <w:rPr>
                                <w:rFonts w:ascii="宋体" w:eastAsia="宋体"/>
                                <w:sz w:val="21"/>
                              </w:rPr>
                            </w:pPr>
                            <w:r>
                              <w:rPr>
                                <w:rFonts w:hint="eastAsia" w:ascii="宋体" w:eastAsia="宋体"/>
                                <w:b/>
                                <w:spacing w:val="23"/>
                                <w:w w:val="95"/>
                                <w:sz w:val="21"/>
                              </w:rPr>
                              <w:t>养老服务体</w:t>
                            </w:r>
                            <w:r>
                              <w:rPr>
                                <w:rFonts w:hint="eastAsia" w:ascii="宋体" w:eastAsia="宋体"/>
                                <w:b/>
                                <w:spacing w:val="26"/>
                                <w:w w:val="95"/>
                                <w:sz w:val="21"/>
                              </w:rPr>
                              <w:t>系</w:t>
                            </w:r>
                            <w:r>
                              <w:rPr>
                                <w:rFonts w:hint="eastAsia" w:ascii="宋体" w:eastAsia="宋体"/>
                                <w:b/>
                                <w:spacing w:val="23"/>
                                <w:w w:val="95"/>
                                <w:sz w:val="21"/>
                              </w:rPr>
                              <w:t>项目</w:t>
                            </w:r>
                            <w:r>
                              <w:rPr>
                                <w:rFonts w:hint="eastAsia" w:ascii="宋体" w:eastAsia="宋体"/>
                                <w:b/>
                                <w:w w:val="95"/>
                                <w:sz w:val="21"/>
                              </w:rPr>
                              <w:t>。</w:t>
                            </w:r>
                            <w:r>
                              <w:rPr>
                                <w:rFonts w:ascii="宋体" w:eastAsia="宋体"/>
                                <w:spacing w:val="22"/>
                                <w:w w:val="95"/>
                                <w:sz w:val="21"/>
                              </w:rPr>
                              <w:t>银川</w:t>
                            </w:r>
                            <w:r>
                              <w:rPr>
                                <w:rFonts w:ascii="宋体" w:eastAsia="宋体"/>
                                <w:spacing w:val="23"/>
                                <w:w w:val="95"/>
                                <w:sz w:val="21"/>
                              </w:rPr>
                              <w:t>市养老</w:t>
                            </w:r>
                            <w:r>
                              <w:rPr>
                                <w:rFonts w:ascii="宋体" w:eastAsia="宋体"/>
                                <w:spacing w:val="21"/>
                                <w:w w:val="95"/>
                                <w:sz w:val="21"/>
                              </w:rPr>
                              <w:t>服</w:t>
                            </w:r>
                            <w:r>
                              <w:rPr>
                                <w:rFonts w:ascii="宋体" w:eastAsia="宋体"/>
                                <w:spacing w:val="23"/>
                                <w:w w:val="95"/>
                                <w:sz w:val="21"/>
                              </w:rPr>
                              <w:t>务培训</w:t>
                            </w:r>
                            <w:r>
                              <w:rPr>
                                <w:rFonts w:ascii="宋体" w:eastAsia="宋体"/>
                                <w:spacing w:val="17"/>
                                <w:w w:val="95"/>
                                <w:sz w:val="21"/>
                              </w:rPr>
                              <w:t>基地、公办</w:t>
                            </w:r>
                            <w:r>
                              <w:rPr>
                                <w:rFonts w:ascii="宋体" w:eastAsia="宋体"/>
                                <w:spacing w:val="23"/>
                                <w:w w:val="95"/>
                                <w:sz w:val="21"/>
                              </w:rPr>
                              <w:t>养老服</w:t>
                            </w:r>
                            <w:r>
                              <w:rPr>
                                <w:rFonts w:ascii="宋体" w:eastAsia="宋体"/>
                                <w:spacing w:val="21"/>
                                <w:w w:val="95"/>
                                <w:sz w:val="21"/>
                              </w:rPr>
                              <w:t>务</w:t>
                            </w:r>
                            <w:r>
                              <w:rPr>
                                <w:rFonts w:ascii="宋体" w:eastAsia="宋体"/>
                                <w:spacing w:val="23"/>
                                <w:w w:val="95"/>
                                <w:sz w:val="21"/>
                              </w:rPr>
                              <w:t>机构和</w:t>
                            </w:r>
                            <w:r>
                              <w:rPr>
                                <w:rFonts w:ascii="宋体" w:eastAsia="宋体"/>
                                <w:spacing w:val="21"/>
                                <w:w w:val="95"/>
                                <w:sz w:val="21"/>
                              </w:rPr>
                              <w:t>失</w:t>
                            </w:r>
                            <w:r>
                              <w:rPr>
                                <w:rFonts w:ascii="宋体" w:eastAsia="宋体"/>
                                <w:spacing w:val="23"/>
                                <w:w w:val="95"/>
                                <w:sz w:val="21"/>
                              </w:rPr>
                              <w:t>能老人</w:t>
                            </w:r>
                            <w:r>
                              <w:rPr>
                                <w:rFonts w:ascii="宋体" w:eastAsia="宋体"/>
                                <w:spacing w:val="5"/>
                                <w:w w:val="95"/>
                                <w:sz w:val="21"/>
                              </w:rPr>
                              <w:t>养护</w:t>
                            </w:r>
                          </w:p>
                          <w:p w14:paraId="0FEC7BF3">
                            <w:pPr>
                              <w:spacing w:before="132"/>
                              <w:ind w:left="102"/>
                              <w:rPr>
                                <w:rFonts w:ascii="宋体" w:eastAsia="宋体"/>
                                <w:sz w:val="21"/>
                              </w:rPr>
                            </w:pPr>
                            <w:r>
                              <w:rPr>
                                <w:rFonts w:ascii="宋体" w:eastAsia="宋体"/>
                                <w:spacing w:val="22"/>
                                <w:w w:val="95"/>
                                <w:sz w:val="21"/>
                              </w:rPr>
                              <w:t>院、</w:t>
                            </w:r>
                            <w:r>
                              <w:rPr>
                                <w:rFonts w:ascii="宋体" w:eastAsia="宋体"/>
                                <w:spacing w:val="23"/>
                                <w:w w:val="95"/>
                                <w:sz w:val="21"/>
                              </w:rPr>
                              <w:t>银川</w:t>
                            </w:r>
                            <w:r>
                              <w:rPr>
                                <w:rFonts w:ascii="宋体" w:eastAsia="宋体"/>
                                <w:spacing w:val="21"/>
                                <w:w w:val="95"/>
                                <w:sz w:val="21"/>
                              </w:rPr>
                              <w:t>隆</w:t>
                            </w:r>
                            <w:r>
                              <w:rPr>
                                <w:rFonts w:ascii="宋体" w:eastAsia="宋体"/>
                                <w:spacing w:val="23"/>
                                <w:w w:val="95"/>
                                <w:sz w:val="21"/>
                              </w:rPr>
                              <w:t>光养</w:t>
                            </w:r>
                            <w:r>
                              <w:rPr>
                                <w:rFonts w:ascii="宋体" w:eastAsia="宋体"/>
                                <w:spacing w:val="21"/>
                                <w:w w:val="95"/>
                                <w:sz w:val="21"/>
                              </w:rPr>
                              <w:t>老</w:t>
                            </w:r>
                            <w:r>
                              <w:rPr>
                                <w:rFonts w:ascii="宋体" w:eastAsia="宋体"/>
                                <w:spacing w:val="23"/>
                                <w:w w:val="95"/>
                                <w:sz w:val="21"/>
                              </w:rPr>
                              <w:t>产业</w:t>
                            </w:r>
                            <w:r>
                              <w:rPr>
                                <w:rFonts w:ascii="宋体" w:eastAsia="宋体"/>
                                <w:spacing w:val="21"/>
                                <w:w w:val="95"/>
                                <w:sz w:val="21"/>
                              </w:rPr>
                              <w:t>有</w:t>
                            </w:r>
                            <w:r>
                              <w:rPr>
                                <w:rFonts w:ascii="宋体" w:eastAsia="宋体"/>
                                <w:spacing w:val="23"/>
                                <w:w w:val="95"/>
                                <w:sz w:val="21"/>
                              </w:rPr>
                              <w:t>限公</w:t>
                            </w:r>
                            <w:r>
                              <w:rPr>
                                <w:rFonts w:ascii="宋体" w:eastAsia="宋体"/>
                                <w:spacing w:val="21"/>
                                <w:w w:val="95"/>
                                <w:sz w:val="21"/>
                              </w:rPr>
                              <w:t>司</w:t>
                            </w:r>
                            <w:r>
                              <w:rPr>
                                <w:rFonts w:ascii="宋体" w:eastAsia="宋体"/>
                                <w:spacing w:val="23"/>
                                <w:w w:val="95"/>
                                <w:sz w:val="21"/>
                              </w:rPr>
                              <w:t>康养</w:t>
                            </w:r>
                            <w:r>
                              <w:rPr>
                                <w:rFonts w:ascii="宋体" w:eastAsia="宋体"/>
                                <w:spacing w:val="21"/>
                                <w:w w:val="95"/>
                                <w:sz w:val="21"/>
                              </w:rPr>
                              <w:t>中</w:t>
                            </w:r>
                            <w:r>
                              <w:rPr>
                                <w:rFonts w:ascii="宋体" w:eastAsia="宋体"/>
                                <w:spacing w:val="23"/>
                                <w:w w:val="95"/>
                                <w:sz w:val="21"/>
                              </w:rPr>
                              <w:t>心、</w:t>
                            </w:r>
                            <w:r>
                              <w:rPr>
                                <w:rFonts w:ascii="宋体" w:eastAsia="宋体"/>
                                <w:spacing w:val="21"/>
                                <w:w w:val="95"/>
                                <w:sz w:val="21"/>
                              </w:rPr>
                              <w:t>紫</w:t>
                            </w:r>
                            <w:r>
                              <w:rPr>
                                <w:rFonts w:ascii="宋体" w:eastAsia="宋体"/>
                                <w:spacing w:val="23"/>
                                <w:w w:val="95"/>
                                <w:sz w:val="21"/>
                              </w:rPr>
                              <w:t>云华</w:t>
                            </w:r>
                            <w:r>
                              <w:rPr>
                                <w:rFonts w:ascii="宋体" w:eastAsia="宋体"/>
                                <w:spacing w:val="21"/>
                                <w:w w:val="95"/>
                                <w:sz w:val="21"/>
                              </w:rPr>
                              <w:t>庭</w:t>
                            </w:r>
                            <w:r>
                              <w:rPr>
                                <w:rFonts w:ascii="宋体" w:eastAsia="宋体"/>
                                <w:spacing w:val="23"/>
                                <w:w w:val="95"/>
                                <w:sz w:val="21"/>
                              </w:rPr>
                              <w:t>项目</w:t>
                            </w:r>
                            <w:r>
                              <w:rPr>
                                <w:rFonts w:ascii="宋体" w:eastAsia="宋体"/>
                                <w:spacing w:val="21"/>
                                <w:w w:val="95"/>
                                <w:sz w:val="21"/>
                              </w:rPr>
                              <w:t>康</w:t>
                            </w:r>
                            <w:r>
                              <w:rPr>
                                <w:rFonts w:ascii="宋体" w:eastAsia="宋体"/>
                                <w:spacing w:val="23"/>
                                <w:w w:val="95"/>
                                <w:sz w:val="21"/>
                              </w:rPr>
                              <w:t>养中</w:t>
                            </w:r>
                            <w:r>
                              <w:rPr>
                                <w:rFonts w:ascii="宋体" w:eastAsia="宋体"/>
                                <w:spacing w:val="21"/>
                                <w:w w:val="95"/>
                                <w:sz w:val="21"/>
                              </w:rPr>
                              <w:t>心</w:t>
                            </w:r>
                            <w:r>
                              <w:rPr>
                                <w:rFonts w:ascii="宋体" w:eastAsia="宋体"/>
                                <w:spacing w:val="23"/>
                                <w:w w:val="95"/>
                                <w:sz w:val="21"/>
                              </w:rPr>
                              <w:t>等项</w:t>
                            </w:r>
                            <w:r>
                              <w:rPr>
                                <w:rFonts w:ascii="宋体" w:eastAsia="宋体"/>
                                <w:spacing w:val="5"/>
                                <w:w w:val="95"/>
                                <w:sz w:val="21"/>
                              </w:rPr>
                              <w:t>目。</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3.45pt;margin-top:254.75pt;height:144.3pt;width:448.4pt;mso-position-horizontal-relative:page;z-index:-251609088;mso-width-relative:page;mso-height-relative:page;" filled="f" stroked="t" coordsize="21600,21600" o:gfxdata="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dOd4tgAAAAMAQAADwAAAAAAAAABACAAAAAiAAAA&#10;ZHJzL2Rvd25yZXYueG1sUEsBAhQAFAAAAAgAh07iQPLlgUxAAgAAagQAAA4AAAAAAAAAAQAgAAAA&#10;JwEAAGRycy9lMm9Eb2MueG1sUEsFBgAAAAAGAAYAWQEAANkFAAAAAA==&#10;">
                <v:fill on="f" focussize="0,0"/>
                <v:stroke weight="0.48pt" color="#000000" miterlimit="8" joinstyle="miter"/>
                <v:imagedata o:title=""/>
                <o:lock v:ext="edit" aspectratio="f"/>
                <v:textbox inset="0mm,0mm,0mm,0mm">
                  <w:txbxContent>
                    <w:p w14:paraId="2B613DEB">
                      <w:pPr>
                        <w:spacing w:before="80"/>
                        <w:ind w:left="2661" w:right="2683"/>
                        <w:jc w:val="center"/>
                        <w:rPr>
                          <w:rFonts w:ascii="黑体" w:eastAsia="黑体"/>
                          <w:sz w:val="24"/>
                        </w:rPr>
                      </w:pPr>
                      <w:r>
                        <w:rPr>
                          <w:rFonts w:ascii="黑体" w:eastAsia="黑体"/>
                          <w:spacing w:val="-4"/>
                          <w:sz w:val="24"/>
                        </w:rPr>
                        <w:t xml:space="preserve">专栏 </w:t>
                      </w:r>
                      <w:r>
                        <w:rPr>
                          <w:rFonts w:ascii="黑体" w:eastAsia="黑体"/>
                          <w:sz w:val="24"/>
                        </w:rPr>
                        <w:t>8</w:t>
                      </w:r>
                      <w:r>
                        <w:rPr>
                          <w:rFonts w:ascii="黑体" w:eastAsia="黑体"/>
                          <w:spacing w:val="115"/>
                          <w:w w:val="150"/>
                          <w:sz w:val="24"/>
                        </w:rPr>
                        <w:t xml:space="preserve"> </w:t>
                      </w:r>
                      <w:r>
                        <w:rPr>
                          <w:rFonts w:ascii="黑体" w:eastAsia="黑体"/>
                          <w:spacing w:val="17"/>
                          <w:sz w:val="24"/>
                        </w:rPr>
                        <w:t>健康金凤重点建设项目</w:t>
                      </w:r>
                    </w:p>
                    <w:p w14:paraId="4C91218F">
                      <w:pPr>
                        <w:spacing w:before="191" w:line="355" w:lineRule="auto"/>
                        <w:ind w:left="102" w:right="110" w:firstLine="463"/>
                        <w:rPr>
                          <w:rFonts w:ascii="宋体" w:eastAsia="宋体"/>
                          <w:sz w:val="21"/>
                        </w:rPr>
                      </w:pPr>
                      <w:r>
                        <w:rPr>
                          <w:rFonts w:hint="eastAsia" w:ascii="宋体" w:eastAsia="宋体"/>
                          <w:b/>
                          <w:spacing w:val="20"/>
                          <w:w w:val="99"/>
                          <w:sz w:val="21"/>
                        </w:rPr>
                        <w:t>公共卫生服务体系建设工程项目。</w:t>
                      </w:r>
                      <w:r>
                        <w:rPr>
                          <w:rFonts w:ascii="宋体" w:eastAsia="宋体"/>
                          <w:spacing w:val="18"/>
                          <w:w w:val="99"/>
                          <w:sz w:val="21"/>
                        </w:rPr>
                        <w:t>银川市第二人民医院传染病楼建设工程、金凤区</w:t>
                      </w:r>
                      <w:r>
                        <w:rPr>
                          <w:rFonts w:ascii="宋体" w:eastAsia="宋体"/>
                          <w:spacing w:val="19"/>
                          <w:w w:val="99"/>
                          <w:sz w:val="21"/>
                        </w:rPr>
                        <w:t>疾病预防控制中心等项目。</w:t>
                      </w:r>
                    </w:p>
                    <w:p w14:paraId="76C145D6">
                      <w:pPr>
                        <w:spacing w:before="3" w:line="357" w:lineRule="auto"/>
                        <w:ind w:left="102" w:right="112" w:firstLine="463"/>
                        <w:rPr>
                          <w:rFonts w:ascii="宋体" w:eastAsia="宋体"/>
                          <w:sz w:val="21"/>
                        </w:rPr>
                      </w:pPr>
                      <w:r>
                        <w:rPr>
                          <w:rFonts w:hint="eastAsia" w:ascii="宋体" w:eastAsia="宋体"/>
                          <w:b/>
                          <w:spacing w:val="20"/>
                          <w:w w:val="99"/>
                          <w:sz w:val="21"/>
                        </w:rPr>
                        <w:t>医疗卫生服务能力提升工程项目。</w:t>
                      </w:r>
                      <w:r>
                        <w:rPr>
                          <w:rFonts w:ascii="宋体" w:eastAsia="宋体"/>
                          <w:spacing w:val="16"/>
                          <w:w w:val="99"/>
                          <w:sz w:val="21"/>
                        </w:rPr>
                        <w:t>金凤区人民医院分院、北京中路社区卫生服务中</w:t>
                      </w:r>
                      <w:r>
                        <w:rPr>
                          <w:rFonts w:ascii="宋体" w:eastAsia="宋体"/>
                          <w:spacing w:val="20"/>
                          <w:w w:val="99"/>
                          <w:sz w:val="21"/>
                        </w:rPr>
                        <w:t>心、丰登镇社区医院、金凤区人民医院、金凤区中医院、金凤区妇幼保健院等项目。</w:t>
                      </w:r>
                    </w:p>
                    <w:p w14:paraId="6FA1093E">
                      <w:pPr>
                        <w:spacing w:line="266" w:lineRule="exact"/>
                        <w:ind w:left="566"/>
                        <w:rPr>
                          <w:rFonts w:ascii="宋体" w:eastAsia="宋体"/>
                          <w:sz w:val="21"/>
                        </w:rPr>
                      </w:pPr>
                      <w:r>
                        <w:rPr>
                          <w:rFonts w:hint="eastAsia" w:ascii="宋体" w:eastAsia="宋体"/>
                          <w:b/>
                          <w:spacing w:val="23"/>
                          <w:w w:val="95"/>
                          <w:sz w:val="21"/>
                        </w:rPr>
                        <w:t>养老服务体</w:t>
                      </w:r>
                      <w:r>
                        <w:rPr>
                          <w:rFonts w:hint="eastAsia" w:ascii="宋体" w:eastAsia="宋体"/>
                          <w:b/>
                          <w:spacing w:val="26"/>
                          <w:w w:val="95"/>
                          <w:sz w:val="21"/>
                        </w:rPr>
                        <w:t>系</w:t>
                      </w:r>
                      <w:r>
                        <w:rPr>
                          <w:rFonts w:hint="eastAsia" w:ascii="宋体" w:eastAsia="宋体"/>
                          <w:b/>
                          <w:spacing w:val="23"/>
                          <w:w w:val="95"/>
                          <w:sz w:val="21"/>
                        </w:rPr>
                        <w:t>项目</w:t>
                      </w:r>
                      <w:r>
                        <w:rPr>
                          <w:rFonts w:hint="eastAsia" w:ascii="宋体" w:eastAsia="宋体"/>
                          <w:b/>
                          <w:w w:val="95"/>
                          <w:sz w:val="21"/>
                        </w:rPr>
                        <w:t>。</w:t>
                      </w:r>
                      <w:r>
                        <w:rPr>
                          <w:rFonts w:ascii="宋体" w:eastAsia="宋体"/>
                          <w:spacing w:val="22"/>
                          <w:w w:val="95"/>
                          <w:sz w:val="21"/>
                        </w:rPr>
                        <w:t>银川</w:t>
                      </w:r>
                      <w:r>
                        <w:rPr>
                          <w:rFonts w:ascii="宋体" w:eastAsia="宋体"/>
                          <w:spacing w:val="23"/>
                          <w:w w:val="95"/>
                          <w:sz w:val="21"/>
                        </w:rPr>
                        <w:t>市养老</w:t>
                      </w:r>
                      <w:r>
                        <w:rPr>
                          <w:rFonts w:ascii="宋体" w:eastAsia="宋体"/>
                          <w:spacing w:val="21"/>
                          <w:w w:val="95"/>
                          <w:sz w:val="21"/>
                        </w:rPr>
                        <w:t>服</w:t>
                      </w:r>
                      <w:r>
                        <w:rPr>
                          <w:rFonts w:ascii="宋体" w:eastAsia="宋体"/>
                          <w:spacing w:val="23"/>
                          <w:w w:val="95"/>
                          <w:sz w:val="21"/>
                        </w:rPr>
                        <w:t>务培训</w:t>
                      </w:r>
                      <w:r>
                        <w:rPr>
                          <w:rFonts w:ascii="宋体" w:eastAsia="宋体"/>
                          <w:spacing w:val="17"/>
                          <w:w w:val="95"/>
                          <w:sz w:val="21"/>
                        </w:rPr>
                        <w:t>基地、公办</w:t>
                      </w:r>
                      <w:r>
                        <w:rPr>
                          <w:rFonts w:ascii="宋体" w:eastAsia="宋体"/>
                          <w:spacing w:val="23"/>
                          <w:w w:val="95"/>
                          <w:sz w:val="21"/>
                        </w:rPr>
                        <w:t>养老服</w:t>
                      </w:r>
                      <w:r>
                        <w:rPr>
                          <w:rFonts w:ascii="宋体" w:eastAsia="宋体"/>
                          <w:spacing w:val="21"/>
                          <w:w w:val="95"/>
                          <w:sz w:val="21"/>
                        </w:rPr>
                        <w:t>务</w:t>
                      </w:r>
                      <w:r>
                        <w:rPr>
                          <w:rFonts w:ascii="宋体" w:eastAsia="宋体"/>
                          <w:spacing w:val="23"/>
                          <w:w w:val="95"/>
                          <w:sz w:val="21"/>
                        </w:rPr>
                        <w:t>机构和</w:t>
                      </w:r>
                      <w:r>
                        <w:rPr>
                          <w:rFonts w:ascii="宋体" w:eastAsia="宋体"/>
                          <w:spacing w:val="21"/>
                          <w:w w:val="95"/>
                          <w:sz w:val="21"/>
                        </w:rPr>
                        <w:t>失</w:t>
                      </w:r>
                      <w:r>
                        <w:rPr>
                          <w:rFonts w:ascii="宋体" w:eastAsia="宋体"/>
                          <w:spacing w:val="23"/>
                          <w:w w:val="95"/>
                          <w:sz w:val="21"/>
                        </w:rPr>
                        <w:t>能老人</w:t>
                      </w:r>
                      <w:r>
                        <w:rPr>
                          <w:rFonts w:ascii="宋体" w:eastAsia="宋体"/>
                          <w:spacing w:val="5"/>
                          <w:w w:val="95"/>
                          <w:sz w:val="21"/>
                        </w:rPr>
                        <w:t>养护</w:t>
                      </w:r>
                    </w:p>
                    <w:p w14:paraId="0FEC7BF3">
                      <w:pPr>
                        <w:spacing w:before="132"/>
                        <w:ind w:left="102"/>
                        <w:rPr>
                          <w:rFonts w:ascii="宋体" w:eastAsia="宋体"/>
                          <w:sz w:val="21"/>
                        </w:rPr>
                      </w:pPr>
                      <w:r>
                        <w:rPr>
                          <w:rFonts w:ascii="宋体" w:eastAsia="宋体"/>
                          <w:spacing w:val="22"/>
                          <w:w w:val="95"/>
                          <w:sz w:val="21"/>
                        </w:rPr>
                        <w:t>院、</w:t>
                      </w:r>
                      <w:r>
                        <w:rPr>
                          <w:rFonts w:ascii="宋体" w:eastAsia="宋体"/>
                          <w:spacing w:val="23"/>
                          <w:w w:val="95"/>
                          <w:sz w:val="21"/>
                        </w:rPr>
                        <w:t>银川</w:t>
                      </w:r>
                      <w:r>
                        <w:rPr>
                          <w:rFonts w:ascii="宋体" w:eastAsia="宋体"/>
                          <w:spacing w:val="21"/>
                          <w:w w:val="95"/>
                          <w:sz w:val="21"/>
                        </w:rPr>
                        <w:t>隆</w:t>
                      </w:r>
                      <w:r>
                        <w:rPr>
                          <w:rFonts w:ascii="宋体" w:eastAsia="宋体"/>
                          <w:spacing w:val="23"/>
                          <w:w w:val="95"/>
                          <w:sz w:val="21"/>
                        </w:rPr>
                        <w:t>光养</w:t>
                      </w:r>
                      <w:r>
                        <w:rPr>
                          <w:rFonts w:ascii="宋体" w:eastAsia="宋体"/>
                          <w:spacing w:val="21"/>
                          <w:w w:val="95"/>
                          <w:sz w:val="21"/>
                        </w:rPr>
                        <w:t>老</w:t>
                      </w:r>
                      <w:r>
                        <w:rPr>
                          <w:rFonts w:ascii="宋体" w:eastAsia="宋体"/>
                          <w:spacing w:val="23"/>
                          <w:w w:val="95"/>
                          <w:sz w:val="21"/>
                        </w:rPr>
                        <w:t>产业</w:t>
                      </w:r>
                      <w:r>
                        <w:rPr>
                          <w:rFonts w:ascii="宋体" w:eastAsia="宋体"/>
                          <w:spacing w:val="21"/>
                          <w:w w:val="95"/>
                          <w:sz w:val="21"/>
                        </w:rPr>
                        <w:t>有</w:t>
                      </w:r>
                      <w:r>
                        <w:rPr>
                          <w:rFonts w:ascii="宋体" w:eastAsia="宋体"/>
                          <w:spacing w:val="23"/>
                          <w:w w:val="95"/>
                          <w:sz w:val="21"/>
                        </w:rPr>
                        <w:t>限公</w:t>
                      </w:r>
                      <w:r>
                        <w:rPr>
                          <w:rFonts w:ascii="宋体" w:eastAsia="宋体"/>
                          <w:spacing w:val="21"/>
                          <w:w w:val="95"/>
                          <w:sz w:val="21"/>
                        </w:rPr>
                        <w:t>司</w:t>
                      </w:r>
                      <w:r>
                        <w:rPr>
                          <w:rFonts w:ascii="宋体" w:eastAsia="宋体"/>
                          <w:spacing w:val="23"/>
                          <w:w w:val="95"/>
                          <w:sz w:val="21"/>
                        </w:rPr>
                        <w:t>康养</w:t>
                      </w:r>
                      <w:r>
                        <w:rPr>
                          <w:rFonts w:ascii="宋体" w:eastAsia="宋体"/>
                          <w:spacing w:val="21"/>
                          <w:w w:val="95"/>
                          <w:sz w:val="21"/>
                        </w:rPr>
                        <w:t>中</w:t>
                      </w:r>
                      <w:r>
                        <w:rPr>
                          <w:rFonts w:ascii="宋体" w:eastAsia="宋体"/>
                          <w:spacing w:val="23"/>
                          <w:w w:val="95"/>
                          <w:sz w:val="21"/>
                        </w:rPr>
                        <w:t>心、</w:t>
                      </w:r>
                      <w:r>
                        <w:rPr>
                          <w:rFonts w:ascii="宋体" w:eastAsia="宋体"/>
                          <w:spacing w:val="21"/>
                          <w:w w:val="95"/>
                          <w:sz w:val="21"/>
                        </w:rPr>
                        <w:t>紫</w:t>
                      </w:r>
                      <w:r>
                        <w:rPr>
                          <w:rFonts w:ascii="宋体" w:eastAsia="宋体"/>
                          <w:spacing w:val="23"/>
                          <w:w w:val="95"/>
                          <w:sz w:val="21"/>
                        </w:rPr>
                        <w:t>云华</w:t>
                      </w:r>
                      <w:r>
                        <w:rPr>
                          <w:rFonts w:ascii="宋体" w:eastAsia="宋体"/>
                          <w:spacing w:val="21"/>
                          <w:w w:val="95"/>
                          <w:sz w:val="21"/>
                        </w:rPr>
                        <w:t>庭</w:t>
                      </w:r>
                      <w:r>
                        <w:rPr>
                          <w:rFonts w:ascii="宋体" w:eastAsia="宋体"/>
                          <w:spacing w:val="23"/>
                          <w:w w:val="95"/>
                          <w:sz w:val="21"/>
                        </w:rPr>
                        <w:t>项目</w:t>
                      </w:r>
                      <w:r>
                        <w:rPr>
                          <w:rFonts w:ascii="宋体" w:eastAsia="宋体"/>
                          <w:spacing w:val="21"/>
                          <w:w w:val="95"/>
                          <w:sz w:val="21"/>
                        </w:rPr>
                        <w:t>康</w:t>
                      </w:r>
                      <w:r>
                        <w:rPr>
                          <w:rFonts w:ascii="宋体" w:eastAsia="宋体"/>
                          <w:spacing w:val="23"/>
                          <w:w w:val="95"/>
                          <w:sz w:val="21"/>
                        </w:rPr>
                        <w:t>养中</w:t>
                      </w:r>
                      <w:r>
                        <w:rPr>
                          <w:rFonts w:ascii="宋体" w:eastAsia="宋体"/>
                          <w:spacing w:val="21"/>
                          <w:w w:val="95"/>
                          <w:sz w:val="21"/>
                        </w:rPr>
                        <w:t>心</w:t>
                      </w:r>
                      <w:r>
                        <w:rPr>
                          <w:rFonts w:ascii="宋体" w:eastAsia="宋体"/>
                          <w:spacing w:val="23"/>
                          <w:w w:val="95"/>
                          <w:sz w:val="21"/>
                        </w:rPr>
                        <w:t>等项</w:t>
                      </w:r>
                      <w:r>
                        <w:rPr>
                          <w:rFonts w:ascii="宋体" w:eastAsia="宋体"/>
                          <w:spacing w:val="5"/>
                          <w:w w:val="95"/>
                          <w:sz w:val="21"/>
                        </w:rPr>
                        <w:t>目。</w:t>
                      </w:r>
                    </w:p>
                  </w:txbxContent>
                </v:textbox>
              </v:shape>
            </w:pict>
          </mc:Fallback>
        </mc:AlternateContent>
      </w:r>
      <w:r>
        <w:rPr>
          <w:b/>
          <w:spacing w:val="26"/>
          <w:w w:val="99"/>
          <w:sz w:val="32"/>
          <w:szCs w:val="32"/>
        </w:rPr>
        <w:t>开展全民健身科学指导。</w:t>
      </w:r>
      <w:r>
        <w:rPr>
          <w:spacing w:val="24"/>
          <w:w w:val="99"/>
          <w:sz w:val="32"/>
          <w:szCs w:val="32"/>
        </w:rPr>
        <w:t>鼓励社会力量成立体育社会组</w:t>
      </w:r>
      <w:r>
        <w:rPr>
          <w:spacing w:val="10"/>
          <w:w w:val="99"/>
          <w:sz w:val="32"/>
          <w:szCs w:val="32"/>
        </w:rPr>
        <w:t>织，同时加强监督管理，指导各体育社会组织制度化、规范化</w:t>
      </w:r>
      <w:r>
        <w:rPr>
          <w:spacing w:val="12"/>
          <w:w w:val="99"/>
          <w:sz w:val="32"/>
          <w:szCs w:val="32"/>
        </w:rPr>
        <w:t>建设，着力构建区、镇（街道</w:t>
      </w:r>
      <w:r>
        <w:rPr>
          <w:spacing w:val="14"/>
          <w:w w:val="99"/>
          <w:sz w:val="32"/>
          <w:szCs w:val="32"/>
        </w:rPr>
        <w:t>）</w:t>
      </w:r>
      <w:r>
        <w:rPr>
          <w:spacing w:val="11"/>
          <w:w w:val="99"/>
          <w:sz w:val="32"/>
          <w:szCs w:val="32"/>
        </w:rPr>
        <w:t>、行政村</w:t>
      </w:r>
      <w:r>
        <w:rPr>
          <w:spacing w:val="12"/>
          <w:w w:val="99"/>
          <w:sz w:val="32"/>
          <w:szCs w:val="32"/>
        </w:rPr>
        <w:t>（</w:t>
      </w:r>
      <w:r>
        <w:rPr>
          <w:spacing w:val="13"/>
          <w:w w:val="99"/>
          <w:sz w:val="32"/>
          <w:szCs w:val="32"/>
        </w:rPr>
        <w:t>社区</w:t>
      </w:r>
      <w:r>
        <w:rPr>
          <w:spacing w:val="12"/>
          <w:w w:val="99"/>
          <w:sz w:val="32"/>
          <w:szCs w:val="32"/>
        </w:rPr>
        <w:t>）</w:t>
      </w:r>
      <w:r>
        <w:rPr>
          <w:spacing w:val="9"/>
          <w:w w:val="99"/>
          <w:sz w:val="32"/>
          <w:szCs w:val="32"/>
        </w:rPr>
        <w:t>三级全民健</w:t>
      </w:r>
      <w:r>
        <w:rPr>
          <w:spacing w:val="10"/>
          <w:w w:val="99"/>
          <w:sz w:val="32"/>
          <w:szCs w:val="32"/>
        </w:rPr>
        <w:t>身网络。通过深入挖掘、选拔优秀的体育社会组织成员，每年</w:t>
      </w:r>
      <w:r>
        <w:rPr>
          <w:spacing w:val="23"/>
          <w:w w:val="99"/>
          <w:sz w:val="32"/>
          <w:szCs w:val="32"/>
        </w:rPr>
        <w:t>分批分项目进行专业培训，不断发展壮大社会体育指导员队</w:t>
      </w:r>
      <w:r>
        <w:rPr>
          <w:spacing w:val="11"/>
          <w:w w:val="99"/>
          <w:sz w:val="32"/>
          <w:szCs w:val="32"/>
        </w:rPr>
        <w:t>伍，让他们在辖区内的健身站点为居民提供科学的健身指导。</w:t>
      </w:r>
      <w:r>
        <w:rPr>
          <w:spacing w:val="9"/>
          <w:w w:val="99"/>
          <w:sz w:val="32"/>
          <w:szCs w:val="32"/>
        </w:rPr>
        <w:t>在两镇、五街道建设国民体质监测站点并实现全覆盖。组织辖</w:t>
      </w:r>
      <w:r>
        <w:rPr>
          <w:spacing w:val="10"/>
          <w:w w:val="99"/>
          <w:sz w:val="32"/>
          <w:szCs w:val="32"/>
        </w:rPr>
        <w:t>区群众开展国家体育锻炼标准达标赛和体质监测，为群众开具</w:t>
      </w:r>
      <w:r>
        <w:rPr>
          <w:spacing w:val="11"/>
          <w:w w:val="99"/>
          <w:sz w:val="32"/>
          <w:szCs w:val="32"/>
        </w:rPr>
        <w:t>科学健康运动处方，激励群众积极参加体育锻炼。</w:t>
      </w:r>
    </w:p>
    <w:p w14:paraId="0D639F5C">
      <w:pPr>
        <w:spacing w:line="338" w:lineRule="auto"/>
        <w:jc w:val="both"/>
        <w:sectPr>
          <w:footerReference r:id="rId37" w:type="default"/>
          <w:footerReference r:id="rId38" w:type="even"/>
          <w:pgSz w:w="11910" w:h="16840"/>
          <w:pgMar w:top="1800" w:right="1200" w:bottom="1160" w:left="1360" w:header="0" w:footer="975" w:gutter="0"/>
          <w:pgNumType w:start="123"/>
          <w:cols w:space="720" w:num="1"/>
        </w:sectPr>
      </w:pPr>
    </w:p>
    <w:p w14:paraId="31AE0F14">
      <w:pPr>
        <w:ind w:left="104"/>
        <w:rPr>
          <w:sz w:val="20"/>
          <w:szCs w:val="32"/>
        </w:rPr>
      </w:pPr>
      <w:r>
        <w:rPr>
          <w:sz w:val="20"/>
          <w:szCs w:val="32"/>
        </w:rPr>
        <mc:AlternateContent>
          <mc:Choice Requires="wps">
            <w:drawing>
              <wp:inline distT="0" distB="0" distL="0" distR="0">
                <wp:extent cx="5694680" cy="2292350"/>
                <wp:effectExtent l="9525" t="9525" r="10795" b="12700"/>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5694680" cy="2292350"/>
                        </a:xfrm>
                        <a:prstGeom prst="rect">
                          <a:avLst/>
                        </a:prstGeom>
                        <a:noFill/>
                        <a:ln w="6096">
                          <a:solidFill>
                            <a:srgbClr val="000000"/>
                          </a:solidFill>
                          <a:prstDash val="solid"/>
                          <a:miter lim="800000"/>
                        </a:ln>
                      </wps:spPr>
                      <wps:txbx>
                        <w:txbxContent>
                          <w:p w14:paraId="21D964A7">
                            <w:pPr>
                              <w:spacing w:before="110" w:line="357" w:lineRule="auto"/>
                              <w:ind w:left="102" w:right="117" w:firstLine="463"/>
                              <w:jc w:val="both"/>
                              <w:rPr>
                                <w:rFonts w:ascii="宋体" w:eastAsia="宋体"/>
                                <w:sz w:val="21"/>
                              </w:rPr>
                            </w:pPr>
                            <w:r>
                              <w:rPr>
                                <w:rFonts w:hint="eastAsia" w:ascii="宋体" w:eastAsia="宋体"/>
                                <w:b/>
                                <w:spacing w:val="18"/>
                                <w:sz w:val="21"/>
                              </w:rPr>
                              <w:t>公共卫生应急项目。</w:t>
                            </w:r>
                            <w:r>
                              <w:rPr>
                                <w:rFonts w:ascii="宋体" w:eastAsia="宋体"/>
                                <w:spacing w:val="17"/>
                                <w:sz w:val="21"/>
                              </w:rPr>
                              <w:t>公共卫生防控服务平台、银川市儿童重大疫情防控基地、银川</w:t>
                            </w:r>
                            <w:r>
                              <w:rPr>
                                <w:rFonts w:ascii="宋体" w:eastAsia="宋体"/>
                                <w:spacing w:val="15"/>
                                <w:sz w:val="21"/>
                              </w:rPr>
                              <w:t>市疾病预防控制中心应急处置与实验室能力提升改造、银川市爱心护理院公共卫生应急</w:t>
                            </w:r>
                            <w:r>
                              <w:rPr>
                                <w:rFonts w:ascii="宋体" w:eastAsia="宋体"/>
                                <w:spacing w:val="17"/>
                                <w:sz w:val="21"/>
                              </w:rPr>
                              <w:t>能力模块及应急救援设备等项目。</w:t>
                            </w:r>
                          </w:p>
                          <w:p w14:paraId="2BF70EBF">
                            <w:pPr>
                              <w:spacing w:line="357" w:lineRule="auto"/>
                              <w:ind w:left="102" w:right="117" w:firstLine="463"/>
                              <w:jc w:val="both"/>
                              <w:rPr>
                                <w:rFonts w:ascii="宋体" w:eastAsia="宋体"/>
                                <w:sz w:val="21"/>
                              </w:rPr>
                            </w:pPr>
                            <w:r>
                              <w:rPr>
                                <w:rFonts w:hint="eastAsia" w:ascii="宋体" w:eastAsia="宋体"/>
                                <w:b/>
                                <w:spacing w:val="23"/>
                                <w:sz w:val="21"/>
                              </w:rPr>
                              <w:t>公共体育服务项目。</w:t>
                            </w:r>
                            <w:r>
                              <w:rPr>
                                <w:rFonts w:ascii="宋体" w:eastAsia="宋体"/>
                                <w:spacing w:val="20"/>
                                <w:sz w:val="21"/>
                              </w:rPr>
                              <w:t xml:space="preserve">金凤体育中心、金凤区体育健身场地设施、七十二连湖 </w:t>
                            </w:r>
                            <w:r>
                              <w:rPr>
                                <w:rFonts w:ascii="Calibri" w:eastAsia="Calibri"/>
                                <w:sz w:val="21"/>
                              </w:rPr>
                              <w:t>11</w:t>
                            </w:r>
                            <w:r>
                              <w:rPr>
                                <w:rFonts w:ascii="Calibri" w:eastAsia="Calibri"/>
                                <w:spacing w:val="-12"/>
                                <w:sz w:val="21"/>
                              </w:rPr>
                              <w:t xml:space="preserve"> </w:t>
                            </w:r>
                            <w:r>
                              <w:rPr>
                                <w:rFonts w:ascii="宋体" w:eastAsia="宋体"/>
                                <w:sz w:val="21"/>
                              </w:rPr>
                              <w:t>人</w:t>
                            </w:r>
                            <w:r>
                              <w:rPr>
                                <w:rFonts w:ascii="宋体" w:eastAsia="宋体"/>
                                <w:spacing w:val="15"/>
                                <w:w w:val="95"/>
                                <w:sz w:val="21"/>
                              </w:rPr>
                              <w:t>制足球场及配套设施、国际会堂体育运动公园、览山公园轮滑运动场、览山公园</w:t>
                            </w:r>
                            <w:r>
                              <w:rPr>
                                <w:rFonts w:ascii="宋体" w:eastAsia="宋体"/>
                                <w:spacing w:val="80"/>
                                <w:sz w:val="21"/>
                              </w:rPr>
                              <w:t xml:space="preserve"> </w:t>
                            </w:r>
                            <w:r>
                              <w:rPr>
                                <w:rFonts w:ascii="Calibri" w:eastAsia="Calibri"/>
                                <w:w w:val="95"/>
                                <w:sz w:val="21"/>
                              </w:rPr>
                              <w:t>5</w:t>
                            </w:r>
                            <w:r>
                              <w:rPr>
                                <w:rFonts w:ascii="Calibri" w:eastAsia="Calibri"/>
                                <w:spacing w:val="80"/>
                                <w:w w:val="150"/>
                                <w:sz w:val="21"/>
                              </w:rPr>
                              <w:t xml:space="preserve"> </w:t>
                            </w:r>
                            <w:r>
                              <w:rPr>
                                <w:rFonts w:ascii="宋体" w:eastAsia="宋体"/>
                                <w:w w:val="95"/>
                                <w:sz w:val="21"/>
                              </w:rPr>
                              <w:t>人制</w:t>
                            </w:r>
                          </w:p>
                          <w:p w14:paraId="3FFD7214">
                            <w:pPr>
                              <w:spacing w:line="355" w:lineRule="auto"/>
                              <w:ind w:left="102" w:right="122"/>
                              <w:jc w:val="both"/>
                              <w:rPr>
                                <w:rFonts w:ascii="宋体" w:eastAsia="宋体"/>
                                <w:sz w:val="21"/>
                              </w:rPr>
                            </w:pPr>
                            <w:r>
                              <w:rPr>
                                <w:rFonts w:ascii="宋体" w:eastAsia="宋体"/>
                                <w:spacing w:val="20"/>
                                <w:sz w:val="21"/>
                              </w:rPr>
                              <w:t>足球场、览山公园</w:t>
                            </w:r>
                            <w:r>
                              <w:rPr>
                                <w:rFonts w:ascii="宋体" w:eastAsia="宋体"/>
                                <w:spacing w:val="-27"/>
                                <w:sz w:val="21"/>
                              </w:rPr>
                              <w:t xml:space="preserve"> </w:t>
                            </w:r>
                            <w:r>
                              <w:rPr>
                                <w:rFonts w:ascii="Calibri" w:eastAsia="Calibri"/>
                                <w:sz w:val="21"/>
                              </w:rPr>
                              <w:t>11</w:t>
                            </w:r>
                            <w:r>
                              <w:rPr>
                                <w:rFonts w:ascii="Calibri" w:eastAsia="Calibri"/>
                                <w:spacing w:val="19"/>
                                <w:sz w:val="21"/>
                              </w:rPr>
                              <w:t xml:space="preserve"> </w:t>
                            </w:r>
                            <w:r>
                              <w:rPr>
                                <w:rFonts w:ascii="宋体" w:eastAsia="宋体"/>
                                <w:spacing w:val="22"/>
                                <w:sz w:val="21"/>
                              </w:rPr>
                              <w:t>人制足球场改造、银川市骑行健身步道项目、宁夏国际会堂体育</w:t>
                            </w:r>
                            <w:r>
                              <w:rPr>
                                <w:rFonts w:ascii="宋体" w:eastAsia="宋体"/>
                                <w:spacing w:val="18"/>
                                <w:sz w:val="21"/>
                              </w:rPr>
                              <w:t>运动公园、银川市全民健身</w:t>
                            </w:r>
                            <w:r>
                              <w:rPr>
                                <w:rFonts w:ascii="宋体" w:eastAsia="宋体"/>
                                <w:sz w:val="21"/>
                              </w:rPr>
                              <w:t>（</w:t>
                            </w:r>
                            <w:r>
                              <w:rPr>
                                <w:rFonts w:ascii="宋体" w:eastAsia="宋体"/>
                                <w:spacing w:val="-5"/>
                                <w:sz w:val="21"/>
                              </w:rPr>
                              <w:t xml:space="preserve"> 跳</w:t>
                            </w:r>
                            <w:r>
                              <w:rPr>
                                <w:rFonts w:ascii="宋体" w:eastAsia="宋体"/>
                                <w:spacing w:val="19"/>
                                <w:sz w:val="21"/>
                              </w:rPr>
                              <w:t>水、游泳</w:t>
                            </w:r>
                            <w:r>
                              <w:rPr>
                                <w:rFonts w:ascii="宋体" w:eastAsia="宋体"/>
                                <w:spacing w:val="11"/>
                                <w:sz w:val="21"/>
                              </w:rPr>
                              <w:t>）</w:t>
                            </w:r>
                            <w:r>
                              <w:rPr>
                                <w:rFonts w:ascii="宋体" w:eastAsia="宋体"/>
                                <w:spacing w:val="17"/>
                                <w:sz w:val="21"/>
                              </w:rPr>
                              <w:t>馆、银川市文化园全民健身中心综合馆、银</w:t>
                            </w:r>
                            <w:r>
                              <w:rPr>
                                <w:rFonts w:ascii="宋体" w:eastAsia="宋体"/>
                                <w:spacing w:val="14"/>
                                <w:sz w:val="21"/>
                              </w:rPr>
                              <w:t>川文化园足球场及配套健身设施、宁安大街林带多功能运动场、长城路带状公园多功能</w:t>
                            </w:r>
                          </w:p>
                          <w:p w14:paraId="790E480C">
                            <w:pPr>
                              <w:spacing w:before="1"/>
                              <w:ind w:left="102"/>
                              <w:rPr>
                                <w:rFonts w:ascii="宋体" w:eastAsia="宋体"/>
                                <w:sz w:val="21"/>
                              </w:rPr>
                            </w:pPr>
                            <w:r>
                              <w:rPr>
                                <w:rFonts w:ascii="宋体" w:eastAsia="宋体"/>
                                <w:spacing w:val="16"/>
                                <w:w w:val="95"/>
                                <w:sz w:val="21"/>
                              </w:rPr>
                              <w:t>运动场等小型体育场所项目。</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80.5pt;width:448.4pt;" filled="f" stroked="t" coordsize="21600,21600" o:gfxdata="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jWHXM1AAAAAUBAAAPAAAAAAAAAAEAIAAAACIAAABkcnMv&#10;ZG93bnJldi54bWxQSwECFAAUAAAACACHTuJABP66TkACAABqBAAADgAAAAAAAAABACAAAAAjAQAA&#10;ZHJzL2Uyb0RvYy54bWxQSwUGAAAAAAYABgBZAQAA1QUAAAAA&#10;">
                <v:fill on="f" focussize="0,0"/>
                <v:stroke weight="0.48pt" color="#000000" miterlimit="8" joinstyle="miter"/>
                <v:imagedata o:title=""/>
                <o:lock v:ext="edit" aspectratio="f"/>
                <v:textbox inset="0mm,0mm,0mm,0mm">
                  <w:txbxContent>
                    <w:p w14:paraId="21D964A7">
                      <w:pPr>
                        <w:spacing w:before="110" w:line="357" w:lineRule="auto"/>
                        <w:ind w:left="102" w:right="117" w:firstLine="463"/>
                        <w:jc w:val="both"/>
                        <w:rPr>
                          <w:rFonts w:ascii="宋体" w:eastAsia="宋体"/>
                          <w:sz w:val="21"/>
                        </w:rPr>
                      </w:pPr>
                      <w:r>
                        <w:rPr>
                          <w:rFonts w:hint="eastAsia" w:ascii="宋体" w:eastAsia="宋体"/>
                          <w:b/>
                          <w:spacing w:val="18"/>
                          <w:sz w:val="21"/>
                        </w:rPr>
                        <w:t>公共卫生应急项目。</w:t>
                      </w:r>
                      <w:r>
                        <w:rPr>
                          <w:rFonts w:ascii="宋体" w:eastAsia="宋体"/>
                          <w:spacing w:val="17"/>
                          <w:sz w:val="21"/>
                        </w:rPr>
                        <w:t>公共卫生防控服务平台、银川市儿童重大疫情防控基地、银川</w:t>
                      </w:r>
                      <w:r>
                        <w:rPr>
                          <w:rFonts w:ascii="宋体" w:eastAsia="宋体"/>
                          <w:spacing w:val="15"/>
                          <w:sz w:val="21"/>
                        </w:rPr>
                        <w:t>市疾病预防控制中心应急处置与实验室能力提升改造、银川市爱心护理院公共卫生应急</w:t>
                      </w:r>
                      <w:r>
                        <w:rPr>
                          <w:rFonts w:ascii="宋体" w:eastAsia="宋体"/>
                          <w:spacing w:val="17"/>
                          <w:sz w:val="21"/>
                        </w:rPr>
                        <w:t>能力模块及应急救援设备等项目。</w:t>
                      </w:r>
                    </w:p>
                    <w:p w14:paraId="2BF70EBF">
                      <w:pPr>
                        <w:spacing w:line="357" w:lineRule="auto"/>
                        <w:ind w:left="102" w:right="117" w:firstLine="463"/>
                        <w:jc w:val="both"/>
                        <w:rPr>
                          <w:rFonts w:ascii="宋体" w:eastAsia="宋体"/>
                          <w:sz w:val="21"/>
                        </w:rPr>
                      </w:pPr>
                      <w:r>
                        <w:rPr>
                          <w:rFonts w:hint="eastAsia" w:ascii="宋体" w:eastAsia="宋体"/>
                          <w:b/>
                          <w:spacing w:val="23"/>
                          <w:sz w:val="21"/>
                        </w:rPr>
                        <w:t>公共体育服务项目。</w:t>
                      </w:r>
                      <w:r>
                        <w:rPr>
                          <w:rFonts w:ascii="宋体" w:eastAsia="宋体"/>
                          <w:spacing w:val="20"/>
                          <w:sz w:val="21"/>
                        </w:rPr>
                        <w:t xml:space="preserve">金凤体育中心、金凤区体育健身场地设施、七十二连湖 </w:t>
                      </w:r>
                      <w:r>
                        <w:rPr>
                          <w:rFonts w:ascii="Calibri" w:eastAsia="Calibri"/>
                          <w:sz w:val="21"/>
                        </w:rPr>
                        <w:t>11</w:t>
                      </w:r>
                      <w:r>
                        <w:rPr>
                          <w:rFonts w:ascii="Calibri" w:eastAsia="Calibri"/>
                          <w:spacing w:val="-12"/>
                          <w:sz w:val="21"/>
                        </w:rPr>
                        <w:t xml:space="preserve"> </w:t>
                      </w:r>
                      <w:r>
                        <w:rPr>
                          <w:rFonts w:ascii="宋体" w:eastAsia="宋体"/>
                          <w:sz w:val="21"/>
                        </w:rPr>
                        <w:t>人</w:t>
                      </w:r>
                      <w:r>
                        <w:rPr>
                          <w:rFonts w:ascii="宋体" w:eastAsia="宋体"/>
                          <w:spacing w:val="15"/>
                          <w:w w:val="95"/>
                          <w:sz w:val="21"/>
                        </w:rPr>
                        <w:t>制足球场及配套设施、国际会堂体育运动公园、览山公园轮滑运动场、览山公园</w:t>
                      </w:r>
                      <w:r>
                        <w:rPr>
                          <w:rFonts w:ascii="宋体" w:eastAsia="宋体"/>
                          <w:spacing w:val="80"/>
                          <w:sz w:val="21"/>
                        </w:rPr>
                        <w:t xml:space="preserve"> </w:t>
                      </w:r>
                      <w:r>
                        <w:rPr>
                          <w:rFonts w:ascii="Calibri" w:eastAsia="Calibri"/>
                          <w:w w:val="95"/>
                          <w:sz w:val="21"/>
                        </w:rPr>
                        <w:t>5</w:t>
                      </w:r>
                      <w:r>
                        <w:rPr>
                          <w:rFonts w:ascii="Calibri" w:eastAsia="Calibri"/>
                          <w:spacing w:val="80"/>
                          <w:w w:val="150"/>
                          <w:sz w:val="21"/>
                        </w:rPr>
                        <w:t xml:space="preserve"> </w:t>
                      </w:r>
                      <w:r>
                        <w:rPr>
                          <w:rFonts w:ascii="宋体" w:eastAsia="宋体"/>
                          <w:w w:val="95"/>
                          <w:sz w:val="21"/>
                        </w:rPr>
                        <w:t>人制</w:t>
                      </w:r>
                    </w:p>
                    <w:p w14:paraId="3FFD7214">
                      <w:pPr>
                        <w:spacing w:line="355" w:lineRule="auto"/>
                        <w:ind w:left="102" w:right="122"/>
                        <w:jc w:val="both"/>
                        <w:rPr>
                          <w:rFonts w:ascii="宋体" w:eastAsia="宋体"/>
                          <w:sz w:val="21"/>
                        </w:rPr>
                      </w:pPr>
                      <w:r>
                        <w:rPr>
                          <w:rFonts w:ascii="宋体" w:eastAsia="宋体"/>
                          <w:spacing w:val="20"/>
                          <w:sz w:val="21"/>
                        </w:rPr>
                        <w:t>足球场、览山公园</w:t>
                      </w:r>
                      <w:r>
                        <w:rPr>
                          <w:rFonts w:ascii="宋体" w:eastAsia="宋体"/>
                          <w:spacing w:val="-27"/>
                          <w:sz w:val="21"/>
                        </w:rPr>
                        <w:t xml:space="preserve"> </w:t>
                      </w:r>
                      <w:r>
                        <w:rPr>
                          <w:rFonts w:ascii="Calibri" w:eastAsia="Calibri"/>
                          <w:sz w:val="21"/>
                        </w:rPr>
                        <w:t>11</w:t>
                      </w:r>
                      <w:r>
                        <w:rPr>
                          <w:rFonts w:ascii="Calibri" w:eastAsia="Calibri"/>
                          <w:spacing w:val="19"/>
                          <w:sz w:val="21"/>
                        </w:rPr>
                        <w:t xml:space="preserve"> </w:t>
                      </w:r>
                      <w:r>
                        <w:rPr>
                          <w:rFonts w:ascii="宋体" w:eastAsia="宋体"/>
                          <w:spacing w:val="22"/>
                          <w:sz w:val="21"/>
                        </w:rPr>
                        <w:t>人制足球场改造、银川市骑行健身步道项目、宁夏国际会堂体育</w:t>
                      </w:r>
                      <w:r>
                        <w:rPr>
                          <w:rFonts w:ascii="宋体" w:eastAsia="宋体"/>
                          <w:spacing w:val="18"/>
                          <w:sz w:val="21"/>
                        </w:rPr>
                        <w:t>运动公园、银川市全民健身</w:t>
                      </w:r>
                      <w:r>
                        <w:rPr>
                          <w:rFonts w:ascii="宋体" w:eastAsia="宋体"/>
                          <w:sz w:val="21"/>
                        </w:rPr>
                        <w:t>（</w:t>
                      </w:r>
                      <w:r>
                        <w:rPr>
                          <w:rFonts w:ascii="宋体" w:eastAsia="宋体"/>
                          <w:spacing w:val="-5"/>
                          <w:sz w:val="21"/>
                        </w:rPr>
                        <w:t xml:space="preserve"> 跳</w:t>
                      </w:r>
                      <w:r>
                        <w:rPr>
                          <w:rFonts w:ascii="宋体" w:eastAsia="宋体"/>
                          <w:spacing w:val="19"/>
                          <w:sz w:val="21"/>
                        </w:rPr>
                        <w:t>水、游泳</w:t>
                      </w:r>
                      <w:r>
                        <w:rPr>
                          <w:rFonts w:ascii="宋体" w:eastAsia="宋体"/>
                          <w:spacing w:val="11"/>
                          <w:sz w:val="21"/>
                        </w:rPr>
                        <w:t>）</w:t>
                      </w:r>
                      <w:r>
                        <w:rPr>
                          <w:rFonts w:ascii="宋体" w:eastAsia="宋体"/>
                          <w:spacing w:val="17"/>
                          <w:sz w:val="21"/>
                        </w:rPr>
                        <w:t>馆、银川市文化园全民健身中心综合馆、银</w:t>
                      </w:r>
                      <w:r>
                        <w:rPr>
                          <w:rFonts w:ascii="宋体" w:eastAsia="宋体"/>
                          <w:spacing w:val="14"/>
                          <w:sz w:val="21"/>
                        </w:rPr>
                        <w:t>川文化园足球场及配套健身设施、宁安大街林带多功能运动场、长城路带状公园多功能</w:t>
                      </w:r>
                    </w:p>
                    <w:p w14:paraId="790E480C">
                      <w:pPr>
                        <w:spacing w:before="1"/>
                        <w:ind w:left="102"/>
                        <w:rPr>
                          <w:rFonts w:ascii="宋体" w:eastAsia="宋体"/>
                          <w:sz w:val="21"/>
                        </w:rPr>
                      </w:pPr>
                      <w:r>
                        <w:rPr>
                          <w:rFonts w:ascii="宋体" w:eastAsia="宋体"/>
                          <w:spacing w:val="16"/>
                          <w:w w:val="95"/>
                          <w:sz w:val="21"/>
                        </w:rPr>
                        <w:t>运动场等小型体育场所项目。</w:t>
                      </w:r>
                    </w:p>
                  </w:txbxContent>
                </v:textbox>
                <w10:wrap type="none"/>
                <w10:anchorlock/>
              </v:shape>
            </w:pict>
          </mc:Fallback>
        </mc:AlternateContent>
      </w:r>
    </w:p>
    <w:p w14:paraId="7D8533AD">
      <w:pPr>
        <w:spacing w:before="6"/>
        <w:rPr>
          <w:sz w:val="15"/>
          <w:szCs w:val="32"/>
        </w:rPr>
      </w:pPr>
    </w:p>
    <w:p w14:paraId="7A1C63A3">
      <w:pPr>
        <w:spacing w:before="55"/>
        <w:ind w:left="678" w:right="859"/>
        <w:jc w:val="center"/>
        <w:outlineLvl w:val="0"/>
        <w:rPr>
          <w:rFonts w:ascii="宋体" w:hAnsi="宋体" w:eastAsia="宋体" w:cs="宋体"/>
          <w:b/>
          <w:bCs/>
          <w:sz w:val="32"/>
          <w:szCs w:val="32"/>
        </w:rPr>
      </w:pPr>
      <w:r>
        <w:rPr>
          <w:rFonts w:ascii="宋体" w:hAnsi="宋体" w:eastAsia="宋体" w:cs="宋体"/>
          <w:b/>
          <w:bCs/>
          <w:spacing w:val="24"/>
          <w:sz w:val="32"/>
          <w:szCs w:val="32"/>
        </w:rPr>
        <w:t>第四</w:t>
      </w:r>
      <w:r>
        <w:rPr>
          <w:rFonts w:ascii="宋体" w:hAnsi="宋体" w:eastAsia="宋体" w:cs="宋体"/>
          <w:b/>
          <w:bCs/>
          <w:spacing w:val="70"/>
          <w:sz w:val="32"/>
          <w:szCs w:val="32"/>
        </w:rPr>
        <w:t>节 扩</w:t>
      </w:r>
      <w:r>
        <w:rPr>
          <w:rFonts w:ascii="宋体" w:hAnsi="宋体" w:eastAsia="宋体" w:cs="宋体"/>
          <w:b/>
          <w:bCs/>
          <w:spacing w:val="24"/>
          <w:sz w:val="32"/>
          <w:szCs w:val="32"/>
        </w:rPr>
        <w:t>大社会保障覆盖范</w:t>
      </w:r>
      <w:r>
        <w:rPr>
          <w:rFonts w:ascii="宋体" w:hAnsi="宋体" w:eastAsia="宋体" w:cs="宋体"/>
          <w:b/>
          <w:bCs/>
          <w:spacing w:val="-10"/>
          <w:sz w:val="32"/>
          <w:szCs w:val="32"/>
        </w:rPr>
        <w:t>围</w:t>
      </w:r>
    </w:p>
    <w:p w14:paraId="2E2764B8">
      <w:pPr>
        <w:spacing w:before="10"/>
        <w:rPr>
          <w:rFonts w:ascii="宋体"/>
          <w:b/>
          <w:sz w:val="23"/>
          <w:szCs w:val="32"/>
        </w:rPr>
      </w:pPr>
    </w:p>
    <w:p w14:paraId="384FAE1A">
      <w:pPr>
        <w:ind w:left="797"/>
        <w:rPr>
          <w:rFonts w:ascii="黑体" w:eastAsia="黑体"/>
          <w:sz w:val="32"/>
          <w:szCs w:val="32"/>
        </w:rPr>
      </w:pPr>
      <w:r>
        <w:rPr>
          <w:rFonts w:ascii="黑体" w:eastAsia="黑体"/>
          <w:spacing w:val="18"/>
          <w:w w:val="95"/>
          <w:sz w:val="32"/>
          <w:szCs w:val="32"/>
        </w:rPr>
        <w:t>一、全面提高社会保障水平</w:t>
      </w:r>
    </w:p>
    <w:p w14:paraId="63D6EB51">
      <w:pPr>
        <w:spacing w:before="166" w:line="338" w:lineRule="auto"/>
        <w:ind w:left="113" w:right="126" w:firstLine="684"/>
        <w:rPr>
          <w:sz w:val="32"/>
          <w:szCs w:val="32"/>
        </w:rPr>
      </w:pPr>
      <w:r>
        <w:rPr>
          <w:spacing w:val="3"/>
          <w:w w:val="99"/>
          <w:sz w:val="32"/>
          <w:szCs w:val="32"/>
        </w:rPr>
        <w:t>提高社会保障水平，持续推进“互联网+人社”行动计划，</w:t>
      </w:r>
      <w:r>
        <w:rPr>
          <w:spacing w:val="23"/>
          <w:w w:val="99"/>
          <w:sz w:val="32"/>
          <w:szCs w:val="32"/>
        </w:rPr>
        <w:t>建设“社保云”信息惠民工程，建立统一的社会保险公共服务平台，推广以社会保障卡为载体的“一卡通”服务管理模</w:t>
      </w:r>
      <w:r>
        <w:rPr>
          <w:spacing w:val="10"/>
          <w:w w:val="99"/>
          <w:sz w:val="32"/>
          <w:szCs w:val="32"/>
        </w:rPr>
        <w:t>式。</w:t>
      </w:r>
    </w:p>
    <w:p w14:paraId="470E7464">
      <w:pPr>
        <w:spacing w:before="9" w:line="338" w:lineRule="auto"/>
        <w:ind w:left="113" w:right="290" w:firstLine="684"/>
        <w:jc w:val="both"/>
        <w:rPr>
          <w:sz w:val="32"/>
          <w:szCs w:val="32"/>
        </w:rPr>
      </w:pPr>
      <w:r>
        <w:rPr>
          <w:b/>
          <w:spacing w:val="25"/>
          <w:w w:val="99"/>
          <w:sz w:val="32"/>
          <w:szCs w:val="32"/>
        </w:rPr>
        <w:t>完善多层次广覆盖的社会保障体系。</w:t>
      </w:r>
      <w:r>
        <w:rPr>
          <w:spacing w:val="21"/>
          <w:w w:val="99"/>
          <w:sz w:val="32"/>
          <w:szCs w:val="32"/>
        </w:rPr>
        <w:t>继续实施全民参保</w:t>
      </w:r>
      <w:r>
        <w:rPr>
          <w:spacing w:val="23"/>
          <w:w w:val="99"/>
          <w:sz w:val="32"/>
          <w:szCs w:val="32"/>
        </w:rPr>
        <w:t>计划，落实城乡居民基本养老保险待遇确定机制和基础养老</w:t>
      </w:r>
      <w:r>
        <w:rPr>
          <w:spacing w:val="11"/>
          <w:w w:val="99"/>
          <w:sz w:val="32"/>
          <w:szCs w:val="32"/>
        </w:rPr>
        <w:t>金正常调整机制。到</w:t>
      </w:r>
      <w:r>
        <w:rPr>
          <w:spacing w:val="-50"/>
          <w:sz w:val="32"/>
          <w:szCs w:val="32"/>
        </w:rPr>
        <w:t xml:space="preserve"> </w:t>
      </w:r>
      <w:r>
        <w:rPr>
          <w:rFonts w:ascii="Calibri" w:eastAsia="Calibri"/>
          <w:spacing w:val="6"/>
          <w:w w:val="99"/>
          <w:sz w:val="32"/>
          <w:szCs w:val="32"/>
        </w:rPr>
        <w:t>2</w:t>
      </w:r>
      <w:r>
        <w:rPr>
          <w:rFonts w:ascii="Calibri" w:eastAsia="Calibri"/>
          <w:spacing w:val="13"/>
          <w:w w:val="99"/>
          <w:sz w:val="32"/>
          <w:szCs w:val="32"/>
        </w:rPr>
        <w:t>0</w:t>
      </w:r>
      <w:r>
        <w:rPr>
          <w:rFonts w:ascii="Calibri" w:eastAsia="Calibri"/>
          <w:spacing w:val="11"/>
          <w:w w:val="99"/>
          <w:sz w:val="32"/>
          <w:szCs w:val="32"/>
        </w:rPr>
        <w:t>2</w:t>
      </w:r>
      <w:r>
        <w:rPr>
          <w:rFonts w:ascii="Calibri" w:eastAsia="Calibri"/>
          <w:w w:val="99"/>
          <w:sz w:val="32"/>
          <w:szCs w:val="32"/>
        </w:rPr>
        <w:t>5</w:t>
      </w:r>
      <w:r>
        <w:rPr>
          <w:rFonts w:ascii="Calibri" w:eastAsia="Calibri"/>
          <w:spacing w:val="27"/>
          <w:sz w:val="32"/>
          <w:szCs w:val="32"/>
        </w:rPr>
        <w:t xml:space="preserve"> </w:t>
      </w:r>
      <w:r>
        <w:rPr>
          <w:spacing w:val="14"/>
          <w:w w:val="99"/>
          <w:sz w:val="32"/>
          <w:szCs w:val="32"/>
        </w:rPr>
        <w:t>年，城乡居民基本养老保险参保率达到</w:t>
      </w:r>
      <w:r>
        <w:rPr>
          <w:spacing w:val="-45"/>
          <w:sz w:val="32"/>
          <w:szCs w:val="32"/>
        </w:rPr>
        <w:t xml:space="preserve"> </w:t>
      </w:r>
      <w:r>
        <w:rPr>
          <w:rFonts w:ascii="Calibri" w:eastAsia="Calibri"/>
          <w:spacing w:val="8"/>
          <w:w w:val="99"/>
          <w:sz w:val="32"/>
          <w:szCs w:val="32"/>
        </w:rPr>
        <w:t>9</w:t>
      </w:r>
      <w:r>
        <w:rPr>
          <w:rFonts w:ascii="Calibri" w:eastAsia="Calibri"/>
          <w:spacing w:val="11"/>
          <w:w w:val="99"/>
          <w:sz w:val="32"/>
          <w:szCs w:val="32"/>
        </w:rPr>
        <w:t>9</w:t>
      </w:r>
      <w:r>
        <w:rPr>
          <w:rFonts w:ascii="Calibri" w:eastAsia="Calibri"/>
          <w:spacing w:val="10"/>
          <w:w w:val="99"/>
          <w:sz w:val="32"/>
          <w:szCs w:val="32"/>
        </w:rPr>
        <w:t>.</w:t>
      </w:r>
      <w:r>
        <w:rPr>
          <w:rFonts w:ascii="Calibri" w:eastAsia="Calibri"/>
          <w:spacing w:val="11"/>
          <w:w w:val="99"/>
          <w:sz w:val="32"/>
          <w:szCs w:val="32"/>
        </w:rPr>
        <w:t>5</w:t>
      </w:r>
      <w:r>
        <w:rPr>
          <w:rFonts w:ascii="Calibri" w:eastAsia="Calibri"/>
          <w:spacing w:val="23"/>
          <w:w w:val="99"/>
          <w:sz w:val="32"/>
          <w:szCs w:val="32"/>
        </w:rPr>
        <w:t>%</w:t>
      </w:r>
      <w:r>
        <w:rPr>
          <w:spacing w:val="27"/>
          <w:w w:val="99"/>
          <w:sz w:val="32"/>
          <w:szCs w:val="32"/>
        </w:rPr>
        <w:t>以上。扎实推进被征地农民养老保险工作，</w:t>
      </w:r>
      <w:r>
        <w:rPr>
          <w:spacing w:val="-131"/>
          <w:sz w:val="32"/>
          <w:szCs w:val="32"/>
        </w:rPr>
        <w:t xml:space="preserve"> </w:t>
      </w:r>
      <w:r>
        <w:rPr>
          <w:spacing w:val="14"/>
          <w:w w:val="99"/>
          <w:sz w:val="32"/>
          <w:szCs w:val="32"/>
        </w:rPr>
        <w:t>确保</w:t>
      </w:r>
      <w:r>
        <w:rPr>
          <w:spacing w:val="20"/>
          <w:w w:val="99"/>
          <w:sz w:val="32"/>
          <w:szCs w:val="32"/>
        </w:rPr>
        <w:t xml:space="preserve">被征地农民应保尽保。扩大失业保险保障范围，将参保不足 </w:t>
      </w:r>
      <w:r>
        <w:rPr>
          <w:rFonts w:ascii="Calibri" w:eastAsia="Calibri"/>
          <w:spacing w:val="20"/>
          <w:w w:val="99"/>
          <w:sz w:val="32"/>
          <w:szCs w:val="32"/>
        </w:rPr>
        <w:t>1</w:t>
      </w:r>
      <w:r>
        <w:rPr>
          <w:rFonts w:ascii="Calibri" w:eastAsia="Calibri"/>
          <w:spacing w:val="25"/>
          <w:sz w:val="32"/>
          <w:szCs w:val="32"/>
        </w:rPr>
        <w:t xml:space="preserve"> </w:t>
      </w:r>
      <w:r>
        <w:rPr>
          <w:spacing w:val="19"/>
          <w:w w:val="99"/>
          <w:sz w:val="32"/>
          <w:szCs w:val="32"/>
        </w:rPr>
        <w:t>年的农民工等失业人员都纳入保障。</w:t>
      </w:r>
    </w:p>
    <w:p w14:paraId="109404BC">
      <w:pPr>
        <w:spacing w:before="11" w:line="338" w:lineRule="auto"/>
        <w:ind w:left="113" w:right="285" w:firstLine="684"/>
        <w:jc w:val="both"/>
        <w:rPr>
          <w:sz w:val="32"/>
          <w:szCs w:val="32"/>
        </w:rPr>
      </w:pPr>
      <w:r>
        <w:rPr>
          <w:b/>
          <w:spacing w:val="26"/>
          <w:w w:val="99"/>
          <w:sz w:val="32"/>
          <w:szCs w:val="32"/>
        </w:rPr>
        <w:t>建立完备的医疗保障服务体系</w:t>
      </w:r>
      <w:r>
        <w:rPr>
          <w:spacing w:val="21"/>
          <w:w w:val="99"/>
          <w:sz w:val="32"/>
          <w:szCs w:val="32"/>
        </w:rPr>
        <w:t>。落实全民参保计划，实</w:t>
      </w:r>
      <w:r>
        <w:rPr>
          <w:spacing w:val="23"/>
          <w:w w:val="99"/>
          <w:sz w:val="32"/>
          <w:szCs w:val="32"/>
        </w:rPr>
        <w:t>现城乡居民基本医保参保全覆盖，完善统一的城乡居民基本医疗保险制度和大病保险制度，全面做好医疗保险关系转移</w:t>
      </w:r>
      <w:r>
        <w:rPr>
          <w:spacing w:val="8"/>
          <w:w w:val="99"/>
          <w:sz w:val="32"/>
          <w:szCs w:val="32"/>
        </w:rPr>
        <w:t>接续和异地就医直接结算，积极推行医保支付方式改革，健全</w:t>
      </w:r>
    </w:p>
    <w:p w14:paraId="0CFCA910">
      <w:pPr>
        <w:spacing w:line="338" w:lineRule="auto"/>
        <w:jc w:val="both"/>
        <w:sectPr>
          <w:pgSz w:w="11910" w:h="16840"/>
          <w:pgMar w:top="1680" w:right="1200" w:bottom="1160" w:left="1360" w:header="0" w:footer="975" w:gutter="0"/>
          <w:cols w:space="720" w:num="1"/>
        </w:sectPr>
      </w:pPr>
    </w:p>
    <w:p w14:paraId="53930A38">
      <w:pPr>
        <w:spacing w:before="28" w:line="338" w:lineRule="auto"/>
        <w:ind w:left="113" w:right="120"/>
        <w:rPr>
          <w:sz w:val="32"/>
          <w:szCs w:val="32"/>
        </w:rPr>
      </w:pPr>
      <w:r>
        <w:rPr>
          <w:spacing w:val="9"/>
          <w:w w:val="99"/>
          <w:sz w:val="32"/>
          <w:szCs w:val="32"/>
        </w:rPr>
        <w:t>医保执法队伍，强化医疗保障基金监管。积极落实医保扶贫政</w:t>
      </w:r>
      <w:r>
        <w:rPr>
          <w:spacing w:val="-2"/>
          <w:w w:val="99"/>
          <w:sz w:val="32"/>
          <w:szCs w:val="32"/>
        </w:rPr>
        <w:t>策，发挥医疗大病救助托底作用，有效预防城乡居民因病致贫、</w:t>
      </w:r>
      <w:r>
        <w:rPr>
          <w:spacing w:val="9"/>
          <w:w w:val="99"/>
          <w:sz w:val="32"/>
          <w:szCs w:val="32"/>
        </w:rPr>
        <w:t>因病返贫。</w:t>
      </w:r>
    </w:p>
    <w:p w14:paraId="4AFBE308">
      <w:pPr>
        <w:spacing w:line="399" w:lineRule="exact"/>
        <w:ind w:left="778"/>
        <w:rPr>
          <w:rFonts w:ascii="黑体" w:eastAsia="黑体"/>
          <w:sz w:val="32"/>
          <w:szCs w:val="32"/>
        </w:rPr>
      </w:pPr>
      <w:r>
        <w:rPr>
          <w:rFonts w:ascii="黑体" w:eastAsia="黑体"/>
          <w:spacing w:val="12"/>
          <w:w w:val="95"/>
          <w:sz w:val="32"/>
          <w:szCs w:val="32"/>
        </w:rPr>
        <w:t>二、健全</w:t>
      </w:r>
      <w:r>
        <w:rPr>
          <w:rFonts w:ascii="黑体" w:eastAsia="黑体"/>
          <w:spacing w:val="14"/>
          <w:w w:val="95"/>
          <w:sz w:val="32"/>
          <w:szCs w:val="32"/>
        </w:rPr>
        <w:t>完</w:t>
      </w:r>
      <w:r>
        <w:rPr>
          <w:rFonts w:ascii="黑体" w:eastAsia="黑体"/>
          <w:spacing w:val="12"/>
          <w:w w:val="95"/>
          <w:sz w:val="32"/>
          <w:szCs w:val="32"/>
        </w:rPr>
        <w:t>善社</w:t>
      </w:r>
      <w:r>
        <w:rPr>
          <w:rFonts w:ascii="黑体" w:eastAsia="黑体"/>
          <w:spacing w:val="14"/>
          <w:w w:val="95"/>
          <w:sz w:val="32"/>
          <w:szCs w:val="32"/>
        </w:rPr>
        <w:t>会</w:t>
      </w:r>
      <w:r>
        <w:rPr>
          <w:rFonts w:ascii="黑体" w:eastAsia="黑体"/>
          <w:spacing w:val="12"/>
          <w:w w:val="95"/>
          <w:sz w:val="32"/>
          <w:szCs w:val="32"/>
        </w:rPr>
        <w:t>救助</w:t>
      </w:r>
      <w:r>
        <w:rPr>
          <w:rFonts w:ascii="黑体" w:eastAsia="黑体"/>
          <w:spacing w:val="2"/>
          <w:w w:val="95"/>
          <w:sz w:val="32"/>
          <w:szCs w:val="32"/>
        </w:rPr>
        <w:t>体系</w:t>
      </w:r>
    </w:p>
    <w:p w14:paraId="3C4177D5">
      <w:pPr>
        <w:spacing w:before="166" w:line="338" w:lineRule="auto"/>
        <w:ind w:left="113" w:right="283" w:firstLine="664"/>
        <w:jc w:val="both"/>
        <w:rPr>
          <w:sz w:val="32"/>
          <w:szCs w:val="32"/>
        </w:rPr>
      </w:pPr>
      <w:r>
        <w:rPr>
          <w:spacing w:val="10"/>
          <w:w w:val="99"/>
          <w:sz w:val="32"/>
          <w:szCs w:val="32"/>
        </w:rPr>
        <w:t>做好特困群体保障，健全分层分类、城乡统筹的社会救助</w:t>
      </w:r>
      <w:r>
        <w:rPr>
          <w:spacing w:val="9"/>
          <w:w w:val="99"/>
          <w:sz w:val="32"/>
          <w:szCs w:val="32"/>
        </w:rPr>
        <w:t>体系，做好弱势群体关爱服务，持续开展“两癌”贫困妇女和</w:t>
      </w:r>
      <w:r>
        <w:rPr>
          <w:spacing w:val="10"/>
          <w:w w:val="99"/>
          <w:sz w:val="32"/>
          <w:szCs w:val="32"/>
        </w:rPr>
        <w:t>单亲贫困母亲救助工作，加大城镇就业困难人员援助力度，推</w:t>
      </w:r>
      <w:r>
        <w:rPr>
          <w:spacing w:val="11"/>
          <w:w w:val="99"/>
          <w:sz w:val="32"/>
          <w:szCs w:val="32"/>
        </w:rPr>
        <w:t>进城镇零就业家庭动态清零。</w:t>
      </w:r>
    </w:p>
    <w:p w14:paraId="369EFC9F">
      <w:pPr>
        <w:spacing w:before="8" w:line="338" w:lineRule="auto"/>
        <w:ind w:left="113" w:right="120" w:firstLine="664"/>
        <w:rPr>
          <w:sz w:val="32"/>
          <w:szCs w:val="32"/>
        </w:rPr>
      </w:pPr>
      <w:r>
        <w:rPr>
          <w:b/>
          <w:spacing w:val="12"/>
          <w:w w:val="99"/>
          <w:sz w:val="32"/>
          <w:szCs w:val="32"/>
        </w:rPr>
        <w:t>稳步提高统筹层次和保障水平。</w:t>
      </w:r>
      <w:r>
        <w:rPr>
          <w:spacing w:val="8"/>
          <w:w w:val="99"/>
          <w:sz w:val="32"/>
          <w:szCs w:val="32"/>
        </w:rPr>
        <w:t>启动实施“金保二期”项</w:t>
      </w:r>
      <w:r>
        <w:rPr>
          <w:spacing w:val="-1"/>
          <w:w w:val="99"/>
          <w:sz w:val="32"/>
          <w:szCs w:val="32"/>
        </w:rPr>
        <w:t>目建设，大力发展残疾人和慈善公益事业。以重特大疾病患者、</w:t>
      </w:r>
      <w:r>
        <w:rPr>
          <w:spacing w:val="9"/>
          <w:w w:val="99"/>
          <w:sz w:val="32"/>
          <w:szCs w:val="32"/>
        </w:rPr>
        <w:t>重度残疾对象、建档立卡兜底保障人员为重点，增强兜底保障能力，发挥医保大病救助托底作用，做到“应保尽保、应扶尽</w:t>
      </w:r>
      <w:r>
        <w:rPr>
          <w:spacing w:val="8"/>
          <w:w w:val="99"/>
          <w:sz w:val="32"/>
          <w:szCs w:val="32"/>
        </w:rPr>
        <w:t>扶”。精准实施对困难群众的兜底保障政策，将未参加失业保</w:t>
      </w:r>
      <w:r>
        <w:rPr>
          <w:spacing w:val="10"/>
          <w:w w:val="99"/>
          <w:sz w:val="32"/>
          <w:szCs w:val="32"/>
        </w:rPr>
        <w:t>险且收入低于低保标准的农民工等失业群体纳入低保、救助范</w:t>
      </w:r>
      <w:r>
        <w:rPr>
          <w:spacing w:val="-2"/>
          <w:w w:val="99"/>
          <w:sz w:val="32"/>
          <w:szCs w:val="32"/>
        </w:rPr>
        <w:t>围，健全完善城乡低保渐退机制，用准用好用足各项救助政策，</w:t>
      </w:r>
      <w:r>
        <w:rPr>
          <w:spacing w:val="11"/>
          <w:w w:val="99"/>
          <w:sz w:val="32"/>
          <w:szCs w:val="32"/>
        </w:rPr>
        <w:t>确保困难群体“不愁吃、不愁穿”。</w:t>
      </w:r>
    </w:p>
    <w:p w14:paraId="0C4E3C3A">
      <w:pPr>
        <w:spacing w:before="14" w:line="338" w:lineRule="auto"/>
        <w:ind w:left="113" w:right="117" w:firstLine="664"/>
        <w:rPr>
          <w:sz w:val="32"/>
          <w:szCs w:val="32"/>
        </w:rPr>
      </w:pPr>
      <w:r>
        <w:rPr>
          <w:b/>
          <w:spacing w:val="12"/>
          <w:sz w:val="32"/>
          <w:szCs w:val="32"/>
        </w:rPr>
        <w:t>创新社会救助方式</w:t>
      </w:r>
      <w:r>
        <w:rPr>
          <w:b/>
          <w:sz w:val="32"/>
          <w:szCs w:val="32"/>
        </w:rPr>
        <w:t>。</w:t>
      </w:r>
      <w:r>
        <w:rPr>
          <w:spacing w:val="7"/>
          <w:sz w:val="32"/>
          <w:szCs w:val="32"/>
        </w:rPr>
        <w:t>探索“</w:t>
      </w:r>
      <w:r>
        <w:rPr>
          <w:spacing w:val="12"/>
          <w:sz w:val="32"/>
          <w:szCs w:val="32"/>
        </w:rPr>
        <w:t>一库一平台一</w:t>
      </w:r>
      <w:r>
        <w:rPr>
          <w:spacing w:val="7"/>
          <w:sz w:val="32"/>
          <w:szCs w:val="32"/>
        </w:rPr>
        <w:t>会议”城市贫困</w:t>
      </w:r>
      <w:r>
        <w:rPr>
          <w:spacing w:val="12"/>
          <w:w w:val="95"/>
          <w:sz w:val="32"/>
          <w:szCs w:val="32"/>
        </w:rPr>
        <w:t>人口帮扶</w:t>
      </w:r>
      <w:r>
        <w:rPr>
          <w:spacing w:val="8"/>
          <w:w w:val="95"/>
          <w:sz w:val="32"/>
          <w:szCs w:val="32"/>
        </w:rPr>
        <w:t>机制，实现</w:t>
      </w:r>
      <w:r>
        <w:rPr>
          <w:spacing w:val="12"/>
          <w:w w:val="95"/>
          <w:sz w:val="32"/>
          <w:szCs w:val="32"/>
        </w:rPr>
        <w:t>困难群众个人申请</w:t>
      </w:r>
      <w:r>
        <w:rPr>
          <w:spacing w:val="8"/>
          <w:w w:val="95"/>
          <w:sz w:val="32"/>
          <w:szCs w:val="32"/>
        </w:rPr>
        <w:t>、系统</w:t>
      </w:r>
      <w:r>
        <w:rPr>
          <w:spacing w:val="12"/>
          <w:w w:val="95"/>
          <w:sz w:val="32"/>
          <w:szCs w:val="32"/>
        </w:rPr>
        <w:t>派单</w:t>
      </w:r>
      <w:r>
        <w:rPr>
          <w:spacing w:val="8"/>
          <w:w w:val="95"/>
          <w:sz w:val="32"/>
          <w:szCs w:val="32"/>
        </w:rPr>
        <w:t>、部门</w:t>
      </w:r>
      <w:r>
        <w:rPr>
          <w:spacing w:val="12"/>
          <w:w w:val="95"/>
          <w:sz w:val="32"/>
          <w:szCs w:val="32"/>
        </w:rPr>
        <w:t>接单</w:t>
      </w:r>
      <w:r>
        <w:rPr>
          <w:w w:val="95"/>
          <w:sz w:val="32"/>
          <w:szCs w:val="32"/>
        </w:rPr>
        <w:t>、</w:t>
      </w:r>
      <w:r>
        <w:rPr>
          <w:spacing w:val="12"/>
          <w:sz w:val="32"/>
          <w:szCs w:val="32"/>
        </w:rPr>
        <w:t>社会认筹的闭环救助模</w:t>
      </w:r>
      <w:r>
        <w:rPr>
          <w:spacing w:val="8"/>
          <w:sz w:val="32"/>
          <w:szCs w:val="32"/>
        </w:rPr>
        <w:t>式，满足</w:t>
      </w:r>
      <w:r>
        <w:rPr>
          <w:spacing w:val="12"/>
          <w:sz w:val="32"/>
          <w:szCs w:val="32"/>
        </w:rPr>
        <w:t>城市困难群众帮扶</w:t>
      </w:r>
      <w:r>
        <w:rPr>
          <w:spacing w:val="7"/>
          <w:sz w:val="32"/>
          <w:szCs w:val="32"/>
        </w:rPr>
        <w:t>需求。试点</w:t>
      </w:r>
      <w:r>
        <w:rPr>
          <w:spacing w:val="12"/>
          <w:sz w:val="32"/>
          <w:szCs w:val="32"/>
        </w:rPr>
        <w:t>开展非物质社会救助工</w:t>
      </w:r>
      <w:r>
        <w:rPr>
          <w:spacing w:val="8"/>
          <w:sz w:val="32"/>
          <w:szCs w:val="32"/>
        </w:rPr>
        <w:t>作，通过</w:t>
      </w:r>
      <w:r>
        <w:rPr>
          <w:spacing w:val="12"/>
          <w:sz w:val="32"/>
          <w:szCs w:val="32"/>
        </w:rPr>
        <w:t>社会融入、能力提升、心</w:t>
      </w:r>
      <w:r>
        <w:rPr>
          <w:spacing w:val="6"/>
          <w:sz w:val="32"/>
          <w:szCs w:val="32"/>
        </w:rPr>
        <w:t>理疏</w:t>
      </w:r>
      <w:r>
        <w:rPr>
          <w:spacing w:val="12"/>
          <w:sz w:val="32"/>
          <w:szCs w:val="32"/>
        </w:rPr>
        <w:t>导、资源链接、宣传倡导等项目，为特殊困难群体提供精</w:t>
      </w:r>
      <w:r>
        <w:rPr>
          <w:spacing w:val="6"/>
          <w:sz w:val="32"/>
          <w:szCs w:val="32"/>
        </w:rPr>
        <w:t>准的</w:t>
      </w:r>
      <w:r>
        <w:rPr>
          <w:spacing w:val="8"/>
          <w:sz w:val="32"/>
          <w:szCs w:val="32"/>
        </w:rPr>
        <w:t>服务。全面</w:t>
      </w:r>
      <w:r>
        <w:rPr>
          <w:spacing w:val="12"/>
          <w:sz w:val="32"/>
          <w:szCs w:val="32"/>
        </w:rPr>
        <w:t>开展社会救助审批权限下放镇（街道）工</w:t>
      </w:r>
      <w:r>
        <w:rPr>
          <w:spacing w:val="6"/>
          <w:sz w:val="32"/>
          <w:szCs w:val="32"/>
        </w:rPr>
        <w:t>作，规范</w:t>
      </w:r>
      <w:r>
        <w:rPr>
          <w:spacing w:val="12"/>
          <w:sz w:val="32"/>
          <w:szCs w:val="32"/>
        </w:rPr>
        <w:t>各镇（街道）社会救助工作管理，实施分类施保、差</w:t>
      </w:r>
      <w:r>
        <w:rPr>
          <w:spacing w:val="8"/>
          <w:sz w:val="32"/>
          <w:szCs w:val="32"/>
        </w:rPr>
        <w:t>额补助，</w:t>
      </w:r>
    </w:p>
    <w:p w14:paraId="7E333BDD">
      <w:pPr>
        <w:spacing w:line="338" w:lineRule="auto"/>
        <w:sectPr>
          <w:pgSz w:w="11910" w:h="16840"/>
          <w:pgMar w:top="1800" w:right="1200" w:bottom="1160" w:left="1360" w:header="0" w:footer="975" w:gutter="0"/>
          <w:cols w:space="720" w:num="1"/>
        </w:sectPr>
      </w:pPr>
    </w:p>
    <w:p w14:paraId="4F4CF2F6">
      <w:pPr>
        <w:spacing w:before="28"/>
        <w:ind w:left="113"/>
        <w:rPr>
          <w:sz w:val="32"/>
          <w:szCs w:val="32"/>
        </w:rPr>
      </w:pPr>
      <w:r>
        <w:rPr>
          <w:spacing w:val="12"/>
          <w:w w:val="95"/>
          <w:sz w:val="32"/>
          <w:szCs w:val="32"/>
        </w:rPr>
        <w:t>落实核查</w:t>
      </w:r>
      <w:r>
        <w:rPr>
          <w:spacing w:val="14"/>
          <w:w w:val="95"/>
          <w:sz w:val="32"/>
          <w:szCs w:val="32"/>
        </w:rPr>
        <w:t>和</w:t>
      </w:r>
      <w:r>
        <w:rPr>
          <w:spacing w:val="12"/>
          <w:w w:val="95"/>
          <w:sz w:val="32"/>
          <w:szCs w:val="32"/>
        </w:rPr>
        <w:t>动态</w:t>
      </w:r>
      <w:r>
        <w:rPr>
          <w:spacing w:val="14"/>
          <w:w w:val="95"/>
          <w:sz w:val="32"/>
          <w:szCs w:val="32"/>
        </w:rPr>
        <w:t>管</w:t>
      </w:r>
      <w:r>
        <w:rPr>
          <w:spacing w:val="12"/>
          <w:w w:val="95"/>
          <w:sz w:val="32"/>
          <w:szCs w:val="32"/>
        </w:rPr>
        <w:t>理制</w:t>
      </w:r>
      <w:r>
        <w:rPr>
          <w:spacing w:val="2"/>
          <w:w w:val="95"/>
          <w:sz w:val="32"/>
          <w:szCs w:val="32"/>
        </w:rPr>
        <w:t>度。</w:t>
      </w:r>
    </w:p>
    <w:p w14:paraId="5611A2B4">
      <w:pPr>
        <w:spacing w:before="2"/>
        <w:rPr>
          <w:sz w:val="24"/>
          <w:szCs w:val="32"/>
        </w:rPr>
      </w:pPr>
    </w:p>
    <w:p w14:paraId="7D9BBD56">
      <w:pPr>
        <w:ind w:left="1758" w:right="1927"/>
        <w:jc w:val="center"/>
        <w:outlineLvl w:val="0"/>
        <w:rPr>
          <w:rFonts w:ascii="宋体" w:hAnsi="宋体" w:eastAsia="宋体" w:cs="宋体"/>
          <w:b/>
          <w:bCs/>
          <w:sz w:val="32"/>
          <w:szCs w:val="32"/>
        </w:rPr>
      </w:pPr>
      <w:r>
        <w:rPr>
          <w:rFonts w:ascii="宋体" w:hAnsi="宋体" w:eastAsia="宋体" w:cs="宋体"/>
          <w:b/>
          <w:bCs/>
          <w:spacing w:val="14"/>
          <w:sz w:val="32"/>
          <w:szCs w:val="32"/>
        </w:rPr>
        <w:t>第五</w:t>
      </w:r>
      <w:r>
        <w:rPr>
          <w:rFonts w:ascii="宋体" w:hAnsi="宋体" w:eastAsia="宋体" w:cs="宋体"/>
          <w:b/>
          <w:bCs/>
          <w:spacing w:val="56"/>
          <w:sz w:val="32"/>
          <w:szCs w:val="32"/>
        </w:rPr>
        <w:t>节 提</w:t>
      </w:r>
      <w:r>
        <w:rPr>
          <w:rFonts w:ascii="宋体" w:hAnsi="宋体" w:eastAsia="宋体" w:cs="宋体"/>
          <w:b/>
          <w:bCs/>
          <w:spacing w:val="14"/>
          <w:sz w:val="32"/>
          <w:szCs w:val="32"/>
        </w:rPr>
        <w:t>高人</w:t>
      </w:r>
      <w:r>
        <w:rPr>
          <w:rFonts w:ascii="宋体" w:hAnsi="宋体" w:eastAsia="宋体" w:cs="宋体"/>
          <w:b/>
          <w:bCs/>
          <w:spacing w:val="12"/>
          <w:sz w:val="32"/>
          <w:szCs w:val="32"/>
        </w:rPr>
        <w:t>口</w:t>
      </w:r>
      <w:r>
        <w:rPr>
          <w:rFonts w:ascii="宋体" w:hAnsi="宋体" w:eastAsia="宋体" w:cs="宋体"/>
          <w:b/>
          <w:bCs/>
          <w:spacing w:val="14"/>
          <w:sz w:val="32"/>
          <w:szCs w:val="32"/>
        </w:rPr>
        <w:t>管理服务水</w:t>
      </w:r>
      <w:r>
        <w:rPr>
          <w:rFonts w:ascii="宋体" w:hAnsi="宋体" w:eastAsia="宋体" w:cs="宋体"/>
          <w:b/>
          <w:bCs/>
          <w:spacing w:val="-10"/>
          <w:sz w:val="32"/>
          <w:szCs w:val="32"/>
        </w:rPr>
        <w:t>平</w:t>
      </w:r>
    </w:p>
    <w:p w14:paraId="5ABB864D">
      <w:pPr>
        <w:spacing w:before="10"/>
        <w:rPr>
          <w:rFonts w:ascii="宋体"/>
          <w:b/>
          <w:sz w:val="23"/>
          <w:szCs w:val="32"/>
        </w:rPr>
      </w:pPr>
    </w:p>
    <w:p w14:paraId="671C0DC3">
      <w:pPr>
        <w:spacing w:before="1"/>
        <w:ind w:left="778"/>
        <w:rPr>
          <w:rFonts w:ascii="黑体" w:eastAsia="黑体"/>
          <w:sz w:val="32"/>
          <w:szCs w:val="32"/>
        </w:rPr>
      </w:pPr>
      <w:r>
        <w:rPr>
          <w:rFonts w:ascii="黑体" w:eastAsia="黑体"/>
          <w:spacing w:val="12"/>
          <w:w w:val="95"/>
          <w:sz w:val="32"/>
          <w:szCs w:val="32"/>
        </w:rPr>
        <w:t>一、积极</w:t>
      </w:r>
      <w:r>
        <w:rPr>
          <w:rFonts w:ascii="黑体" w:eastAsia="黑体"/>
          <w:spacing w:val="14"/>
          <w:w w:val="95"/>
          <w:sz w:val="32"/>
          <w:szCs w:val="32"/>
        </w:rPr>
        <w:t>优</w:t>
      </w:r>
      <w:r>
        <w:rPr>
          <w:rFonts w:ascii="黑体" w:eastAsia="黑体"/>
          <w:spacing w:val="12"/>
          <w:w w:val="95"/>
          <w:sz w:val="32"/>
          <w:szCs w:val="32"/>
        </w:rPr>
        <w:t>化全</w:t>
      </w:r>
      <w:r>
        <w:rPr>
          <w:rFonts w:ascii="黑体" w:eastAsia="黑体"/>
          <w:spacing w:val="14"/>
          <w:w w:val="95"/>
          <w:sz w:val="32"/>
          <w:szCs w:val="32"/>
        </w:rPr>
        <w:t>区</w:t>
      </w:r>
      <w:r>
        <w:rPr>
          <w:rFonts w:ascii="黑体" w:eastAsia="黑体"/>
          <w:spacing w:val="12"/>
          <w:w w:val="95"/>
          <w:sz w:val="32"/>
          <w:szCs w:val="32"/>
        </w:rPr>
        <w:t>人口</w:t>
      </w:r>
      <w:r>
        <w:rPr>
          <w:rFonts w:ascii="黑体" w:eastAsia="黑体"/>
          <w:spacing w:val="2"/>
          <w:w w:val="95"/>
          <w:sz w:val="32"/>
          <w:szCs w:val="32"/>
        </w:rPr>
        <w:t>结构</w:t>
      </w:r>
    </w:p>
    <w:p w14:paraId="3A48F138">
      <w:pPr>
        <w:spacing w:before="166" w:line="338" w:lineRule="auto"/>
        <w:ind w:left="113" w:right="278" w:firstLine="664"/>
        <w:jc w:val="both"/>
        <w:rPr>
          <w:sz w:val="32"/>
          <w:szCs w:val="32"/>
        </w:rPr>
      </w:pPr>
      <w:r>
        <w:rPr>
          <w:b/>
          <w:spacing w:val="10"/>
          <w:w w:val="99"/>
          <w:sz w:val="32"/>
          <w:szCs w:val="32"/>
        </w:rPr>
        <w:t>吸收创业人才提升人口质量。</w:t>
      </w:r>
      <w:r>
        <w:rPr>
          <w:spacing w:val="11"/>
          <w:w w:val="99"/>
          <w:sz w:val="32"/>
          <w:szCs w:val="32"/>
        </w:rPr>
        <w:t>推进人才发展体制机制改革</w:t>
      </w:r>
      <w:r>
        <w:rPr>
          <w:spacing w:val="10"/>
          <w:w w:val="99"/>
          <w:sz w:val="32"/>
          <w:szCs w:val="32"/>
        </w:rPr>
        <w:t>和人才政策创新，增强人才体制机制的灵活度和人才政策的开</w:t>
      </w:r>
      <w:r>
        <w:rPr>
          <w:spacing w:val="12"/>
          <w:w w:val="99"/>
          <w:sz w:val="32"/>
          <w:szCs w:val="32"/>
        </w:rPr>
        <w:t>放度，</w:t>
      </w:r>
      <w:r>
        <w:rPr>
          <w:spacing w:val="34"/>
          <w:sz w:val="32"/>
          <w:szCs w:val="32"/>
        </w:rPr>
        <w:t xml:space="preserve"> </w:t>
      </w:r>
      <w:r>
        <w:rPr>
          <w:spacing w:val="16"/>
          <w:w w:val="99"/>
          <w:sz w:val="32"/>
          <w:szCs w:val="32"/>
        </w:rPr>
        <w:t>加快集聚各类高层次人才来金凤创业。引进培养高层</w:t>
      </w:r>
      <w:r>
        <w:rPr>
          <w:spacing w:val="11"/>
          <w:w w:val="99"/>
          <w:sz w:val="32"/>
          <w:szCs w:val="32"/>
        </w:rPr>
        <w:t>次人才、创新创业人才及团队，最大限度激发人才创造活力，</w:t>
      </w:r>
      <w:r>
        <w:rPr>
          <w:spacing w:val="9"/>
          <w:w w:val="99"/>
          <w:sz w:val="32"/>
          <w:szCs w:val="32"/>
        </w:rPr>
        <w:t>打造区市人才高地。针对不同层次人才制定不同政策，对人才居留落户、教育医疗、社会保障、创业资助、成果转化等政策</w:t>
      </w:r>
      <w:r>
        <w:rPr>
          <w:spacing w:val="10"/>
          <w:w w:val="99"/>
          <w:sz w:val="32"/>
          <w:szCs w:val="32"/>
        </w:rPr>
        <w:t>进行重点突破。</w:t>
      </w:r>
    </w:p>
    <w:p w14:paraId="1B5AC318">
      <w:pPr>
        <w:spacing w:before="14" w:line="338" w:lineRule="auto"/>
        <w:ind w:left="113" w:right="283" w:firstLine="664"/>
        <w:jc w:val="both"/>
        <w:rPr>
          <w:sz w:val="32"/>
          <w:szCs w:val="32"/>
        </w:rPr>
      </w:pPr>
      <w:r>
        <w:rPr>
          <w:b/>
          <w:spacing w:val="10"/>
          <w:w w:val="99"/>
          <w:sz w:val="32"/>
          <w:szCs w:val="32"/>
        </w:rPr>
        <w:t>产业高端发展改善人口结构。</w:t>
      </w:r>
      <w:r>
        <w:rPr>
          <w:spacing w:val="11"/>
          <w:w w:val="99"/>
          <w:sz w:val="32"/>
          <w:szCs w:val="32"/>
        </w:rPr>
        <w:t>针对产业高端发展对人才的</w:t>
      </w:r>
      <w:r>
        <w:rPr>
          <w:spacing w:val="8"/>
          <w:w w:val="99"/>
          <w:sz w:val="32"/>
          <w:szCs w:val="32"/>
        </w:rPr>
        <w:t>需求，制定人才引进、培育、奖励计划和政策，促进人口合理</w:t>
      </w:r>
      <w:r>
        <w:rPr>
          <w:spacing w:val="9"/>
          <w:w w:val="99"/>
          <w:sz w:val="32"/>
          <w:szCs w:val="32"/>
        </w:rPr>
        <w:t>分布。分层次构建科学合理的人才引进落户政策体系，有效提</w:t>
      </w:r>
      <w:r>
        <w:rPr>
          <w:spacing w:val="11"/>
          <w:w w:val="99"/>
          <w:sz w:val="32"/>
          <w:szCs w:val="32"/>
        </w:rPr>
        <w:t>升和改善区域人口素质和结构，带动区域转型发展。</w:t>
      </w:r>
    </w:p>
    <w:p w14:paraId="03FB29B8">
      <w:pPr>
        <w:spacing w:before="8" w:line="338" w:lineRule="auto"/>
        <w:ind w:left="113" w:right="264" w:firstLine="664"/>
        <w:jc w:val="both"/>
        <w:rPr>
          <w:sz w:val="32"/>
          <w:szCs w:val="32"/>
        </w:rPr>
      </w:pPr>
      <w:r>
        <w:rPr>
          <w:b/>
          <w:spacing w:val="13"/>
          <w:w w:val="99"/>
          <w:sz w:val="32"/>
          <w:szCs w:val="32"/>
        </w:rPr>
        <w:t>城市有机更新疏散人口。</w:t>
      </w:r>
      <w:r>
        <w:rPr>
          <w:spacing w:val="10"/>
          <w:w w:val="99"/>
          <w:sz w:val="32"/>
          <w:szCs w:val="32"/>
        </w:rPr>
        <w:t>通过淘汰低质低效高耗型产业，</w:t>
      </w:r>
      <w:r>
        <w:rPr>
          <w:spacing w:val="9"/>
          <w:w w:val="99"/>
          <w:sz w:val="32"/>
          <w:szCs w:val="32"/>
        </w:rPr>
        <w:t>全面推进棚户区改造，实现城市有机更新疏散人口。全面迎接 “高铁时代”到来，适应房地产供给集中趋势，保持人口有序</w:t>
      </w:r>
      <w:r>
        <w:rPr>
          <w:spacing w:val="8"/>
          <w:w w:val="99"/>
          <w:sz w:val="32"/>
          <w:szCs w:val="32"/>
        </w:rPr>
        <w:t>增长。</w:t>
      </w:r>
    </w:p>
    <w:p w14:paraId="557C1B95">
      <w:pPr>
        <w:spacing w:line="402" w:lineRule="exact"/>
        <w:ind w:left="778"/>
        <w:rPr>
          <w:rFonts w:ascii="黑体" w:eastAsia="黑体"/>
          <w:sz w:val="32"/>
          <w:szCs w:val="32"/>
        </w:rPr>
      </w:pPr>
      <w:r>
        <w:rPr>
          <w:rFonts w:ascii="黑体" w:eastAsia="黑体"/>
          <w:spacing w:val="12"/>
          <w:w w:val="95"/>
          <w:sz w:val="32"/>
          <w:szCs w:val="32"/>
        </w:rPr>
        <w:t>二、提升</w:t>
      </w:r>
      <w:r>
        <w:rPr>
          <w:rFonts w:ascii="黑体" w:eastAsia="黑体"/>
          <w:spacing w:val="14"/>
          <w:w w:val="95"/>
          <w:sz w:val="32"/>
          <w:szCs w:val="32"/>
        </w:rPr>
        <w:t>人</w:t>
      </w:r>
      <w:r>
        <w:rPr>
          <w:rFonts w:ascii="黑体" w:eastAsia="黑体"/>
          <w:spacing w:val="12"/>
          <w:w w:val="95"/>
          <w:sz w:val="32"/>
          <w:szCs w:val="32"/>
        </w:rPr>
        <w:t>口管</w:t>
      </w:r>
      <w:r>
        <w:rPr>
          <w:rFonts w:ascii="黑体" w:eastAsia="黑体"/>
          <w:spacing w:val="14"/>
          <w:w w:val="95"/>
          <w:sz w:val="32"/>
          <w:szCs w:val="32"/>
        </w:rPr>
        <w:t>理</w:t>
      </w:r>
      <w:r>
        <w:rPr>
          <w:rFonts w:ascii="黑体" w:eastAsia="黑体"/>
          <w:spacing w:val="12"/>
          <w:w w:val="95"/>
          <w:sz w:val="32"/>
          <w:szCs w:val="32"/>
        </w:rPr>
        <w:t>服务</w:t>
      </w:r>
      <w:r>
        <w:rPr>
          <w:rFonts w:ascii="黑体" w:eastAsia="黑体"/>
          <w:spacing w:val="2"/>
          <w:w w:val="95"/>
          <w:sz w:val="32"/>
          <w:szCs w:val="32"/>
        </w:rPr>
        <w:t>水平</w:t>
      </w:r>
    </w:p>
    <w:p w14:paraId="153B159F">
      <w:pPr>
        <w:spacing w:before="166" w:line="338" w:lineRule="auto"/>
        <w:ind w:left="113" w:right="278" w:firstLine="664"/>
        <w:jc w:val="both"/>
        <w:rPr>
          <w:sz w:val="32"/>
          <w:szCs w:val="32"/>
        </w:rPr>
      </w:pPr>
      <w:r>
        <w:rPr>
          <w:b/>
          <w:spacing w:val="12"/>
          <w:w w:val="99"/>
          <w:sz w:val="32"/>
          <w:szCs w:val="32"/>
        </w:rPr>
        <w:t>提升人口全过程服务水平。</w:t>
      </w:r>
      <w:r>
        <w:rPr>
          <w:spacing w:val="10"/>
          <w:w w:val="99"/>
          <w:sz w:val="32"/>
          <w:szCs w:val="32"/>
        </w:rPr>
        <w:t>全面落实生育政策，提升人口</w:t>
      </w:r>
      <w:r>
        <w:rPr>
          <w:spacing w:val="8"/>
          <w:w w:val="99"/>
          <w:sz w:val="32"/>
          <w:szCs w:val="32"/>
        </w:rPr>
        <w:t>素质，稳定人口老龄化率，推进人口长期均衡发展。健全生命</w:t>
      </w:r>
      <w:r>
        <w:rPr>
          <w:spacing w:val="11"/>
          <w:w w:val="99"/>
          <w:sz w:val="32"/>
          <w:szCs w:val="32"/>
        </w:rPr>
        <w:t>全过程关爱服务体系，关注生命的各个阶段。完善母婴保健、</w:t>
      </w:r>
      <w:r>
        <w:rPr>
          <w:spacing w:val="9"/>
          <w:w w:val="99"/>
          <w:sz w:val="32"/>
          <w:szCs w:val="32"/>
        </w:rPr>
        <w:t>儿童早期发展教育、青春健康教育、妈妈孕期培训、养生健康</w:t>
      </w:r>
    </w:p>
    <w:p w14:paraId="7A6BD082">
      <w:pPr>
        <w:spacing w:line="338" w:lineRule="auto"/>
        <w:jc w:val="both"/>
        <w:sectPr>
          <w:pgSz w:w="11910" w:h="16840"/>
          <w:pgMar w:top="1800" w:right="1200" w:bottom="1160" w:left="1360" w:header="0" w:footer="975" w:gutter="0"/>
          <w:cols w:space="720" w:num="1"/>
        </w:sectPr>
      </w:pPr>
    </w:p>
    <w:p w14:paraId="5B6E599F">
      <w:pPr>
        <w:spacing w:before="28" w:line="340" w:lineRule="auto"/>
        <w:ind w:left="778" w:right="278" w:hanging="665"/>
        <w:rPr>
          <w:sz w:val="32"/>
        </w:rPr>
      </w:pPr>
      <w:r>
        <w:rPr>
          <w:spacing w:val="11"/>
          <w:w w:val="99"/>
          <w:sz w:val="32"/>
        </w:rPr>
        <w:t>保健、男性健康指导、老年保健等服务，提升人口服务质量。</w:t>
      </w:r>
      <w:r>
        <w:rPr>
          <w:b/>
          <w:spacing w:val="12"/>
          <w:w w:val="99"/>
          <w:sz w:val="32"/>
        </w:rPr>
        <w:t>提升常住人口服务水平。</w:t>
      </w:r>
      <w:r>
        <w:rPr>
          <w:spacing w:val="9"/>
          <w:w w:val="99"/>
          <w:sz w:val="32"/>
        </w:rPr>
        <w:t>优化调整户籍政策，加快建设和</w:t>
      </w:r>
    </w:p>
    <w:p w14:paraId="3370FF28">
      <w:pPr>
        <w:spacing w:line="338" w:lineRule="auto"/>
        <w:ind w:left="113" w:right="285"/>
        <w:jc w:val="both"/>
        <w:rPr>
          <w:sz w:val="32"/>
          <w:szCs w:val="32"/>
        </w:rPr>
      </w:pPr>
      <w:r>
        <w:rPr>
          <w:spacing w:val="10"/>
          <w:w w:val="99"/>
          <w:sz w:val="32"/>
          <w:szCs w:val="32"/>
        </w:rPr>
        <w:t>共享人口基础信息库。推进社区服务“均衡化”，推进社区综合服务设施标准化建设。稳步推进义务教育、就业服务、基本</w:t>
      </w:r>
      <w:r>
        <w:rPr>
          <w:spacing w:val="9"/>
          <w:w w:val="99"/>
          <w:sz w:val="32"/>
          <w:szCs w:val="32"/>
        </w:rPr>
        <w:t>养老、基本医疗卫生、住房保障等基本公共服务覆盖全部常住</w:t>
      </w:r>
      <w:r>
        <w:rPr>
          <w:spacing w:val="8"/>
          <w:w w:val="99"/>
          <w:sz w:val="32"/>
          <w:szCs w:val="32"/>
        </w:rPr>
        <w:t>人口。</w:t>
      </w:r>
    </w:p>
    <w:p w14:paraId="10F96592">
      <w:pPr>
        <w:spacing w:before="3" w:line="338" w:lineRule="auto"/>
        <w:ind w:left="113" w:right="278" w:firstLine="664"/>
        <w:jc w:val="both"/>
        <w:rPr>
          <w:sz w:val="32"/>
          <w:szCs w:val="32"/>
        </w:rPr>
      </w:pPr>
      <w:r>
        <w:rPr>
          <w:b/>
          <w:spacing w:val="10"/>
          <w:w w:val="99"/>
          <w:sz w:val="32"/>
          <w:szCs w:val="32"/>
        </w:rPr>
        <w:t>提升流动人口管理服务水平。</w:t>
      </w:r>
      <w:r>
        <w:rPr>
          <w:spacing w:val="11"/>
          <w:w w:val="99"/>
          <w:sz w:val="32"/>
          <w:szCs w:val="32"/>
        </w:rPr>
        <w:t>全面实行流动人口居住证制</w:t>
      </w:r>
      <w:r>
        <w:rPr>
          <w:spacing w:val="10"/>
          <w:w w:val="99"/>
          <w:sz w:val="32"/>
          <w:szCs w:val="32"/>
        </w:rPr>
        <w:t>度，促进流动人口在子女教育、就业服务、社会保障、医疗卫生、住房保障等方面逐步与户籍人口享受同等待遇。提高流动人口自治管理与服务能力，在流动人口聚集区探索流动人口自</w:t>
      </w:r>
      <w:r>
        <w:rPr>
          <w:spacing w:val="11"/>
          <w:w w:val="99"/>
          <w:sz w:val="32"/>
          <w:szCs w:val="32"/>
        </w:rPr>
        <w:t>治服务管理模式。加强出租房屋和流动人口等基础信息采集，实行公安、人社、民政、教育、卫健等多部门人口管理信息共</w:t>
      </w:r>
      <w:r>
        <w:rPr>
          <w:spacing w:val="9"/>
          <w:w w:val="99"/>
          <w:sz w:val="32"/>
          <w:szCs w:val="32"/>
        </w:rPr>
        <w:t>享机制。</w:t>
      </w:r>
    </w:p>
    <w:p w14:paraId="4ABA42D1">
      <w:pPr>
        <w:spacing w:line="407" w:lineRule="exact"/>
        <w:ind w:left="778"/>
        <w:rPr>
          <w:rFonts w:ascii="黑体" w:eastAsia="黑体"/>
          <w:sz w:val="32"/>
          <w:szCs w:val="32"/>
        </w:rPr>
      </w:pPr>
      <w:r>
        <w:rPr>
          <w:rFonts w:ascii="黑体" w:eastAsia="黑体"/>
          <w:spacing w:val="12"/>
          <w:w w:val="95"/>
          <w:sz w:val="32"/>
          <w:szCs w:val="32"/>
        </w:rPr>
        <w:t>三、做好</w:t>
      </w:r>
      <w:r>
        <w:rPr>
          <w:rFonts w:ascii="黑体" w:eastAsia="黑体"/>
          <w:spacing w:val="14"/>
          <w:w w:val="95"/>
          <w:sz w:val="32"/>
          <w:szCs w:val="32"/>
        </w:rPr>
        <w:t>特</w:t>
      </w:r>
      <w:r>
        <w:rPr>
          <w:rFonts w:ascii="黑体" w:eastAsia="黑体"/>
          <w:spacing w:val="12"/>
          <w:w w:val="95"/>
          <w:sz w:val="32"/>
          <w:szCs w:val="32"/>
        </w:rPr>
        <w:t>殊群</w:t>
      </w:r>
      <w:r>
        <w:rPr>
          <w:rFonts w:ascii="黑体" w:eastAsia="黑体"/>
          <w:spacing w:val="14"/>
          <w:w w:val="95"/>
          <w:sz w:val="32"/>
          <w:szCs w:val="32"/>
        </w:rPr>
        <w:t>体</w:t>
      </w:r>
      <w:r>
        <w:rPr>
          <w:rFonts w:ascii="黑体" w:eastAsia="黑体"/>
          <w:spacing w:val="12"/>
          <w:w w:val="95"/>
          <w:sz w:val="32"/>
          <w:szCs w:val="32"/>
        </w:rPr>
        <w:t>保障</w:t>
      </w:r>
      <w:r>
        <w:rPr>
          <w:rFonts w:ascii="黑体" w:eastAsia="黑体"/>
          <w:spacing w:val="2"/>
          <w:w w:val="95"/>
          <w:sz w:val="32"/>
          <w:szCs w:val="32"/>
        </w:rPr>
        <w:t>工作</w:t>
      </w:r>
    </w:p>
    <w:p w14:paraId="66A22F47">
      <w:pPr>
        <w:spacing w:before="166" w:line="338" w:lineRule="auto"/>
        <w:ind w:left="113" w:right="264" w:firstLine="664"/>
        <w:jc w:val="both"/>
        <w:rPr>
          <w:sz w:val="32"/>
          <w:szCs w:val="32"/>
        </w:rPr>
      </w:pPr>
      <w:r>
        <w:rPr>
          <w:b/>
          <w:spacing w:val="13"/>
          <w:w w:val="99"/>
          <w:sz w:val="32"/>
          <w:szCs w:val="32"/>
        </w:rPr>
        <w:t>保障妇女儿童权益。</w:t>
      </w:r>
      <w:r>
        <w:rPr>
          <w:spacing w:val="11"/>
          <w:w w:val="99"/>
          <w:sz w:val="32"/>
          <w:szCs w:val="32"/>
        </w:rPr>
        <w:t>努力营造妇女儿童成长的良好环境，</w:t>
      </w:r>
      <w:r>
        <w:rPr>
          <w:spacing w:val="9"/>
          <w:w w:val="99"/>
          <w:sz w:val="32"/>
          <w:szCs w:val="32"/>
        </w:rPr>
        <w:t>深入开展巾帼引领、巾帼建功、巾帼文明、巾帼维权和巾帼关爱行动，切实提高对妇女儿童的关爱支持力度，做好农村留守</w:t>
      </w:r>
      <w:r>
        <w:rPr>
          <w:spacing w:val="10"/>
          <w:w w:val="99"/>
          <w:sz w:val="32"/>
          <w:szCs w:val="32"/>
        </w:rPr>
        <w:t>儿童心理辅导。</w:t>
      </w:r>
    </w:p>
    <w:p w14:paraId="76FCB173">
      <w:pPr>
        <w:spacing w:before="8" w:line="338" w:lineRule="auto"/>
        <w:ind w:left="113" w:right="283" w:firstLine="664"/>
        <w:jc w:val="both"/>
        <w:rPr>
          <w:sz w:val="32"/>
          <w:szCs w:val="32"/>
        </w:rPr>
      </w:pPr>
      <w:r>
        <w:rPr>
          <w:b/>
          <w:spacing w:val="11"/>
          <w:w w:val="99"/>
          <w:sz w:val="32"/>
          <w:szCs w:val="32"/>
        </w:rPr>
        <w:t>保障残疾人权益。</w:t>
      </w:r>
      <w:r>
        <w:rPr>
          <w:spacing w:val="10"/>
          <w:w w:val="99"/>
          <w:sz w:val="32"/>
          <w:szCs w:val="32"/>
        </w:rPr>
        <w:t>积极推进救助管理站规范化建设，加强</w:t>
      </w:r>
      <w:r>
        <w:rPr>
          <w:spacing w:val="9"/>
          <w:w w:val="99"/>
          <w:sz w:val="32"/>
          <w:szCs w:val="32"/>
        </w:rPr>
        <w:t>对未成年人、残疾人和困难人群的社会救助。推进残疾人社会保障体系和服务体系建设，提高残疾人基本保障水平，着力改</w:t>
      </w:r>
      <w:r>
        <w:rPr>
          <w:spacing w:val="10"/>
          <w:w w:val="99"/>
          <w:sz w:val="32"/>
          <w:szCs w:val="32"/>
        </w:rPr>
        <w:t>善残疾人教育、康复、就业和社会保障状况，加大对残疾人的</w:t>
      </w:r>
      <w:r>
        <w:rPr>
          <w:spacing w:val="9"/>
          <w:w w:val="99"/>
          <w:sz w:val="32"/>
          <w:szCs w:val="32"/>
        </w:rPr>
        <w:t>就业技能培训力度，建设残疾人康复中心，健全残疾人职业技</w:t>
      </w:r>
    </w:p>
    <w:p w14:paraId="46D58695">
      <w:pPr>
        <w:spacing w:line="338" w:lineRule="auto"/>
        <w:jc w:val="both"/>
        <w:sectPr>
          <w:pgSz w:w="11910" w:h="16840"/>
          <w:pgMar w:top="1800" w:right="1200" w:bottom="1160" w:left="1360" w:header="0" w:footer="975" w:gutter="0"/>
          <w:cols w:space="720" w:num="1"/>
        </w:sectPr>
      </w:pPr>
    </w:p>
    <w:p w14:paraId="7840E22D">
      <w:pPr>
        <w:spacing w:before="28"/>
        <w:ind w:left="113"/>
        <w:rPr>
          <w:sz w:val="32"/>
          <w:szCs w:val="32"/>
        </w:rPr>
      </w:pPr>
      <w:r>
        <w:rPr>
          <w:spacing w:val="12"/>
          <w:w w:val="95"/>
          <w:sz w:val="32"/>
          <w:szCs w:val="32"/>
        </w:rPr>
        <w:t>能培训体</w:t>
      </w:r>
      <w:r>
        <w:rPr>
          <w:spacing w:val="2"/>
          <w:w w:val="95"/>
          <w:sz w:val="32"/>
          <w:szCs w:val="32"/>
        </w:rPr>
        <w:t>系。</w:t>
      </w:r>
    </w:p>
    <w:p w14:paraId="6C31D793">
      <w:pPr>
        <w:spacing w:before="170" w:line="338" w:lineRule="auto"/>
        <w:ind w:left="113" w:right="117" w:firstLine="664"/>
        <w:rPr>
          <w:sz w:val="32"/>
          <w:szCs w:val="32"/>
        </w:rPr>
      </w:pPr>
      <w:r>
        <w:rPr>
          <w:b/>
          <w:spacing w:val="12"/>
          <w:sz w:val="32"/>
          <w:szCs w:val="32"/>
        </w:rPr>
        <w:t>促进双拥退役军人工作</w:t>
      </w:r>
      <w:r>
        <w:rPr>
          <w:b/>
          <w:sz w:val="32"/>
          <w:szCs w:val="32"/>
        </w:rPr>
        <w:t>。</w:t>
      </w:r>
      <w:r>
        <w:rPr>
          <w:spacing w:val="12"/>
          <w:sz w:val="32"/>
          <w:szCs w:val="32"/>
        </w:rPr>
        <w:t>强化双拥工作提升工程</w:t>
      </w:r>
      <w:r>
        <w:rPr>
          <w:spacing w:val="5"/>
          <w:sz w:val="32"/>
          <w:szCs w:val="32"/>
        </w:rPr>
        <w:t>，将双拥</w:t>
      </w:r>
      <w:r>
        <w:rPr>
          <w:spacing w:val="12"/>
          <w:w w:val="95"/>
          <w:sz w:val="32"/>
          <w:szCs w:val="32"/>
        </w:rPr>
        <w:t>文化建设纳入精神文明建</w:t>
      </w:r>
      <w:r>
        <w:rPr>
          <w:spacing w:val="8"/>
          <w:w w:val="95"/>
          <w:sz w:val="32"/>
          <w:szCs w:val="32"/>
        </w:rPr>
        <w:t>设、街道</w:t>
      </w:r>
      <w:r>
        <w:rPr>
          <w:spacing w:val="12"/>
          <w:w w:val="95"/>
          <w:sz w:val="32"/>
          <w:szCs w:val="32"/>
        </w:rPr>
        <w:t>文化</w:t>
      </w:r>
      <w:r>
        <w:rPr>
          <w:spacing w:val="8"/>
          <w:w w:val="95"/>
          <w:sz w:val="32"/>
          <w:szCs w:val="32"/>
        </w:rPr>
        <w:t>、校园</w:t>
      </w:r>
      <w:r>
        <w:rPr>
          <w:spacing w:val="12"/>
          <w:w w:val="95"/>
          <w:sz w:val="32"/>
          <w:szCs w:val="32"/>
        </w:rPr>
        <w:t>文化</w:t>
      </w:r>
      <w:r>
        <w:rPr>
          <w:spacing w:val="8"/>
          <w:w w:val="95"/>
          <w:sz w:val="32"/>
          <w:szCs w:val="32"/>
        </w:rPr>
        <w:t>、社区</w:t>
      </w:r>
      <w:r>
        <w:rPr>
          <w:spacing w:val="12"/>
          <w:w w:val="95"/>
          <w:sz w:val="32"/>
          <w:szCs w:val="32"/>
        </w:rPr>
        <w:t>文化</w:t>
      </w:r>
      <w:r>
        <w:rPr>
          <w:w w:val="95"/>
          <w:sz w:val="32"/>
          <w:szCs w:val="32"/>
        </w:rPr>
        <w:t>、</w:t>
      </w:r>
      <w:r>
        <w:rPr>
          <w:spacing w:val="12"/>
          <w:sz w:val="32"/>
          <w:szCs w:val="32"/>
        </w:rPr>
        <w:t>广场文化之中，突出建设一批国防宣传教育阵地。以</w:t>
      </w:r>
      <w:r>
        <w:rPr>
          <w:spacing w:val="5"/>
          <w:sz w:val="32"/>
          <w:szCs w:val="32"/>
        </w:rPr>
        <w:t>开展“四</w:t>
      </w:r>
      <w:r>
        <w:rPr>
          <w:spacing w:val="12"/>
          <w:sz w:val="32"/>
          <w:szCs w:val="32"/>
        </w:rPr>
        <w:t>进一升”活动为抓手，深入开展以爱国主义教育为核心，以</w:t>
      </w:r>
      <w:r>
        <w:rPr>
          <w:sz w:val="32"/>
          <w:szCs w:val="32"/>
        </w:rPr>
        <w:t>拥</w:t>
      </w:r>
      <w:r>
        <w:rPr>
          <w:spacing w:val="12"/>
          <w:sz w:val="32"/>
          <w:szCs w:val="32"/>
        </w:rPr>
        <w:t>军爱民光荣传统为主要内容的双拥宣传教育。加强军地</w:t>
      </w:r>
      <w:r>
        <w:rPr>
          <w:spacing w:val="7"/>
          <w:sz w:val="32"/>
          <w:szCs w:val="32"/>
        </w:rPr>
        <w:t>互动，</w:t>
      </w:r>
      <w:r>
        <w:rPr>
          <w:spacing w:val="12"/>
          <w:sz w:val="32"/>
          <w:szCs w:val="32"/>
        </w:rPr>
        <w:t>提升军民融合水平，扎实开展军民共建双拥模范城创建活</w:t>
      </w:r>
      <w:r>
        <w:rPr>
          <w:spacing w:val="6"/>
          <w:sz w:val="32"/>
          <w:szCs w:val="32"/>
        </w:rPr>
        <w:t>动，</w:t>
      </w:r>
      <w:r>
        <w:rPr>
          <w:spacing w:val="12"/>
          <w:sz w:val="32"/>
          <w:szCs w:val="32"/>
        </w:rPr>
        <w:t>实现创建全国“双拥（县）区”目标。健全退役军人</w:t>
      </w:r>
      <w:r>
        <w:rPr>
          <w:spacing w:val="8"/>
          <w:sz w:val="32"/>
          <w:szCs w:val="32"/>
        </w:rPr>
        <w:t>服务保障</w:t>
      </w:r>
      <w:r>
        <w:rPr>
          <w:spacing w:val="17"/>
          <w:sz w:val="32"/>
          <w:szCs w:val="32"/>
        </w:rPr>
        <w:t>体系，不断加大退役军人服务保障力度，推进实施“党</w:t>
      </w:r>
      <w:r>
        <w:rPr>
          <w:spacing w:val="5"/>
          <w:sz w:val="32"/>
          <w:szCs w:val="32"/>
        </w:rPr>
        <w:t>建+”</w:t>
      </w:r>
      <w:r>
        <w:rPr>
          <w:spacing w:val="8"/>
          <w:sz w:val="32"/>
          <w:szCs w:val="32"/>
        </w:rPr>
        <w:t>模式，开展</w:t>
      </w:r>
      <w:r>
        <w:rPr>
          <w:spacing w:val="12"/>
          <w:sz w:val="32"/>
          <w:szCs w:val="32"/>
        </w:rPr>
        <w:t>退役军人“五个一</w:t>
      </w:r>
      <w:r>
        <w:rPr>
          <w:spacing w:val="8"/>
          <w:sz w:val="32"/>
          <w:szCs w:val="32"/>
        </w:rPr>
        <w:t>”系列</w:t>
      </w:r>
      <w:r>
        <w:rPr>
          <w:spacing w:val="12"/>
          <w:sz w:val="32"/>
          <w:szCs w:val="32"/>
        </w:rPr>
        <w:t>教育活动</w:t>
      </w:r>
      <w:r>
        <w:rPr>
          <w:spacing w:val="8"/>
          <w:sz w:val="32"/>
          <w:szCs w:val="32"/>
        </w:rPr>
        <w:t>，不断</w:t>
      </w:r>
      <w:r>
        <w:rPr>
          <w:spacing w:val="12"/>
          <w:sz w:val="32"/>
          <w:szCs w:val="32"/>
        </w:rPr>
        <w:t>加强</w:t>
      </w:r>
      <w:r>
        <w:rPr>
          <w:spacing w:val="6"/>
          <w:sz w:val="32"/>
          <w:szCs w:val="32"/>
        </w:rPr>
        <w:t>退役</w:t>
      </w:r>
      <w:r>
        <w:rPr>
          <w:spacing w:val="12"/>
          <w:sz w:val="32"/>
          <w:szCs w:val="32"/>
        </w:rPr>
        <w:t>军人党员</w:t>
      </w:r>
      <w:r>
        <w:rPr>
          <w:spacing w:val="8"/>
          <w:sz w:val="32"/>
          <w:szCs w:val="32"/>
        </w:rPr>
        <w:t>管理。积极</w:t>
      </w:r>
      <w:r>
        <w:rPr>
          <w:spacing w:val="12"/>
          <w:sz w:val="32"/>
          <w:szCs w:val="32"/>
        </w:rPr>
        <w:t>搭建退役军人就业创业平</w:t>
      </w:r>
      <w:r>
        <w:rPr>
          <w:spacing w:val="9"/>
          <w:sz w:val="32"/>
          <w:szCs w:val="32"/>
        </w:rPr>
        <w:t>台，加强</w:t>
      </w:r>
      <w:r>
        <w:rPr>
          <w:spacing w:val="12"/>
          <w:sz w:val="32"/>
          <w:szCs w:val="32"/>
        </w:rPr>
        <w:t>孵化</w:t>
      </w:r>
      <w:r>
        <w:rPr>
          <w:sz w:val="32"/>
          <w:szCs w:val="32"/>
        </w:rPr>
        <w:t>基</w:t>
      </w:r>
      <w:r>
        <w:rPr>
          <w:spacing w:val="17"/>
          <w:sz w:val="32"/>
          <w:szCs w:val="32"/>
        </w:rPr>
        <w:t>地、创业基地、就业基地建设，有针对性地开展</w:t>
      </w:r>
      <w:r>
        <w:rPr>
          <w:spacing w:val="12"/>
          <w:sz w:val="32"/>
          <w:szCs w:val="32"/>
        </w:rPr>
        <w:t>“</w:t>
      </w:r>
      <w:r>
        <w:rPr>
          <w:rFonts w:ascii="Calibri" w:hAnsi="Calibri" w:eastAsia="Calibri"/>
          <w:spacing w:val="12"/>
          <w:sz w:val="32"/>
          <w:szCs w:val="32"/>
        </w:rPr>
        <w:t>3+1</w:t>
      </w:r>
      <w:r>
        <w:rPr>
          <w:spacing w:val="9"/>
          <w:sz w:val="32"/>
          <w:szCs w:val="32"/>
        </w:rPr>
        <w:t>”帮扶</w:t>
      </w:r>
      <w:r>
        <w:rPr>
          <w:spacing w:val="12"/>
          <w:sz w:val="32"/>
          <w:szCs w:val="32"/>
        </w:rPr>
        <w:t>机制，全面促进退役军人就业创业取得新成</w:t>
      </w:r>
      <w:r>
        <w:rPr>
          <w:spacing w:val="6"/>
          <w:sz w:val="32"/>
          <w:szCs w:val="32"/>
        </w:rPr>
        <w:t>效。</w:t>
      </w:r>
    </w:p>
    <w:p w14:paraId="58F6E1E7">
      <w:pPr>
        <w:spacing w:line="338" w:lineRule="auto"/>
        <w:sectPr>
          <w:pgSz w:w="11910" w:h="16840"/>
          <w:pgMar w:top="1800" w:right="1200" w:bottom="1160" w:left="1360" w:header="0" w:footer="975" w:gutter="0"/>
          <w:cols w:space="720" w:num="1"/>
        </w:sectPr>
      </w:pPr>
    </w:p>
    <w:p w14:paraId="4E7D0BD1">
      <w:pPr>
        <w:spacing w:before="31"/>
        <w:ind w:left="1758" w:right="1927"/>
        <w:jc w:val="center"/>
        <w:outlineLvl w:val="0"/>
        <w:rPr>
          <w:rFonts w:ascii="宋体" w:hAnsi="宋体" w:eastAsia="宋体" w:cs="宋体"/>
          <w:b/>
          <w:bCs/>
          <w:sz w:val="32"/>
          <w:szCs w:val="32"/>
        </w:rPr>
      </w:pPr>
      <w:r>
        <w:rPr>
          <w:rFonts w:ascii="宋体" w:hAnsi="宋体" w:eastAsia="宋体" w:cs="宋体"/>
          <w:b/>
          <w:bCs/>
          <w:spacing w:val="14"/>
          <w:sz w:val="32"/>
          <w:szCs w:val="32"/>
        </w:rPr>
        <w:t>第六</w:t>
      </w:r>
      <w:r>
        <w:rPr>
          <w:rFonts w:ascii="宋体" w:hAnsi="宋体" w:eastAsia="宋体" w:cs="宋体"/>
          <w:b/>
          <w:bCs/>
          <w:spacing w:val="56"/>
          <w:sz w:val="32"/>
          <w:szCs w:val="32"/>
        </w:rPr>
        <w:t>节 推</w:t>
      </w:r>
      <w:r>
        <w:rPr>
          <w:rFonts w:ascii="宋体" w:hAnsi="宋体" w:eastAsia="宋体" w:cs="宋体"/>
          <w:b/>
          <w:bCs/>
          <w:spacing w:val="14"/>
          <w:sz w:val="32"/>
          <w:szCs w:val="32"/>
        </w:rPr>
        <w:t>进军民融合深</w:t>
      </w:r>
      <w:r>
        <w:rPr>
          <w:rFonts w:ascii="宋体" w:hAnsi="宋体" w:eastAsia="宋体" w:cs="宋体"/>
          <w:b/>
          <w:bCs/>
          <w:spacing w:val="5"/>
          <w:sz w:val="32"/>
          <w:szCs w:val="32"/>
        </w:rPr>
        <w:t>度发展</w:t>
      </w:r>
    </w:p>
    <w:p w14:paraId="2E3B3F5F">
      <w:pPr>
        <w:rPr>
          <w:rFonts w:ascii="宋体"/>
          <w:b/>
          <w:sz w:val="24"/>
          <w:szCs w:val="32"/>
        </w:rPr>
      </w:pPr>
    </w:p>
    <w:p w14:paraId="31FAEF50">
      <w:pPr>
        <w:spacing w:line="328" w:lineRule="auto"/>
        <w:ind w:left="113" w:right="283" w:firstLine="664"/>
        <w:jc w:val="both"/>
        <w:rPr>
          <w:sz w:val="32"/>
          <w:szCs w:val="32"/>
        </w:rPr>
      </w:pPr>
      <w:r>
        <w:rPr>
          <w:b/>
          <w:spacing w:val="12"/>
          <w:w w:val="99"/>
          <w:sz w:val="32"/>
          <w:szCs w:val="32"/>
        </w:rPr>
        <w:t>完善国防动员机制。</w:t>
      </w:r>
      <w:r>
        <w:rPr>
          <w:spacing w:val="10"/>
          <w:w w:val="99"/>
          <w:sz w:val="32"/>
          <w:szCs w:val="32"/>
        </w:rPr>
        <w:t>健全国动委工作制度，周密制定国防动员计划，精准调查统计国防动员潜力数据，逐级分解细化动</w:t>
      </w:r>
      <w:r>
        <w:rPr>
          <w:spacing w:val="11"/>
          <w:w w:val="99"/>
          <w:sz w:val="32"/>
          <w:szCs w:val="32"/>
        </w:rPr>
        <w:t>员任务，修订完善动员方案，加强征用双方对接协调，规范优</w:t>
      </w:r>
      <w:r>
        <w:rPr>
          <w:spacing w:val="9"/>
          <w:w w:val="99"/>
          <w:sz w:val="32"/>
          <w:szCs w:val="32"/>
        </w:rPr>
        <w:t>化国防动员工作流程。深化民兵调整改革，加强国防后备力量</w:t>
      </w:r>
      <w:r>
        <w:rPr>
          <w:spacing w:val="11"/>
          <w:w w:val="99"/>
          <w:sz w:val="32"/>
          <w:szCs w:val="32"/>
        </w:rPr>
        <w:t>建设，确保组织落实、政治落实、军事落实，召之即来，来之</w:t>
      </w:r>
      <w:r>
        <w:rPr>
          <w:spacing w:val="8"/>
          <w:w w:val="99"/>
          <w:sz w:val="32"/>
          <w:szCs w:val="32"/>
        </w:rPr>
        <w:t>能战。</w:t>
      </w:r>
    </w:p>
    <w:p w14:paraId="02BB94B3">
      <w:pPr>
        <w:spacing w:line="326" w:lineRule="auto"/>
        <w:ind w:left="113" w:right="283" w:firstLine="664"/>
        <w:jc w:val="both"/>
        <w:rPr>
          <w:sz w:val="32"/>
          <w:szCs w:val="32"/>
        </w:rPr>
      </w:pPr>
      <w:r>
        <w:rPr>
          <w:b/>
          <w:spacing w:val="11"/>
          <w:w w:val="99"/>
          <w:sz w:val="32"/>
          <w:szCs w:val="32"/>
        </w:rPr>
        <w:t>加快军民融合创新。</w:t>
      </w:r>
      <w:r>
        <w:rPr>
          <w:spacing w:val="11"/>
          <w:w w:val="99"/>
          <w:sz w:val="32"/>
          <w:szCs w:val="32"/>
        </w:rPr>
        <w:t>发挥阅海湾中央商务区和丝路经济园</w:t>
      </w:r>
      <w:r>
        <w:rPr>
          <w:spacing w:val="10"/>
          <w:w w:val="99"/>
          <w:sz w:val="32"/>
          <w:szCs w:val="32"/>
        </w:rPr>
        <w:t>集群产业优势，加快新一代信息技术、新材料、软件开发领域</w:t>
      </w:r>
      <w:r>
        <w:rPr>
          <w:spacing w:val="11"/>
          <w:w w:val="99"/>
          <w:sz w:val="32"/>
          <w:szCs w:val="32"/>
        </w:rPr>
        <w:t>创新创业步伐，推进军民技术双向转移和转化应用。</w:t>
      </w:r>
    </w:p>
    <w:p w14:paraId="71445930">
      <w:pPr>
        <w:spacing w:line="328" w:lineRule="auto"/>
        <w:ind w:left="113" w:right="278" w:firstLine="664"/>
        <w:jc w:val="both"/>
        <w:rPr>
          <w:sz w:val="32"/>
          <w:szCs w:val="32"/>
        </w:rPr>
      </w:pPr>
      <w:r>
        <w:rPr>
          <w:b/>
          <w:spacing w:val="12"/>
          <w:w w:val="99"/>
          <w:sz w:val="32"/>
          <w:szCs w:val="32"/>
        </w:rPr>
        <w:t>深化全民国防教育。</w:t>
      </w:r>
      <w:r>
        <w:rPr>
          <w:spacing w:val="10"/>
          <w:w w:val="99"/>
          <w:sz w:val="32"/>
          <w:szCs w:val="32"/>
        </w:rPr>
        <w:t>创新国防教育方式，发挥宝湖实验小</w:t>
      </w:r>
      <w:r>
        <w:rPr>
          <w:spacing w:val="11"/>
          <w:w w:val="99"/>
          <w:sz w:val="32"/>
          <w:szCs w:val="32"/>
        </w:rPr>
        <w:t>学国防教育基地辐射作用，推广国防教育慕课、视频公开课、</w:t>
      </w:r>
      <w:r>
        <w:rPr>
          <w:spacing w:val="10"/>
          <w:w w:val="99"/>
          <w:sz w:val="32"/>
          <w:szCs w:val="32"/>
        </w:rPr>
        <w:t>多媒体教育等现代化教学方法、教学技术应用，推动全民国防</w:t>
      </w:r>
      <w:r>
        <w:rPr>
          <w:spacing w:val="11"/>
          <w:w w:val="99"/>
          <w:sz w:val="32"/>
          <w:szCs w:val="32"/>
        </w:rPr>
        <w:t>教育进机关、进校园、进社区、进企业。</w:t>
      </w:r>
    </w:p>
    <w:p w14:paraId="661E6F30">
      <w:pPr>
        <w:spacing w:line="328" w:lineRule="auto"/>
        <w:ind w:left="113" w:right="120" w:firstLine="664"/>
        <w:rPr>
          <w:sz w:val="32"/>
          <w:szCs w:val="32"/>
        </w:rPr>
      </w:pPr>
      <w:r>
        <w:rPr>
          <w:b/>
          <w:spacing w:val="12"/>
          <w:w w:val="99"/>
          <w:sz w:val="32"/>
          <w:szCs w:val="32"/>
        </w:rPr>
        <w:t>巩固军政军民团结。</w:t>
      </w:r>
      <w:r>
        <w:rPr>
          <w:spacing w:val="10"/>
          <w:w w:val="99"/>
          <w:sz w:val="32"/>
          <w:szCs w:val="32"/>
        </w:rPr>
        <w:t>全力支持国防和军队建设，持续做好</w:t>
      </w:r>
      <w:r>
        <w:rPr>
          <w:spacing w:val="-2"/>
          <w:w w:val="99"/>
          <w:sz w:val="32"/>
          <w:szCs w:val="32"/>
        </w:rPr>
        <w:t>军烈属、军属和退役军人优抚工作，解决好军人军属实际困难，</w:t>
      </w:r>
      <w:r>
        <w:rPr>
          <w:spacing w:val="23"/>
          <w:w w:val="99"/>
          <w:sz w:val="32"/>
          <w:szCs w:val="32"/>
        </w:rPr>
        <w:t>落实军人子女入学入托优待政策，加强退役军人就业创业服</w:t>
      </w:r>
      <w:r>
        <w:rPr>
          <w:spacing w:val="11"/>
          <w:w w:val="99"/>
          <w:sz w:val="32"/>
          <w:szCs w:val="32"/>
        </w:rPr>
        <w:t>务，抓好双拥模范创建活动。</w:t>
      </w:r>
    </w:p>
    <w:p w14:paraId="610B5655">
      <w:pPr>
        <w:spacing w:line="328" w:lineRule="auto"/>
        <w:sectPr>
          <w:pgSz w:w="11910" w:h="16840"/>
          <w:pgMar w:top="1780" w:right="1200" w:bottom="1160" w:left="1360" w:header="0" w:footer="975" w:gutter="0"/>
          <w:cols w:space="720" w:num="1"/>
        </w:sectPr>
      </w:pPr>
    </w:p>
    <w:p w14:paraId="64ED3807">
      <w:pPr>
        <w:tabs>
          <w:tab w:val="left" w:pos="2477"/>
        </w:tabs>
        <w:spacing w:before="31"/>
        <w:ind w:left="678"/>
        <w:jc w:val="center"/>
        <w:rPr>
          <w:rFonts w:ascii="宋体" w:eastAsia="宋体"/>
          <w:sz w:val="36"/>
        </w:rPr>
      </w:pPr>
      <w:r>
        <w:rPr>
          <w:rFonts w:ascii="宋体" w:eastAsia="宋体"/>
          <w:sz w:val="36"/>
        </w:rPr>
        <w:t>第十四</w:t>
      </w:r>
      <w:r>
        <w:rPr>
          <w:rFonts w:ascii="宋体" w:eastAsia="宋体"/>
          <w:spacing w:val="-10"/>
          <w:sz w:val="36"/>
        </w:rPr>
        <w:t>章</w:t>
      </w:r>
      <w:r>
        <w:rPr>
          <w:rFonts w:ascii="宋体" w:eastAsia="宋体"/>
          <w:sz w:val="36"/>
        </w:rPr>
        <w:tab/>
      </w:r>
      <w:r>
        <w:rPr>
          <w:rFonts w:ascii="宋体" w:eastAsia="宋体"/>
          <w:sz w:val="36"/>
        </w:rPr>
        <w:t>建设现代化文化强</w:t>
      </w:r>
      <w:r>
        <w:rPr>
          <w:rFonts w:ascii="宋体" w:eastAsia="宋体"/>
          <w:spacing w:val="-10"/>
          <w:sz w:val="36"/>
        </w:rPr>
        <w:t>区</w:t>
      </w:r>
    </w:p>
    <w:p w14:paraId="7B8B53A9">
      <w:pPr>
        <w:spacing w:before="310" w:line="340" w:lineRule="auto"/>
        <w:ind w:left="113" w:right="270" w:firstLine="664"/>
        <w:jc w:val="both"/>
        <w:rPr>
          <w:sz w:val="32"/>
          <w:szCs w:val="32"/>
        </w:rPr>
      </w:pPr>
      <w:r>
        <w:rPr>
          <w:spacing w:val="12"/>
          <w:sz w:val="32"/>
          <w:szCs w:val="32"/>
        </w:rPr>
        <w:t>坚定文化</w:t>
      </w:r>
      <w:r>
        <w:rPr>
          <w:spacing w:val="8"/>
          <w:sz w:val="32"/>
          <w:szCs w:val="32"/>
        </w:rPr>
        <w:t>自信，大力</w:t>
      </w:r>
      <w:r>
        <w:rPr>
          <w:spacing w:val="12"/>
          <w:sz w:val="32"/>
          <w:szCs w:val="32"/>
        </w:rPr>
        <w:t>弘扬中华民族优秀传统</w:t>
      </w:r>
      <w:r>
        <w:rPr>
          <w:spacing w:val="7"/>
          <w:sz w:val="32"/>
          <w:szCs w:val="32"/>
        </w:rPr>
        <w:t>文化、革命文</w:t>
      </w:r>
      <w:r>
        <w:rPr>
          <w:spacing w:val="12"/>
          <w:sz w:val="32"/>
          <w:szCs w:val="32"/>
        </w:rPr>
        <w:t>化、社会主义先进文</w:t>
      </w:r>
      <w:r>
        <w:rPr>
          <w:spacing w:val="8"/>
          <w:sz w:val="32"/>
          <w:szCs w:val="32"/>
        </w:rPr>
        <w:t>化，培育</w:t>
      </w:r>
      <w:r>
        <w:rPr>
          <w:spacing w:val="12"/>
          <w:sz w:val="32"/>
          <w:szCs w:val="32"/>
        </w:rPr>
        <w:t>社会主义核心价值</w:t>
      </w:r>
      <w:r>
        <w:rPr>
          <w:spacing w:val="7"/>
          <w:sz w:val="32"/>
          <w:szCs w:val="32"/>
        </w:rPr>
        <w:t>观，加强公共</w:t>
      </w:r>
      <w:r>
        <w:rPr>
          <w:spacing w:val="12"/>
          <w:w w:val="95"/>
          <w:sz w:val="32"/>
          <w:szCs w:val="32"/>
        </w:rPr>
        <w:t>文化产品</w:t>
      </w:r>
      <w:r>
        <w:rPr>
          <w:spacing w:val="14"/>
          <w:w w:val="95"/>
          <w:sz w:val="32"/>
          <w:szCs w:val="32"/>
        </w:rPr>
        <w:t>和</w:t>
      </w:r>
      <w:r>
        <w:rPr>
          <w:spacing w:val="12"/>
          <w:w w:val="95"/>
          <w:sz w:val="32"/>
          <w:szCs w:val="32"/>
        </w:rPr>
        <w:t>服务</w:t>
      </w:r>
      <w:r>
        <w:rPr>
          <w:spacing w:val="14"/>
          <w:w w:val="95"/>
          <w:sz w:val="32"/>
          <w:szCs w:val="32"/>
        </w:rPr>
        <w:t>供</w:t>
      </w:r>
      <w:r>
        <w:rPr>
          <w:spacing w:val="12"/>
          <w:w w:val="95"/>
          <w:sz w:val="32"/>
          <w:szCs w:val="32"/>
        </w:rPr>
        <w:t>给，加大文物保</w:t>
      </w:r>
      <w:r>
        <w:rPr>
          <w:spacing w:val="14"/>
          <w:w w:val="95"/>
          <w:sz w:val="32"/>
          <w:szCs w:val="32"/>
        </w:rPr>
        <w:t>护</w:t>
      </w:r>
      <w:r>
        <w:rPr>
          <w:spacing w:val="12"/>
          <w:w w:val="95"/>
          <w:sz w:val="32"/>
          <w:szCs w:val="32"/>
        </w:rPr>
        <w:t>力度</w:t>
      </w:r>
      <w:r>
        <w:rPr>
          <w:spacing w:val="14"/>
          <w:w w:val="95"/>
          <w:sz w:val="32"/>
          <w:szCs w:val="32"/>
        </w:rPr>
        <w:t>，</w:t>
      </w:r>
      <w:r>
        <w:rPr>
          <w:spacing w:val="12"/>
          <w:w w:val="95"/>
          <w:sz w:val="32"/>
          <w:szCs w:val="32"/>
        </w:rPr>
        <w:t>塑造金</w:t>
      </w:r>
      <w:r>
        <w:rPr>
          <w:spacing w:val="8"/>
          <w:w w:val="95"/>
          <w:sz w:val="32"/>
          <w:szCs w:val="32"/>
        </w:rPr>
        <w:t>凤文化</w:t>
      </w:r>
      <w:r>
        <w:rPr>
          <w:spacing w:val="39"/>
          <w:sz w:val="32"/>
          <w:szCs w:val="32"/>
        </w:rPr>
        <w:t xml:space="preserve"> </w:t>
      </w:r>
      <w:r>
        <w:rPr>
          <w:rFonts w:ascii="Calibri" w:eastAsia="Calibri"/>
          <w:w w:val="95"/>
          <w:sz w:val="32"/>
          <w:szCs w:val="32"/>
        </w:rPr>
        <w:t>IP</w:t>
      </w:r>
      <w:r>
        <w:rPr>
          <w:w w:val="95"/>
          <w:sz w:val="32"/>
          <w:szCs w:val="32"/>
        </w:rPr>
        <w:t>，</w:t>
      </w:r>
      <w:r>
        <w:rPr>
          <w:spacing w:val="12"/>
          <w:sz w:val="32"/>
          <w:szCs w:val="32"/>
        </w:rPr>
        <w:t>彰显高新文化魅</w:t>
      </w:r>
      <w:r>
        <w:rPr>
          <w:spacing w:val="8"/>
          <w:sz w:val="32"/>
          <w:szCs w:val="32"/>
        </w:rPr>
        <w:t>力，促进</w:t>
      </w:r>
      <w:r>
        <w:rPr>
          <w:spacing w:val="12"/>
          <w:sz w:val="32"/>
          <w:szCs w:val="32"/>
        </w:rPr>
        <w:t>满足人民文化需求和增强人民精</w:t>
      </w:r>
      <w:r>
        <w:rPr>
          <w:spacing w:val="6"/>
          <w:sz w:val="32"/>
          <w:szCs w:val="32"/>
        </w:rPr>
        <w:t>神力</w:t>
      </w:r>
      <w:r>
        <w:rPr>
          <w:spacing w:val="12"/>
          <w:sz w:val="32"/>
          <w:szCs w:val="32"/>
        </w:rPr>
        <w:t>量相统一，建设现代化文化强</w:t>
      </w:r>
      <w:r>
        <w:rPr>
          <w:spacing w:val="6"/>
          <w:sz w:val="32"/>
          <w:szCs w:val="32"/>
        </w:rPr>
        <w:t>区。</w:t>
      </w:r>
    </w:p>
    <w:p w14:paraId="2B15628C">
      <w:pPr>
        <w:spacing w:before="130"/>
        <w:ind w:left="678" w:right="850"/>
        <w:jc w:val="center"/>
        <w:outlineLvl w:val="0"/>
        <w:rPr>
          <w:rFonts w:ascii="宋体" w:hAnsi="宋体" w:eastAsia="宋体" w:cs="宋体"/>
          <w:b/>
          <w:bCs/>
          <w:sz w:val="32"/>
          <w:szCs w:val="32"/>
        </w:rPr>
      </w:pPr>
      <w:r>
        <w:rPr>
          <w:rFonts w:ascii="宋体" w:hAnsi="宋体" w:eastAsia="宋体" w:cs="宋体"/>
          <w:b/>
          <w:bCs/>
          <w:spacing w:val="14"/>
          <w:sz w:val="32"/>
          <w:szCs w:val="32"/>
        </w:rPr>
        <w:t>第一</w:t>
      </w:r>
      <w:r>
        <w:rPr>
          <w:rFonts w:ascii="宋体" w:hAnsi="宋体" w:eastAsia="宋体" w:cs="宋体"/>
          <w:b/>
          <w:bCs/>
          <w:spacing w:val="53"/>
          <w:sz w:val="32"/>
          <w:szCs w:val="32"/>
        </w:rPr>
        <w:t>节 全</w:t>
      </w:r>
      <w:r>
        <w:rPr>
          <w:rFonts w:ascii="宋体" w:hAnsi="宋体" w:eastAsia="宋体" w:cs="宋体"/>
          <w:b/>
          <w:bCs/>
          <w:spacing w:val="14"/>
          <w:sz w:val="32"/>
          <w:szCs w:val="32"/>
        </w:rPr>
        <w:t>力推</w:t>
      </w:r>
      <w:r>
        <w:rPr>
          <w:rFonts w:ascii="宋体" w:hAnsi="宋体" w:eastAsia="宋体" w:cs="宋体"/>
          <w:b/>
          <w:bCs/>
          <w:spacing w:val="12"/>
          <w:sz w:val="32"/>
          <w:szCs w:val="32"/>
        </w:rPr>
        <w:t>进</w:t>
      </w:r>
      <w:r>
        <w:rPr>
          <w:rFonts w:ascii="宋体" w:hAnsi="宋体" w:eastAsia="宋体" w:cs="宋体"/>
          <w:b/>
          <w:bCs/>
          <w:spacing w:val="14"/>
          <w:sz w:val="32"/>
          <w:szCs w:val="32"/>
        </w:rPr>
        <w:t>精神文明创建</w:t>
      </w:r>
      <w:r>
        <w:rPr>
          <w:rFonts w:ascii="宋体" w:hAnsi="宋体" w:eastAsia="宋体" w:cs="宋体"/>
          <w:b/>
          <w:bCs/>
          <w:spacing w:val="1"/>
          <w:sz w:val="32"/>
          <w:szCs w:val="32"/>
        </w:rPr>
        <w:t>工作</w:t>
      </w:r>
    </w:p>
    <w:p w14:paraId="6E725AEA">
      <w:pPr>
        <w:spacing w:before="11"/>
        <w:rPr>
          <w:rFonts w:ascii="宋体"/>
          <w:b/>
          <w:sz w:val="23"/>
          <w:szCs w:val="32"/>
        </w:rPr>
      </w:pPr>
    </w:p>
    <w:p w14:paraId="3416BCD8">
      <w:pPr>
        <w:ind w:left="778"/>
        <w:rPr>
          <w:rFonts w:ascii="黑体" w:eastAsia="黑体"/>
          <w:sz w:val="32"/>
          <w:szCs w:val="32"/>
        </w:rPr>
      </w:pPr>
      <w:r>
        <w:rPr>
          <w:rFonts w:ascii="黑体" w:eastAsia="黑体"/>
          <w:spacing w:val="12"/>
          <w:w w:val="95"/>
          <w:sz w:val="32"/>
          <w:szCs w:val="32"/>
        </w:rPr>
        <w:t>一、践行</w:t>
      </w:r>
      <w:r>
        <w:rPr>
          <w:rFonts w:ascii="黑体" w:eastAsia="黑体"/>
          <w:spacing w:val="14"/>
          <w:w w:val="95"/>
          <w:sz w:val="32"/>
          <w:szCs w:val="32"/>
        </w:rPr>
        <w:t>社</w:t>
      </w:r>
      <w:r>
        <w:rPr>
          <w:rFonts w:ascii="黑体" w:eastAsia="黑体"/>
          <w:spacing w:val="12"/>
          <w:w w:val="95"/>
          <w:sz w:val="32"/>
          <w:szCs w:val="32"/>
        </w:rPr>
        <w:t>会主</w:t>
      </w:r>
      <w:r>
        <w:rPr>
          <w:rFonts w:ascii="黑体" w:eastAsia="黑体"/>
          <w:spacing w:val="14"/>
          <w:w w:val="95"/>
          <w:sz w:val="32"/>
          <w:szCs w:val="32"/>
        </w:rPr>
        <w:t>义</w:t>
      </w:r>
      <w:r>
        <w:rPr>
          <w:rFonts w:ascii="黑体" w:eastAsia="黑体"/>
          <w:spacing w:val="12"/>
          <w:w w:val="95"/>
          <w:sz w:val="32"/>
          <w:szCs w:val="32"/>
        </w:rPr>
        <w:t>核心</w:t>
      </w:r>
      <w:r>
        <w:rPr>
          <w:rFonts w:ascii="黑体" w:eastAsia="黑体"/>
          <w:spacing w:val="5"/>
          <w:w w:val="95"/>
          <w:sz w:val="32"/>
          <w:szCs w:val="32"/>
        </w:rPr>
        <w:t>价值观</w:t>
      </w:r>
    </w:p>
    <w:p w14:paraId="67576B6E">
      <w:pPr>
        <w:spacing w:before="166" w:line="340" w:lineRule="auto"/>
        <w:ind w:left="113" w:right="283" w:firstLine="664"/>
        <w:jc w:val="both"/>
        <w:rPr>
          <w:sz w:val="32"/>
          <w:szCs w:val="32"/>
        </w:rPr>
      </w:pPr>
      <w:r>
        <w:rPr>
          <w:spacing w:val="9"/>
          <w:w w:val="99"/>
          <w:sz w:val="32"/>
          <w:szCs w:val="32"/>
        </w:rPr>
        <w:t>坚持教育引导、实践养成、制度保障，深入实施社会主义</w:t>
      </w:r>
      <w:r>
        <w:rPr>
          <w:spacing w:val="23"/>
          <w:w w:val="99"/>
          <w:sz w:val="32"/>
          <w:szCs w:val="32"/>
        </w:rPr>
        <w:t>核心价值观铸魂工程，推动社会主义核心价值观融于社会公</w:t>
      </w:r>
      <w:r>
        <w:rPr>
          <w:spacing w:val="10"/>
          <w:w w:val="99"/>
          <w:sz w:val="32"/>
          <w:szCs w:val="32"/>
        </w:rPr>
        <w:t>德、职业道德、家庭美德、个人品德建设。加强新时代文明实</w:t>
      </w:r>
      <w:r>
        <w:rPr>
          <w:spacing w:val="12"/>
          <w:w w:val="99"/>
          <w:sz w:val="32"/>
          <w:szCs w:val="32"/>
        </w:rPr>
        <w:t>践中心（所、站）</w:t>
      </w:r>
      <w:r>
        <w:rPr>
          <w:spacing w:val="10"/>
          <w:w w:val="99"/>
          <w:sz w:val="32"/>
          <w:szCs w:val="32"/>
        </w:rPr>
        <w:t>建设，依托基层宣传教育阵地推进核心价值</w:t>
      </w:r>
      <w:r>
        <w:rPr>
          <w:spacing w:val="11"/>
          <w:w w:val="99"/>
          <w:sz w:val="32"/>
          <w:szCs w:val="32"/>
        </w:rPr>
        <w:t>观进家庭、进社区、进农村、进机关、进企业、进学校、进军</w:t>
      </w:r>
      <w:r>
        <w:rPr>
          <w:spacing w:val="18"/>
          <w:w w:val="99"/>
          <w:sz w:val="32"/>
          <w:szCs w:val="32"/>
        </w:rPr>
        <w:t>营、进宗教场所“八进”，开展星级文明户创建，到</w:t>
      </w:r>
      <w:r>
        <w:rPr>
          <w:spacing w:val="-59"/>
          <w:sz w:val="32"/>
          <w:szCs w:val="32"/>
        </w:rPr>
        <w:t xml:space="preserve"> </w:t>
      </w:r>
      <w:r>
        <w:rPr>
          <w:rFonts w:ascii="Calibri" w:hAnsi="Calibri" w:eastAsia="Calibri"/>
          <w:spacing w:val="1"/>
          <w:w w:val="99"/>
          <w:sz w:val="32"/>
          <w:szCs w:val="32"/>
        </w:rPr>
        <w:t>2</w:t>
      </w:r>
      <w:r>
        <w:rPr>
          <w:rFonts w:ascii="Calibri" w:hAnsi="Calibri" w:eastAsia="Calibri"/>
          <w:spacing w:val="6"/>
          <w:w w:val="99"/>
          <w:sz w:val="32"/>
          <w:szCs w:val="32"/>
        </w:rPr>
        <w:t>0</w:t>
      </w:r>
      <w:r>
        <w:rPr>
          <w:rFonts w:ascii="Calibri" w:hAnsi="Calibri" w:eastAsia="Calibri"/>
          <w:spacing w:val="8"/>
          <w:w w:val="99"/>
          <w:sz w:val="32"/>
          <w:szCs w:val="32"/>
        </w:rPr>
        <w:t>2</w:t>
      </w:r>
      <w:r>
        <w:rPr>
          <w:rFonts w:ascii="Calibri" w:hAnsi="Calibri" w:eastAsia="Calibri"/>
          <w:w w:val="99"/>
          <w:sz w:val="32"/>
          <w:szCs w:val="32"/>
        </w:rPr>
        <w:t>5</w:t>
      </w:r>
      <w:r>
        <w:rPr>
          <w:rFonts w:ascii="Calibri" w:hAnsi="Calibri" w:eastAsia="Calibri"/>
          <w:spacing w:val="25"/>
          <w:sz w:val="32"/>
          <w:szCs w:val="32"/>
        </w:rPr>
        <w:t xml:space="preserve"> </w:t>
      </w:r>
      <w:r>
        <w:rPr>
          <w:w w:val="99"/>
          <w:sz w:val="32"/>
          <w:szCs w:val="32"/>
        </w:rPr>
        <w:t>年</w:t>
      </w:r>
      <w:r>
        <w:rPr>
          <w:spacing w:val="12"/>
          <w:w w:val="99"/>
          <w:sz w:val="32"/>
          <w:szCs w:val="32"/>
        </w:rPr>
        <w:t>新时代文明实践中心（所、站</w:t>
      </w:r>
      <w:r>
        <w:rPr>
          <w:spacing w:val="9"/>
          <w:w w:val="99"/>
          <w:sz w:val="32"/>
          <w:szCs w:val="32"/>
        </w:rPr>
        <w:t>）</w:t>
      </w:r>
      <w:r>
        <w:rPr>
          <w:spacing w:val="11"/>
          <w:w w:val="99"/>
          <w:sz w:val="32"/>
          <w:szCs w:val="32"/>
        </w:rPr>
        <w:t>实现全覆盖。深入实施时代新</w:t>
      </w:r>
      <w:r>
        <w:rPr>
          <w:spacing w:val="10"/>
          <w:w w:val="99"/>
          <w:sz w:val="32"/>
          <w:szCs w:val="32"/>
        </w:rPr>
        <w:t>人培育工程，注重发现和培养各行各业践行社会主义核心价值</w:t>
      </w:r>
      <w:r>
        <w:rPr>
          <w:spacing w:val="11"/>
          <w:w w:val="99"/>
          <w:sz w:val="32"/>
          <w:szCs w:val="32"/>
        </w:rPr>
        <w:t>观的先进典型，培育一批新时代公民先锋模范</w:t>
      </w:r>
      <w:r>
        <w:rPr>
          <w:spacing w:val="25"/>
          <w:sz w:val="32"/>
          <w:szCs w:val="32"/>
        </w:rPr>
        <w:t xml:space="preserve"> </w:t>
      </w:r>
      <w:r>
        <w:rPr>
          <w:w w:val="99"/>
          <w:sz w:val="32"/>
          <w:szCs w:val="32"/>
        </w:rPr>
        <w:t>。</w:t>
      </w:r>
    </w:p>
    <w:p w14:paraId="1FC1474F">
      <w:pPr>
        <w:spacing w:line="376" w:lineRule="exact"/>
        <w:ind w:left="778"/>
        <w:rPr>
          <w:rFonts w:ascii="黑体" w:eastAsia="黑体"/>
          <w:sz w:val="32"/>
          <w:szCs w:val="32"/>
        </w:rPr>
      </w:pPr>
      <w:r>
        <w:rPr>
          <w:rFonts w:ascii="黑体" w:eastAsia="黑体"/>
          <w:spacing w:val="12"/>
          <w:w w:val="95"/>
          <w:sz w:val="32"/>
          <w:szCs w:val="32"/>
        </w:rPr>
        <w:t>二、深化</w:t>
      </w:r>
      <w:r>
        <w:rPr>
          <w:rFonts w:ascii="黑体" w:eastAsia="黑体"/>
          <w:spacing w:val="14"/>
          <w:w w:val="95"/>
          <w:sz w:val="32"/>
          <w:szCs w:val="32"/>
        </w:rPr>
        <w:t>群</w:t>
      </w:r>
      <w:r>
        <w:rPr>
          <w:rFonts w:ascii="黑体" w:eastAsia="黑体"/>
          <w:spacing w:val="12"/>
          <w:w w:val="95"/>
          <w:sz w:val="32"/>
          <w:szCs w:val="32"/>
        </w:rPr>
        <w:t>众性</w:t>
      </w:r>
      <w:r>
        <w:rPr>
          <w:rFonts w:ascii="黑体" w:eastAsia="黑体"/>
          <w:spacing w:val="14"/>
          <w:w w:val="95"/>
          <w:sz w:val="32"/>
          <w:szCs w:val="32"/>
        </w:rPr>
        <w:t>精</w:t>
      </w:r>
      <w:r>
        <w:rPr>
          <w:rFonts w:ascii="黑体" w:eastAsia="黑体"/>
          <w:spacing w:val="12"/>
          <w:w w:val="95"/>
          <w:sz w:val="32"/>
          <w:szCs w:val="32"/>
        </w:rPr>
        <w:t>神文</w:t>
      </w:r>
      <w:r>
        <w:rPr>
          <w:rFonts w:ascii="黑体" w:eastAsia="黑体"/>
          <w:spacing w:val="5"/>
          <w:w w:val="95"/>
          <w:sz w:val="32"/>
          <w:szCs w:val="32"/>
        </w:rPr>
        <w:t>明创建</w:t>
      </w:r>
    </w:p>
    <w:p w14:paraId="54D96E33">
      <w:pPr>
        <w:spacing w:before="166" w:line="338" w:lineRule="auto"/>
        <w:ind w:left="113" w:right="281" w:firstLine="664"/>
        <w:jc w:val="both"/>
        <w:rPr>
          <w:sz w:val="32"/>
          <w:szCs w:val="32"/>
        </w:rPr>
      </w:pPr>
      <w:r>
        <w:rPr>
          <w:spacing w:val="9"/>
          <w:w w:val="99"/>
          <w:sz w:val="32"/>
          <w:szCs w:val="32"/>
        </w:rPr>
        <w:t>巩固全国文明城市创建成果，着力提升市民素养，深入开</w:t>
      </w:r>
      <w:r>
        <w:rPr>
          <w:spacing w:val="10"/>
          <w:w w:val="99"/>
          <w:sz w:val="32"/>
          <w:szCs w:val="32"/>
        </w:rPr>
        <w:t>展群众性精神文明创建，重点加强未成年人思想道德教育和青</w:t>
      </w:r>
      <w:r>
        <w:rPr>
          <w:spacing w:val="11"/>
          <w:w w:val="99"/>
          <w:sz w:val="32"/>
          <w:szCs w:val="32"/>
        </w:rPr>
        <w:t>年理想信念教育，提升文明村镇</w:t>
      </w:r>
      <w:r>
        <w:rPr>
          <w:spacing w:val="14"/>
          <w:w w:val="99"/>
          <w:sz w:val="32"/>
          <w:szCs w:val="32"/>
        </w:rPr>
        <w:t>（</w:t>
      </w:r>
      <w:r>
        <w:rPr>
          <w:spacing w:val="13"/>
          <w:w w:val="99"/>
          <w:sz w:val="32"/>
          <w:szCs w:val="32"/>
        </w:rPr>
        <w:t>社区</w:t>
      </w:r>
      <w:r>
        <w:rPr>
          <w:spacing w:val="12"/>
          <w:w w:val="99"/>
          <w:sz w:val="32"/>
          <w:szCs w:val="32"/>
        </w:rPr>
        <w:t>）</w:t>
      </w:r>
      <w:r>
        <w:rPr>
          <w:spacing w:val="10"/>
          <w:w w:val="99"/>
          <w:sz w:val="32"/>
          <w:szCs w:val="32"/>
        </w:rPr>
        <w:t>、文明单位、文明行业科学化、制度化、规范化创建水平。积极培育、挖掘、选树</w:t>
      </w:r>
    </w:p>
    <w:p w14:paraId="622B093C">
      <w:pPr>
        <w:spacing w:line="338" w:lineRule="auto"/>
        <w:jc w:val="both"/>
        <w:sectPr>
          <w:pgSz w:w="11910" w:h="16840"/>
          <w:pgMar w:top="1740" w:right="1200" w:bottom="1160" w:left="1360" w:header="0" w:footer="975" w:gutter="0"/>
          <w:cols w:space="720" w:num="1"/>
        </w:sectPr>
      </w:pPr>
    </w:p>
    <w:p w14:paraId="35CBCDB0">
      <w:pPr>
        <w:spacing w:before="28" w:line="338" w:lineRule="auto"/>
        <w:ind w:left="113" w:right="120"/>
        <w:rPr>
          <w:sz w:val="32"/>
          <w:szCs w:val="32"/>
        </w:rPr>
      </w:pPr>
      <w:r>
        <w:rPr>
          <w:spacing w:val="12"/>
          <w:w w:val="95"/>
          <w:sz w:val="32"/>
          <w:szCs w:val="32"/>
        </w:rPr>
        <w:t>道德模范</w:t>
      </w:r>
      <w:r>
        <w:rPr>
          <w:spacing w:val="6"/>
          <w:w w:val="95"/>
          <w:sz w:val="32"/>
          <w:szCs w:val="32"/>
        </w:rPr>
        <w:t>暨“</w:t>
      </w:r>
      <w:r>
        <w:rPr>
          <w:spacing w:val="12"/>
          <w:w w:val="95"/>
          <w:sz w:val="32"/>
          <w:szCs w:val="32"/>
        </w:rPr>
        <w:t>最美金凤</w:t>
      </w:r>
      <w:r>
        <w:rPr>
          <w:spacing w:val="3"/>
          <w:w w:val="95"/>
          <w:sz w:val="32"/>
          <w:szCs w:val="32"/>
        </w:rPr>
        <w:t>人”“</w:t>
      </w:r>
      <w:r>
        <w:rPr>
          <w:spacing w:val="12"/>
          <w:w w:val="95"/>
          <w:sz w:val="32"/>
          <w:szCs w:val="32"/>
        </w:rPr>
        <w:t>身边好人</w:t>
      </w:r>
      <w:r>
        <w:rPr>
          <w:spacing w:val="8"/>
          <w:w w:val="95"/>
          <w:sz w:val="32"/>
          <w:szCs w:val="32"/>
        </w:rPr>
        <w:t>”等模</w:t>
      </w:r>
      <w:r>
        <w:rPr>
          <w:spacing w:val="12"/>
          <w:w w:val="95"/>
          <w:sz w:val="32"/>
          <w:szCs w:val="32"/>
        </w:rPr>
        <w:t>范人物评选活动</w:t>
      </w:r>
      <w:r>
        <w:rPr>
          <w:w w:val="95"/>
          <w:sz w:val="32"/>
          <w:szCs w:val="32"/>
        </w:rPr>
        <w:t>，</w:t>
      </w:r>
      <w:r>
        <w:rPr>
          <w:spacing w:val="12"/>
          <w:sz w:val="32"/>
          <w:szCs w:val="32"/>
        </w:rPr>
        <w:t>深入开展道德模范评选表彰活动和道德宣传实践活</w:t>
      </w:r>
      <w:r>
        <w:rPr>
          <w:spacing w:val="6"/>
          <w:sz w:val="32"/>
          <w:szCs w:val="32"/>
        </w:rPr>
        <w:t>动，大力倡</w:t>
      </w:r>
      <w:r>
        <w:rPr>
          <w:spacing w:val="12"/>
          <w:sz w:val="32"/>
          <w:szCs w:val="32"/>
        </w:rPr>
        <w:t>导爱国守</w:t>
      </w:r>
      <w:r>
        <w:rPr>
          <w:spacing w:val="8"/>
          <w:sz w:val="32"/>
          <w:szCs w:val="32"/>
        </w:rPr>
        <w:t>法、明礼诚信</w:t>
      </w:r>
      <w:r>
        <w:rPr>
          <w:spacing w:val="12"/>
          <w:sz w:val="32"/>
          <w:szCs w:val="32"/>
        </w:rPr>
        <w:t>、团结友善、勤</w:t>
      </w:r>
      <w:r>
        <w:rPr>
          <w:spacing w:val="9"/>
          <w:sz w:val="32"/>
          <w:szCs w:val="32"/>
        </w:rPr>
        <w:t>俭自强、敬业</w:t>
      </w:r>
      <w:r>
        <w:rPr>
          <w:spacing w:val="12"/>
          <w:sz w:val="32"/>
          <w:szCs w:val="32"/>
        </w:rPr>
        <w:t>奉献</w:t>
      </w:r>
      <w:r>
        <w:rPr>
          <w:spacing w:val="6"/>
          <w:sz w:val="32"/>
          <w:szCs w:val="32"/>
        </w:rPr>
        <w:t>等基</w:t>
      </w:r>
      <w:r>
        <w:rPr>
          <w:spacing w:val="12"/>
          <w:sz w:val="32"/>
          <w:szCs w:val="32"/>
        </w:rPr>
        <w:t>本道德规</w:t>
      </w:r>
      <w:r>
        <w:rPr>
          <w:spacing w:val="8"/>
          <w:sz w:val="32"/>
          <w:szCs w:val="32"/>
        </w:rPr>
        <w:t>范。充分</w:t>
      </w:r>
      <w:r>
        <w:rPr>
          <w:spacing w:val="12"/>
          <w:sz w:val="32"/>
          <w:szCs w:val="32"/>
        </w:rPr>
        <w:t>发挥融媒体中心等平台作</w:t>
      </w:r>
      <w:r>
        <w:rPr>
          <w:spacing w:val="9"/>
          <w:sz w:val="32"/>
          <w:szCs w:val="32"/>
        </w:rPr>
        <w:t>用，把握</w:t>
      </w:r>
      <w:r>
        <w:rPr>
          <w:spacing w:val="12"/>
          <w:sz w:val="32"/>
          <w:szCs w:val="32"/>
        </w:rPr>
        <w:t>正确</w:t>
      </w:r>
      <w:r>
        <w:rPr>
          <w:spacing w:val="6"/>
          <w:sz w:val="32"/>
          <w:szCs w:val="32"/>
        </w:rPr>
        <w:t>舆论</w:t>
      </w:r>
      <w:r>
        <w:rPr>
          <w:spacing w:val="8"/>
          <w:sz w:val="32"/>
          <w:szCs w:val="32"/>
        </w:rPr>
        <w:t>导向，做大</w:t>
      </w:r>
      <w:r>
        <w:rPr>
          <w:spacing w:val="12"/>
          <w:sz w:val="32"/>
          <w:szCs w:val="32"/>
        </w:rPr>
        <w:t>做强正面宣</w:t>
      </w:r>
      <w:r>
        <w:rPr>
          <w:spacing w:val="9"/>
          <w:sz w:val="32"/>
          <w:szCs w:val="32"/>
        </w:rPr>
        <w:t>传，加强</w:t>
      </w:r>
      <w:r>
        <w:rPr>
          <w:spacing w:val="12"/>
          <w:sz w:val="32"/>
          <w:szCs w:val="32"/>
        </w:rPr>
        <w:t>传播手段创新，推动媒体</w:t>
      </w:r>
      <w:r>
        <w:rPr>
          <w:spacing w:val="6"/>
          <w:sz w:val="32"/>
          <w:szCs w:val="32"/>
        </w:rPr>
        <w:t>深度</w:t>
      </w:r>
      <w:r>
        <w:rPr>
          <w:spacing w:val="8"/>
          <w:sz w:val="32"/>
          <w:szCs w:val="32"/>
        </w:rPr>
        <w:t>融合，进一</w:t>
      </w:r>
      <w:r>
        <w:rPr>
          <w:spacing w:val="12"/>
          <w:sz w:val="32"/>
          <w:szCs w:val="32"/>
        </w:rPr>
        <w:t>步讲好金凤故事，展示金凤</w:t>
      </w:r>
      <w:r>
        <w:rPr>
          <w:spacing w:val="9"/>
          <w:sz w:val="32"/>
          <w:szCs w:val="32"/>
        </w:rPr>
        <w:t>形象。全面</w:t>
      </w:r>
      <w:r>
        <w:rPr>
          <w:spacing w:val="12"/>
          <w:sz w:val="32"/>
          <w:szCs w:val="32"/>
        </w:rPr>
        <w:t>贯彻</w:t>
      </w:r>
      <w:r>
        <w:rPr>
          <w:spacing w:val="8"/>
          <w:sz w:val="32"/>
          <w:szCs w:val="32"/>
        </w:rPr>
        <w:t>落实文</w:t>
      </w:r>
      <w:r>
        <w:rPr>
          <w:spacing w:val="12"/>
          <w:sz w:val="32"/>
          <w:szCs w:val="32"/>
        </w:rPr>
        <w:t>明行为促进条例，深入开展“文明交通”“文明旅游”“文</w:t>
      </w:r>
      <w:r>
        <w:rPr>
          <w:sz w:val="32"/>
          <w:szCs w:val="32"/>
        </w:rPr>
        <w:t>明</w:t>
      </w:r>
      <w:r>
        <w:rPr>
          <w:spacing w:val="11"/>
          <w:sz w:val="32"/>
          <w:szCs w:val="32"/>
        </w:rPr>
        <w:t>餐桌”“文明</w:t>
      </w:r>
      <w:r>
        <w:rPr>
          <w:spacing w:val="12"/>
          <w:sz w:val="32"/>
          <w:szCs w:val="32"/>
        </w:rPr>
        <w:t>养犬”行动，持续加强文明教育引导，大</w:t>
      </w:r>
      <w:r>
        <w:rPr>
          <w:spacing w:val="8"/>
          <w:sz w:val="32"/>
          <w:szCs w:val="32"/>
        </w:rPr>
        <w:t>力整治</w:t>
      </w:r>
      <w:r>
        <w:rPr>
          <w:spacing w:val="10"/>
          <w:sz w:val="32"/>
          <w:szCs w:val="32"/>
        </w:rPr>
        <w:t>不文明行</w:t>
      </w:r>
      <w:r>
        <w:rPr>
          <w:spacing w:val="5"/>
          <w:sz w:val="32"/>
          <w:szCs w:val="32"/>
        </w:rPr>
        <w:t>为。</w:t>
      </w:r>
    </w:p>
    <w:p w14:paraId="669EB133">
      <w:pPr>
        <w:ind w:left="778"/>
        <w:rPr>
          <w:rFonts w:ascii="黑体" w:eastAsia="黑体"/>
          <w:sz w:val="32"/>
          <w:szCs w:val="32"/>
        </w:rPr>
      </w:pPr>
      <w:r>
        <w:rPr>
          <w:rFonts w:ascii="黑体" w:eastAsia="黑体"/>
          <w:spacing w:val="12"/>
          <w:w w:val="95"/>
          <w:sz w:val="32"/>
          <w:szCs w:val="32"/>
        </w:rPr>
        <w:t>三、扎实</w:t>
      </w:r>
      <w:r>
        <w:rPr>
          <w:rFonts w:ascii="黑体" w:eastAsia="黑体"/>
          <w:spacing w:val="14"/>
          <w:w w:val="95"/>
          <w:sz w:val="32"/>
          <w:szCs w:val="32"/>
        </w:rPr>
        <w:t>推</w:t>
      </w:r>
      <w:r>
        <w:rPr>
          <w:rFonts w:ascii="黑体" w:eastAsia="黑体"/>
          <w:spacing w:val="12"/>
          <w:w w:val="95"/>
          <w:sz w:val="32"/>
          <w:szCs w:val="32"/>
        </w:rPr>
        <w:t>进农</w:t>
      </w:r>
      <w:r>
        <w:rPr>
          <w:rFonts w:ascii="黑体" w:eastAsia="黑体"/>
          <w:spacing w:val="14"/>
          <w:w w:val="95"/>
          <w:sz w:val="32"/>
          <w:szCs w:val="32"/>
        </w:rPr>
        <w:t>村</w:t>
      </w:r>
      <w:r>
        <w:rPr>
          <w:rFonts w:ascii="黑体" w:eastAsia="黑体"/>
          <w:spacing w:val="12"/>
          <w:w w:val="95"/>
          <w:sz w:val="32"/>
          <w:szCs w:val="32"/>
        </w:rPr>
        <w:t>移风</w:t>
      </w:r>
      <w:r>
        <w:rPr>
          <w:rFonts w:ascii="黑体" w:eastAsia="黑体"/>
          <w:spacing w:val="2"/>
          <w:w w:val="95"/>
          <w:sz w:val="32"/>
          <w:szCs w:val="32"/>
        </w:rPr>
        <w:t>易俗</w:t>
      </w:r>
    </w:p>
    <w:p w14:paraId="7100F0AE">
      <w:pPr>
        <w:spacing w:before="166" w:line="338" w:lineRule="auto"/>
        <w:ind w:left="113" w:right="115" w:firstLine="664"/>
        <w:rPr>
          <w:sz w:val="32"/>
          <w:szCs w:val="32"/>
        </w:rPr>
      </w:pPr>
      <w:r>
        <w:rPr>
          <w:spacing w:val="10"/>
          <w:w w:val="99"/>
          <w:sz w:val="32"/>
          <w:szCs w:val="32"/>
        </w:rPr>
        <w:t>把移风易俗作为农村精神文明建设重点内容，建立乡村干部移风易俗承诺制，健全乡村“一约四会”机制，推选德高望重、作风正派的老党员、老干部、老教师、新乡贤助力乡村治</w:t>
      </w:r>
      <w:r>
        <w:rPr>
          <w:spacing w:val="11"/>
          <w:w w:val="99"/>
          <w:sz w:val="32"/>
          <w:szCs w:val="32"/>
        </w:rPr>
        <w:t>理，推动红白喜事统一标准、统一操办，实现移风易俗知晓率</w:t>
      </w:r>
      <w:r>
        <w:rPr>
          <w:spacing w:val="8"/>
          <w:w w:val="99"/>
          <w:sz w:val="32"/>
          <w:szCs w:val="32"/>
        </w:rPr>
        <w:t>和满意度显著提升。广泛开展道德模范、最美人物、星级文明</w:t>
      </w:r>
      <w:r>
        <w:rPr>
          <w:spacing w:val="11"/>
          <w:w w:val="99"/>
          <w:sz w:val="32"/>
          <w:szCs w:val="32"/>
        </w:rPr>
        <w:t>户、文明家庭和“好邻居”“好婆媳”等推荐评选活动，开展</w:t>
      </w:r>
      <w:r>
        <w:rPr>
          <w:w w:val="99"/>
          <w:sz w:val="32"/>
          <w:szCs w:val="32"/>
        </w:rPr>
        <w:t>村训家训评议教育，提倡男女平等，引导群众立家规、传家训，</w:t>
      </w:r>
      <w:r>
        <w:rPr>
          <w:spacing w:val="-1"/>
          <w:w w:val="99"/>
          <w:sz w:val="32"/>
          <w:szCs w:val="32"/>
        </w:rPr>
        <w:t>改陋习、树新风，实现广大农民由“要我文明”向“我要文明”</w:t>
      </w:r>
      <w:r>
        <w:rPr>
          <w:spacing w:val="9"/>
          <w:w w:val="99"/>
          <w:sz w:val="32"/>
          <w:szCs w:val="32"/>
        </w:rPr>
        <w:t>转变。在治理陈规陋习方面每年推出一批先进典型，打造一批</w:t>
      </w:r>
      <w:r>
        <w:rPr>
          <w:spacing w:val="-1"/>
          <w:w w:val="99"/>
          <w:sz w:val="32"/>
          <w:szCs w:val="32"/>
        </w:rPr>
        <w:t>移风易俗先进村，在全区范围内进行推广示范。深化殡葬改革，</w:t>
      </w:r>
      <w:r>
        <w:rPr>
          <w:spacing w:val="11"/>
          <w:w w:val="99"/>
          <w:sz w:val="32"/>
          <w:szCs w:val="32"/>
        </w:rPr>
        <w:t>倡导文明祭祀，加快公益性公墓建设，推进节地生态安葬。</w:t>
      </w:r>
    </w:p>
    <w:p w14:paraId="6534424F">
      <w:pPr>
        <w:spacing w:line="338" w:lineRule="auto"/>
        <w:sectPr>
          <w:pgSz w:w="11910" w:h="16840"/>
          <w:pgMar w:top="1800" w:right="1200" w:bottom="1160" w:left="1360" w:header="0" w:footer="975" w:gutter="0"/>
          <w:cols w:space="720" w:num="1"/>
        </w:sectPr>
      </w:pPr>
    </w:p>
    <w:p w14:paraId="3BB49D3B">
      <w:pPr>
        <w:spacing w:before="31"/>
        <w:ind w:left="1758" w:right="1927"/>
        <w:jc w:val="center"/>
        <w:outlineLvl w:val="0"/>
        <w:rPr>
          <w:rFonts w:ascii="宋体" w:hAnsi="宋体" w:eastAsia="宋体" w:cs="宋体"/>
          <w:b/>
          <w:bCs/>
          <w:sz w:val="32"/>
          <w:szCs w:val="32"/>
        </w:rPr>
      </w:pPr>
      <w:r>
        <w:rPr>
          <w:rFonts w:ascii="宋体" w:hAnsi="宋体" w:eastAsia="宋体" w:cs="宋体"/>
          <w:b/>
          <w:bCs/>
          <w:spacing w:val="14"/>
          <w:sz w:val="32"/>
          <w:szCs w:val="32"/>
        </w:rPr>
        <w:t>第二</w:t>
      </w:r>
      <w:r>
        <w:rPr>
          <w:rFonts w:ascii="宋体" w:hAnsi="宋体" w:eastAsia="宋体" w:cs="宋体"/>
          <w:b/>
          <w:bCs/>
          <w:spacing w:val="52"/>
          <w:sz w:val="32"/>
          <w:szCs w:val="32"/>
        </w:rPr>
        <w:t>节 强</w:t>
      </w:r>
      <w:r>
        <w:rPr>
          <w:rFonts w:ascii="宋体" w:hAnsi="宋体" w:eastAsia="宋体" w:cs="宋体"/>
          <w:b/>
          <w:bCs/>
          <w:spacing w:val="14"/>
          <w:sz w:val="32"/>
          <w:szCs w:val="32"/>
        </w:rPr>
        <w:t>化公</w:t>
      </w:r>
      <w:r>
        <w:rPr>
          <w:rFonts w:ascii="宋体" w:hAnsi="宋体" w:eastAsia="宋体" w:cs="宋体"/>
          <w:b/>
          <w:bCs/>
          <w:spacing w:val="12"/>
          <w:sz w:val="32"/>
          <w:szCs w:val="32"/>
        </w:rPr>
        <w:t>共</w:t>
      </w:r>
      <w:r>
        <w:rPr>
          <w:rFonts w:ascii="宋体" w:hAnsi="宋体" w:eastAsia="宋体" w:cs="宋体"/>
          <w:b/>
          <w:bCs/>
          <w:spacing w:val="14"/>
          <w:sz w:val="32"/>
          <w:szCs w:val="32"/>
        </w:rPr>
        <w:t>文化产品和服</w:t>
      </w:r>
      <w:r>
        <w:rPr>
          <w:rFonts w:ascii="宋体" w:hAnsi="宋体" w:eastAsia="宋体" w:cs="宋体"/>
          <w:b/>
          <w:bCs/>
          <w:spacing w:val="5"/>
          <w:sz w:val="32"/>
          <w:szCs w:val="32"/>
        </w:rPr>
        <w:t>务供给</w:t>
      </w:r>
    </w:p>
    <w:p w14:paraId="1B00A96B">
      <w:pPr>
        <w:rPr>
          <w:rFonts w:ascii="宋体"/>
          <w:b/>
          <w:sz w:val="24"/>
          <w:szCs w:val="32"/>
        </w:rPr>
      </w:pPr>
    </w:p>
    <w:p w14:paraId="03701E34">
      <w:pPr>
        <w:ind w:left="778"/>
        <w:rPr>
          <w:rFonts w:ascii="黑体" w:eastAsia="黑体"/>
          <w:sz w:val="32"/>
          <w:szCs w:val="32"/>
        </w:rPr>
      </w:pPr>
      <w:r>
        <w:rPr>
          <w:rFonts w:ascii="黑体" w:eastAsia="黑体"/>
          <w:spacing w:val="12"/>
          <w:w w:val="95"/>
          <w:sz w:val="32"/>
          <w:szCs w:val="32"/>
        </w:rPr>
        <w:t>一、完善</w:t>
      </w:r>
      <w:r>
        <w:rPr>
          <w:rFonts w:ascii="黑体" w:eastAsia="黑体"/>
          <w:spacing w:val="14"/>
          <w:w w:val="95"/>
          <w:sz w:val="32"/>
          <w:szCs w:val="32"/>
        </w:rPr>
        <w:t>公</w:t>
      </w:r>
      <w:r>
        <w:rPr>
          <w:rFonts w:ascii="黑体" w:eastAsia="黑体"/>
          <w:spacing w:val="12"/>
          <w:w w:val="95"/>
          <w:sz w:val="32"/>
          <w:szCs w:val="32"/>
        </w:rPr>
        <w:t>共文</w:t>
      </w:r>
      <w:r>
        <w:rPr>
          <w:rFonts w:ascii="黑体" w:eastAsia="黑体"/>
          <w:spacing w:val="14"/>
          <w:w w:val="95"/>
          <w:sz w:val="32"/>
          <w:szCs w:val="32"/>
        </w:rPr>
        <w:t>化</w:t>
      </w:r>
      <w:r>
        <w:rPr>
          <w:rFonts w:ascii="黑体" w:eastAsia="黑体"/>
          <w:spacing w:val="12"/>
          <w:w w:val="95"/>
          <w:sz w:val="32"/>
          <w:szCs w:val="32"/>
        </w:rPr>
        <w:t>网络</w:t>
      </w:r>
      <w:r>
        <w:rPr>
          <w:rFonts w:ascii="黑体" w:eastAsia="黑体"/>
          <w:spacing w:val="14"/>
          <w:w w:val="95"/>
          <w:sz w:val="32"/>
          <w:szCs w:val="32"/>
        </w:rPr>
        <w:t>设</w:t>
      </w:r>
      <w:r>
        <w:rPr>
          <w:rFonts w:ascii="黑体" w:eastAsia="黑体"/>
          <w:spacing w:val="12"/>
          <w:w w:val="95"/>
          <w:sz w:val="32"/>
          <w:szCs w:val="32"/>
        </w:rPr>
        <w:t>施建</w:t>
      </w:r>
      <w:r>
        <w:rPr>
          <w:rFonts w:ascii="黑体" w:eastAsia="黑体"/>
          <w:spacing w:val="-10"/>
          <w:w w:val="95"/>
          <w:sz w:val="32"/>
          <w:szCs w:val="32"/>
        </w:rPr>
        <w:t>设</w:t>
      </w:r>
    </w:p>
    <w:p w14:paraId="7F436A6F">
      <w:pPr>
        <w:spacing w:before="166" w:line="338" w:lineRule="auto"/>
        <w:ind w:left="113" w:right="120" w:firstLine="664"/>
        <w:rPr>
          <w:sz w:val="32"/>
          <w:szCs w:val="32"/>
        </w:rPr>
      </w:pPr>
      <w:r>
        <w:rPr>
          <w:w w:val="99"/>
          <w:sz w:val="32"/>
          <w:szCs w:val="32"/>
        </w:rPr>
        <w:t>提升辖区内镇综合文化站、村文化活动室、金凤区文化馆、</w:t>
      </w:r>
      <w:r>
        <w:rPr>
          <w:spacing w:val="10"/>
          <w:w w:val="99"/>
          <w:sz w:val="32"/>
          <w:szCs w:val="32"/>
        </w:rPr>
        <w:t>图书馆等公共文化服务阵地设施达标升级建设，完善金凤区文</w:t>
      </w:r>
      <w:r>
        <w:rPr>
          <w:spacing w:val="9"/>
          <w:w w:val="99"/>
          <w:sz w:val="32"/>
          <w:szCs w:val="32"/>
        </w:rPr>
        <w:t>化馆、图书馆总分馆制建设。加快推进金凤区“两馆”数字化</w:t>
      </w:r>
      <w:r>
        <w:rPr>
          <w:spacing w:val="5"/>
          <w:w w:val="99"/>
          <w:sz w:val="32"/>
          <w:szCs w:val="32"/>
        </w:rPr>
        <w:t>建设水平，着重做好“互联网+文化”“互联+阅读”文章。继</w:t>
      </w:r>
      <w:r>
        <w:rPr>
          <w:spacing w:val="9"/>
          <w:w w:val="99"/>
          <w:sz w:val="32"/>
          <w:szCs w:val="32"/>
        </w:rPr>
        <w:t>续完善金凤悦书房服务内容，为广大市民打造一个学习、休闲</w:t>
      </w:r>
      <w:r>
        <w:rPr>
          <w:spacing w:val="4"/>
          <w:w w:val="99"/>
          <w:sz w:val="32"/>
          <w:szCs w:val="32"/>
        </w:rPr>
        <w:t xml:space="preserve">的“一站式”“悦读”空间。根据自治区“七个一”和银川市 </w:t>
      </w:r>
      <w:r>
        <w:rPr>
          <w:spacing w:val="17"/>
          <w:w w:val="99"/>
          <w:sz w:val="32"/>
          <w:szCs w:val="32"/>
        </w:rPr>
        <w:t>“八个有”建设标准，到</w:t>
      </w:r>
      <w:r>
        <w:rPr>
          <w:spacing w:val="-59"/>
          <w:sz w:val="32"/>
          <w:szCs w:val="32"/>
        </w:rPr>
        <w:t xml:space="preserve"> </w:t>
      </w:r>
      <w:r>
        <w:rPr>
          <w:rFonts w:ascii="Times New Roman" w:hAnsi="Times New Roman" w:eastAsia="Times New Roman"/>
          <w:spacing w:val="3"/>
          <w:w w:val="99"/>
          <w:sz w:val="32"/>
          <w:szCs w:val="32"/>
        </w:rPr>
        <w:t>2</w:t>
      </w:r>
      <w:r>
        <w:rPr>
          <w:rFonts w:ascii="Times New Roman" w:hAnsi="Times New Roman" w:eastAsia="Times New Roman"/>
          <w:spacing w:val="6"/>
          <w:w w:val="99"/>
          <w:sz w:val="32"/>
          <w:szCs w:val="32"/>
        </w:rPr>
        <w:t>02</w:t>
      </w:r>
      <w:r>
        <w:rPr>
          <w:rFonts w:ascii="Times New Roman" w:hAnsi="Times New Roman" w:eastAsia="Times New Roman"/>
          <w:w w:val="99"/>
          <w:sz w:val="32"/>
          <w:szCs w:val="32"/>
        </w:rPr>
        <w:t>5</w:t>
      </w:r>
      <w:r>
        <w:rPr>
          <w:rFonts w:ascii="Times New Roman" w:hAnsi="Times New Roman" w:eastAsia="Times New Roman"/>
          <w:spacing w:val="19"/>
          <w:sz w:val="32"/>
          <w:szCs w:val="32"/>
        </w:rPr>
        <w:t xml:space="preserve"> </w:t>
      </w:r>
      <w:r>
        <w:rPr>
          <w:spacing w:val="17"/>
          <w:w w:val="99"/>
          <w:sz w:val="32"/>
          <w:szCs w:val="32"/>
        </w:rPr>
        <w:t>年，力争实现综合文化服务中</w:t>
      </w:r>
      <w:r>
        <w:rPr>
          <w:spacing w:val="5"/>
          <w:w w:val="99"/>
          <w:sz w:val="32"/>
          <w:szCs w:val="32"/>
        </w:rPr>
        <w:t>心在城乡社区</w:t>
      </w:r>
      <w:r>
        <w:rPr>
          <w:spacing w:val="14"/>
          <w:w w:val="99"/>
          <w:sz w:val="32"/>
          <w:szCs w:val="32"/>
        </w:rPr>
        <w:t>（</w:t>
      </w:r>
      <w:r>
        <w:rPr>
          <w:spacing w:val="12"/>
          <w:w w:val="99"/>
          <w:sz w:val="32"/>
          <w:szCs w:val="32"/>
        </w:rPr>
        <w:t>村居</w:t>
      </w:r>
      <w:r>
        <w:rPr>
          <w:spacing w:val="-27"/>
          <w:w w:val="99"/>
          <w:sz w:val="32"/>
          <w:szCs w:val="32"/>
        </w:rPr>
        <w:t>）</w:t>
      </w:r>
      <w:r>
        <w:rPr>
          <w:spacing w:val="8"/>
          <w:w w:val="99"/>
          <w:sz w:val="32"/>
          <w:szCs w:val="32"/>
        </w:rPr>
        <w:t>覆盖率</w:t>
      </w:r>
      <w:r>
        <w:rPr>
          <w:spacing w:val="-64"/>
          <w:sz w:val="32"/>
          <w:szCs w:val="32"/>
        </w:rPr>
        <w:t xml:space="preserve"> </w:t>
      </w:r>
      <w:r>
        <w:rPr>
          <w:rFonts w:ascii="Calibri" w:hAnsi="Calibri" w:eastAsia="Calibri"/>
          <w:spacing w:val="1"/>
          <w:w w:val="99"/>
          <w:sz w:val="32"/>
          <w:szCs w:val="32"/>
        </w:rPr>
        <w:t>1</w:t>
      </w:r>
      <w:r>
        <w:rPr>
          <w:rFonts w:ascii="Calibri" w:hAnsi="Calibri" w:eastAsia="Calibri"/>
          <w:spacing w:val="6"/>
          <w:w w:val="99"/>
          <w:sz w:val="32"/>
          <w:szCs w:val="32"/>
        </w:rPr>
        <w:t>00</w:t>
      </w:r>
      <w:r>
        <w:rPr>
          <w:rFonts w:ascii="Calibri" w:hAnsi="Calibri" w:eastAsia="Calibri"/>
          <w:spacing w:val="11"/>
          <w:w w:val="99"/>
          <w:sz w:val="32"/>
          <w:szCs w:val="32"/>
        </w:rPr>
        <w:t>%</w:t>
      </w:r>
      <w:r>
        <w:rPr>
          <w:spacing w:val="1"/>
          <w:w w:val="99"/>
          <w:sz w:val="32"/>
          <w:szCs w:val="32"/>
        </w:rPr>
        <w:t>。在丰登镇、良田镇建成非</w:t>
      </w:r>
      <w:r>
        <w:rPr>
          <w:spacing w:val="9"/>
          <w:w w:val="99"/>
          <w:sz w:val="32"/>
          <w:szCs w:val="32"/>
        </w:rPr>
        <w:t>遗传习所和培训基地，在社区建设非遗传习体验室。积极鼓励</w:t>
      </w:r>
      <w:r>
        <w:rPr>
          <w:spacing w:val="10"/>
          <w:w w:val="99"/>
          <w:sz w:val="32"/>
          <w:szCs w:val="32"/>
        </w:rPr>
        <w:t>社会参与到公共文化建设中，不断提升公共文化设施向社会免费开放的力度和水平。</w:t>
      </w:r>
    </w:p>
    <w:p w14:paraId="58571158">
      <w:pPr>
        <w:spacing w:before="3"/>
        <w:ind w:left="778"/>
        <w:rPr>
          <w:rFonts w:ascii="黑体" w:eastAsia="黑体"/>
          <w:sz w:val="32"/>
          <w:szCs w:val="32"/>
        </w:rPr>
      </w:pPr>
      <w:r>
        <w:rPr>
          <w:rFonts w:ascii="黑体" w:eastAsia="黑体"/>
          <w:spacing w:val="12"/>
          <w:w w:val="95"/>
          <w:sz w:val="32"/>
          <w:szCs w:val="32"/>
        </w:rPr>
        <w:t>二、促进</w:t>
      </w:r>
      <w:r>
        <w:rPr>
          <w:rFonts w:ascii="黑体" w:eastAsia="黑体"/>
          <w:spacing w:val="14"/>
          <w:w w:val="95"/>
          <w:sz w:val="32"/>
          <w:szCs w:val="32"/>
        </w:rPr>
        <w:t>群</w:t>
      </w:r>
      <w:r>
        <w:rPr>
          <w:rFonts w:ascii="黑体" w:eastAsia="黑体"/>
          <w:spacing w:val="12"/>
          <w:w w:val="95"/>
          <w:sz w:val="32"/>
          <w:szCs w:val="32"/>
        </w:rPr>
        <w:t>众性</w:t>
      </w:r>
      <w:r>
        <w:rPr>
          <w:rFonts w:ascii="黑体" w:eastAsia="黑体"/>
          <w:spacing w:val="14"/>
          <w:w w:val="95"/>
          <w:sz w:val="32"/>
          <w:szCs w:val="32"/>
        </w:rPr>
        <w:t>文</w:t>
      </w:r>
      <w:r>
        <w:rPr>
          <w:rFonts w:ascii="黑体" w:eastAsia="黑体"/>
          <w:spacing w:val="12"/>
          <w:w w:val="95"/>
          <w:sz w:val="32"/>
          <w:szCs w:val="32"/>
        </w:rPr>
        <w:t>化活</w:t>
      </w:r>
      <w:r>
        <w:rPr>
          <w:rFonts w:ascii="黑体" w:eastAsia="黑体"/>
          <w:spacing w:val="14"/>
          <w:w w:val="95"/>
          <w:sz w:val="32"/>
          <w:szCs w:val="32"/>
        </w:rPr>
        <w:t>动</w:t>
      </w:r>
      <w:r>
        <w:rPr>
          <w:rFonts w:ascii="黑体" w:eastAsia="黑体"/>
          <w:spacing w:val="12"/>
          <w:w w:val="95"/>
          <w:sz w:val="32"/>
          <w:szCs w:val="32"/>
        </w:rPr>
        <w:t>经常</w:t>
      </w:r>
      <w:r>
        <w:rPr>
          <w:rFonts w:ascii="黑体" w:eastAsia="黑体"/>
          <w:spacing w:val="5"/>
          <w:w w:val="95"/>
          <w:sz w:val="32"/>
          <w:szCs w:val="32"/>
        </w:rPr>
        <w:t>性开展</w:t>
      </w:r>
    </w:p>
    <w:p w14:paraId="1F4141E6">
      <w:pPr>
        <w:spacing w:before="166" w:line="340" w:lineRule="auto"/>
        <w:ind w:left="113" w:right="120" w:firstLine="664"/>
        <w:rPr>
          <w:sz w:val="32"/>
          <w:szCs w:val="32"/>
        </w:rPr>
      </w:pPr>
      <w:r>
        <w:rPr>
          <w:spacing w:val="9"/>
          <w:w w:val="99"/>
          <w:sz w:val="32"/>
          <w:szCs w:val="32"/>
        </w:rPr>
        <w:t>加大政府购买服务力度，加强基层公共文化服务，抓品牌活动，抓文化活动方式创新，结合我区实际挖掘培育基层特色</w:t>
      </w:r>
      <w:r>
        <w:rPr>
          <w:spacing w:val="-7"/>
          <w:w w:val="99"/>
          <w:sz w:val="32"/>
          <w:szCs w:val="32"/>
        </w:rPr>
        <w:t>文化品牌，树牢群众文化活动基础，持续开展好“文化金凤</w:t>
      </w:r>
      <w:r>
        <w:rPr>
          <w:spacing w:val="-70"/>
          <w:w w:val="99"/>
          <w:sz w:val="32"/>
          <w:szCs w:val="32"/>
        </w:rPr>
        <w:t>·</w:t>
      </w:r>
      <w:r>
        <w:rPr>
          <w:w w:val="99"/>
          <w:sz w:val="32"/>
          <w:szCs w:val="32"/>
        </w:rPr>
        <w:t>四</w:t>
      </w:r>
      <w:r>
        <w:rPr>
          <w:spacing w:val="11"/>
          <w:w w:val="99"/>
          <w:sz w:val="32"/>
          <w:szCs w:val="32"/>
        </w:rPr>
        <w:t>季欢歌”文化惠民演出，继续做好黄河合唱节、诗歌大会、乡</w:t>
      </w:r>
      <w:r>
        <w:rPr>
          <w:spacing w:val="-2"/>
          <w:w w:val="99"/>
          <w:sz w:val="32"/>
          <w:szCs w:val="32"/>
        </w:rPr>
        <w:t>村文化艺术节、文化旅游体育大拜年、全民读书节等系列活动，</w:t>
      </w:r>
      <w:r>
        <w:rPr>
          <w:spacing w:val="9"/>
          <w:w w:val="99"/>
          <w:sz w:val="32"/>
          <w:szCs w:val="32"/>
        </w:rPr>
        <w:t>依托重要时间节点，创新开展红歌大赛、非遗创意节等特色品</w:t>
      </w:r>
      <w:r>
        <w:rPr>
          <w:spacing w:val="11"/>
          <w:w w:val="99"/>
          <w:sz w:val="32"/>
          <w:szCs w:val="32"/>
        </w:rPr>
        <w:t xml:space="preserve">牌文化活动，重点打造广场、社区、农村、商圈、校园、景区 </w:t>
      </w:r>
      <w:r>
        <w:rPr>
          <w:spacing w:val="10"/>
          <w:w w:val="99"/>
          <w:sz w:val="32"/>
          <w:szCs w:val="32"/>
        </w:rPr>
        <w:t>“六类”文化品牌，构建“一街一品牌、一村一特色”的文化</w:t>
      </w:r>
      <w:r>
        <w:rPr>
          <w:spacing w:val="11"/>
          <w:w w:val="99"/>
          <w:sz w:val="32"/>
          <w:szCs w:val="32"/>
        </w:rPr>
        <w:t>品牌格局，更好地满足广大群众的基本文化需求。出台《金凤</w:t>
      </w:r>
    </w:p>
    <w:p w14:paraId="2589E1BC">
      <w:pPr>
        <w:spacing w:before="28" w:line="338" w:lineRule="auto"/>
        <w:ind w:left="113" w:right="285"/>
        <w:jc w:val="both"/>
        <w:rPr>
          <w:sz w:val="32"/>
          <w:szCs w:val="32"/>
        </w:rPr>
      </w:pPr>
      <w:r>
        <w:rPr>
          <w:spacing w:val="4"/>
          <w:w w:val="99"/>
          <w:sz w:val="32"/>
          <w:szCs w:val="32"/>
        </w:rPr>
        <w:t>区文艺精品创作扶持奖励办法》，争取政府专项资金用于文艺</w:t>
      </w:r>
      <w:r>
        <w:rPr>
          <w:spacing w:val="10"/>
          <w:w w:val="99"/>
          <w:sz w:val="32"/>
          <w:szCs w:val="32"/>
        </w:rPr>
        <w:t>精品创作，组织动员金凤区各艺术家协会、民间文艺团队以及</w:t>
      </w:r>
      <w:r>
        <w:rPr>
          <w:spacing w:val="9"/>
          <w:w w:val="99"/>
          <w:sz w:val="32"/>
          <w:szCs w:val="32"/>
        </w:rPr>
        <w:t>文艺爱好者潜心创作，繁荣精品文艺创作，进一步提升金凤区</w:t>
      </w:r>
      <w:r>
        <w:rPr>
          <w:spacing w:val="10"/>
          <w:w w:val="99"/>
          <w:sz w:val="32"/>
          <w:szCs w:val="32"/>
        </w:rPr>
        <w:t>文化软实力。</w:t>
      </w:r>
    </w:p>
    <w:p w14:paraId="35A5A038">
      <w:pPr>
        <w:spacing w:line="402" w:lineRule="exact"/>
        <w:ind w:left="778"/>
        <w:rPr>
          <w:rFonts w:ascii="黑体" w:eastAsia="黑体"/>
          <w:sz w:val="32"/>
          <w:szCs w:val="32"/>
        </w:rPr>
      </w:pPr>
      <w:r>
        <w:rPr>
          <w:rFonts w:ascii="黑体" w:eastAsia="黑体"/>
          <w:spacing w:val="12"/>
          <w:w w:val="95"/>
          <w:sz w:val="32"/>
          <w:szCs w:val="32"/>
        </w:rPr>
        <w:t>三、培育</w:t>
      </w:r>
      <w:r>
        <w:rPr>
          <w:rFonts w:ascii="黑体" w:eastAsia="黑体"/>
          <w:spacing w:val="14"/>
          <w:w w:val="95"/>
          <w:sz w:val="32"/>
          <w:szCs w:val="32"/>
        </w:rPr>
        <w:t>文</w:t>
      </w:r>
      <w:r>
        <w:rPr>
          <w:rFonts w:ascii="黑体" w:eastAsia="黑体"/>
          <w:spacing w:val="12"/>
          <w:w w:val="95"/>
          <w:sz w:val="32"/>
          <w:szCs w:val="32"/>
        </w:rPr>
        <w:t>化人</w:t>
      </w:r>
      <w:r>
        <w:rPr>
          <w:rFonts w:ascii="黑体" w:eastAsia="黑体"/>
          <w:spacing w:val="5"/>
          <w:w w:val="95"/>
          <w:sz w:val="32"/>
          <w:szCs w:val="32"/>
        </w:rPr>
        <w:t>才队伍</w:t>
      </w:r>
    </w:p>
    <w:p w14:paraId="2E0063A7">
      <w:pPr>
        <w:spacing w:before="166" w:line="338" w:lineRule="auto"/>
        <w:ind w:left="113" w:right="278" w:firstLine="664"/>
        <w:jc w:val="both"/>
        <w:rPr>
          <w:sz w:val="32"/>
          <w:szCs w:val="32"/>
        </w:rPr>
      </w:pPr>
      <w:r>
        <w:rPr>
          <w:spacing w:val="10"/>
          <w:w w:val="99"/>
          <w:sz w:val="32"/>
          <w:szCs w:val="32"/>
        </w:rPr>
        <w:t>充分发挥各艺术协会及民间文艺团队人才聚集优势，依托</w:t>
      </w:r>
      <w:r>
        <w:rPr>
          <w:spacing w:val="11"/>
          <w:w w:val="99"/>
          <w:sz w:val="32"/>
          <w:szCs w:val="32"/>
        </w:rPr>
        <w:t>金凤区文化馆、乡镇文化站、综合文化服务中心，加大对基层</w:t>
      </w:r>
      <w:r>
        <w:rPr>
          <w:spacing w:val="23"/>
          <w:w w:val="99"/>
          <w:sz w:val="32"/>
          <w:szCs w:val="32"/>
        </w:rPr>
        <w:t>文化专干和文艺骨干的培训指导，面向城乡青少年及老年群</w:t>
      </w:r>
      <w:r>
        <w:rPr>
          <w:spacing w:val="10"/>
          <w:w w:val="99"/>
          <w:sz w:val="32"/>
          <w:szCs w:val="32"/>
        </w:rPr>
        <w:t>体，开展舞蹈、绘画、器乐等公益性艺术培训。持续开展文化</w:t>
      </w:r>
      <w:r>
        <w:rPr>
          <w:spacing w:val="9"/>
          <w:w w:val="99"/>
          <w:sz w:val="32"/>
          <w:szCs w:val="32"/>
        </w:rPr>
        <w:t>指导员下基层、结对帮扶活动。指导各乡镇、街道积极挖掘本</w:t>
      </w:r>
      <w:r>
        <w:rPr>
          <w:spacing w:val="11"/>
          <w:w w:val="99"/>
          <w:sz w:val="32"/>
          <w:szCs w:val="32"/>
        </w:rPr>
        <w:t>土文化资源，以移风易俗、乡风文明、传统民俗为主要内容，</w:t>
      </w:r>
      <w:r>
        <w:rPr>
          <w:spacing w:val="12"/>
          <w:w w:val="99"/>
          <w:sz w:val="32"/>
          <w:szCs w:val="32"/>
        </w:rPr>
        <w:t>打造特色文化品牌项目，努力实现一乡镇（街道）</w:t>
      </w:r>
      <w:r>
        <w:rPr>
          <w:spacing w:val="9"/>
          <w:w w:val="99"/>
          <w:sz w:val="32"/>
          <w:szCs w:val="32"/>
        </w:rPr>
        <w:t>一特色文化</w:t>
      </w:r>
      <w:r>
        <w:rPr>
          <w:spacing w:val="12"/>
          <w:w w:val="99"/>
          <w:sz w:val="32"/>
          <w:szCs w:val="32"/>
        </w:rPr>
        <w:t>艺术团，一村（</w:t>
      </w:r>
      <w:r>
        <w:rPr>
          <w:spacing w:val="13"/>
          <w:w w:val="99"/>
          <w:sz w:val="32"/>
          <w:szCs w:val="32"/>
        </w:rPr>
        <w:t>社区</w:t>
      </w:r>
      <w:r>
        <w:rPr>
          <w:spacing w:val="12"/>
          <w:w w:val="99"/>
          <w:sz w:val="32"/>
          <w:szCs w:val="32"/>
        </w:rPr>
        <w:t>）</w:t>
      </w:r>
      <w:r>
        <w:rPr>
          <w:spacing w:val="11"/>
          <w:w w:val="99"/>
          <w:sz w:val="32"/>
          <w:szCs w:val="32"/>
        </w:rPr>
        <w:t>一支特色文化活动队、一个特色文化活动品牌，进一步丰富广大群众精神文化生活。</w:t>
      </w:r>
    </w:p>
    <w:p w14:paraId="5FFBD94E">
      <w:pPr>
        <w:spacing w:before="156"/>
        <w:ind w:left="2253" w:right="2422"/>
        <w:jc w:val="center"/>
        <w:outlineLvl w:val="1"/>
        <w:rPr>
          <w:rFonts w:ascii="宋体" w:hAnsi="宋体" w:eastAsia="宋体" w:cs="宋体"/>
          <w:b/>
          <w:bCs/>
          <w:sz w:val="32"/>
          <w:szCs w:val="32"/>
        </w:rPr>
      </w:pPr>
      <w:r>
        <w:rPr>
          <w:rFonts w:ascii="宋体" w:hAnsi="宋体" w:eastAsia="宋体" w:cs="宋体"/>
          <w:b/>
          <w:bCs/>
          <w:spacing w:val="14"/>
          <w:sz w:val="32"/>
          <w:szCs w:val="32"/>
        </w:rPr>
        <w:t>第三</w:t>
      </w:r>
      <w:r>
        <w:rPr>
          <w:rFonts w:ascii="宋体" w:hAnsi="宋体" w:eastAsia="宋体" w:cs="宋体"/>
          <w:b/>
          <w:bCs/>
          <w:spacing w:val="56"/>
          <w:sz w:val="32"/>
          <w:szCs w:val="32"/>
        </w:rPr>
        <w:t>节 加</w:t>
      </w:r>
      <w:r>
        <w:rPr>
          <w:rFonts w:ascii="宋体" w:hAnsi="宋体" w:eastAsia="宋体" w:cs="宋体"/>
          <w:b/>
          <w:bCs/>
          <w:spacing w:val="14"/>
          <w:sz w:val="32"/>
          <w:szCs w:val="32"/>
        </w:rPr>
        <w:t>强文</w:t>
      </w:r>
      <w:r>
        <w:rPr>
          <w:rFonts w:ascii="宋体" w:hAnsi="宋体" w:eastAsia="宋体" w:cs="宋体"/>
          <w:b/>
          <w:bCs/>
          <w:spacing w:val="12"/>
          <w:sz w:val="32"/>
          <w:szCs w:val="32"/>
        </w:rPr>
        <w:t>化</w:t>
      </w:r>
      <w:r>
        <w:rPr>
          <w:rFonts w:ascii="宋体" w:hAnsi="宋体" w:eastAsia="宋体" w:cs="宋体"/>
          <w:b/>
          <w:bCs/>
          <w:spacing w:val="14"/>
          <w:sz w:val="32"/>
          <w:szCs w:val="32"/>
        </w:rPr>
        <w:t>遗产保护利</w:t>
      </w:r>
      <w:r>
        <w:rPr>
          <w:rFonts w:ascii="宋体" w:hAnsi="宋体" w:eastAsia="宋体" w:cs="宋体"/>
          <w:b/>
          <w:bCs/>
          <w:spacing w:val="-10"/>
          <w:sz w:val="32"/>
          <w:szCs w:val="32"/>
        </w:rPr>
        <w:t>用</w:t>
      </w:r>
    </w:p>
    <w:p w14:paraId="5BCC64CB">
      <w:pPr>
        <w:rPr>
          <w:rFonts w:ascii="宋体"/>
          <w:b/>
          <w:sz w:val="24"/>
          <w:szCs w:val="32"/>
        </w:rPr>
      </w:pPr>
    </w:p>
    <w:p w14:paraId="4B43A952">
      <w:pPr>
        <w:ind w:left="778"/>
        <w:rPr>
          <w:rFonts w:ascii="黑体" w:eastAsia="黑体"/>
          <w:sz w:val="32"/>
          <w:szCs w:val="32"/>
        </w:rPr>
      </w:pPr>
      <w:r>
        <w:rPr>
          <w:rFonts w:ascii="黑体" w:eastAsia="黑体"/>
          <w:spacing w:val="12"/>
          <w:w w:val="95"/>
          <w:sz w:val="32"/>
          <w:szCs w:val="32"/>
        </w:rPr>
        <w:t>一、提升</w:t>
      </w:r>
      <w:r>
        <w:rPr>
          <w:rFonts w:ascii="黑体" w:eastAsia="黑体"/>
          <w:spacing w:val="14"/>
          <w:w w:val="95"/>
          <w:sz w:val="32"/>
          <w:szCs w:val="32"/>
        </w:rPr>
        <w:t>文</w:t>
      </w:r>
      <w:r>
        <w:rPr>
          <w:rFonts w:ascii="黑体" w:eastAsia="黑体"/>
          <w:spacing w:val="12"/>
          <w:w w:val="95"/>
          <w:sz w:val="32"/>
          <w:szCs w:val="32"/>
        </w:rPr>
        <w:t>物保</w:t>
      </w:r>
      <w:r>
        <w:rPr>
          <w:rFonts w:ascii="黑体" w:eastAsia="黑体"/>
          <w:spacing w:val="14"/>
          <w:w w:val="95"/>
          <w:sz w:val="32"/>
          <w:szCs w:val="32"/>
        </w:rPr>
        <w:t>护</w:t>
      </w:r>
      <w:r>
        <w:rPr>
          <w:rFonts w:ascii="黑体" w:eastAsia="黑体"/>
          <w:spacing w:val="12"/>
          <w:w w:val="95"/>
          <w:sz w:val="32"/>
          <w:szCs w:val="32"/>
        </w:rPr>
        <w:t>和利</w:t>
      </w:r>
      <w:r>
        <w:rPr>
          <w:rFonts w:ascii="黑体" w:eastAsia="黑体"/>
          <w:spacing w:val="5"/>
          <w:w w:val="95"/>
          <w:sz w:val="32"/>
          <w:szCs w:val="32"/>
        </w:rPr>
        <w:t>用水平</w:t>
      </w:r>
    </w:p>
    <w:p w14:paraId="7DC38601">
      <w:pPr>
        <w:spacing w:before="166" w:line="338" w:lineRule="auto"/>
        <w:ind w:left="113" w:right="283" w:firstLine="664"/>
        <w:jc w:val="both"/>
        <w:rPr>
          <w:sz w:val="32"/>
          <w:szCs w:val="32"/>
        </w:rPr>
      </w:pPr>
      <w:r>
        <w:rPr>
          <w:spacing w:val="10"/>
          <w:w w:val="99"/>
          <w:sz w:val="32"/>
          <w:szCs w:val="32"/>
        </w:rPr>
        <w:t>建立健全文物保护利用体制机制，统筹推进历史文化和自</w:t>
      </w:r>
      <w:r>
        <w:rPr>
          <w:spacing w:val="11"/>
          <w:w w:val="99"/>
          <w:sz w:val="32"/>
          <w:szCs w:val="32"/>
        </w:rPr>
        <w:t>然遗产地、革命遗址遗迹、历史文化名城名镇名村、街区、历</w:t>
      </w:r>
      <w:r>
        <w:rPr>
          <w:spacing w:val="10"/>
          <w:w w:val="99"/>
          <w:sz w:val="32"/>
          <w:szCs w:val="32"/>
        </w:rPr>
        <w:t>史建筑和文物单位保护工作，严厉打击破坏文物的各类违法犯</w:t>
      </w:r>
      <w:r>
        <w:rPr>
          <w:spacing w:val="9"/>
          <w:w w:val="99"/>
          <w:sz w:val="32"/>
          <w:szCs w:val="32"/>
        </w:rPr>
        <w:t>罪行为，创新文物安全群防群治模式，构建文物安全大防控体</w:t>
      </w:r>
      <w:r>
        <w:rPr>
          <w:spacing w:val="10"/>
          <w:w w:val="99"/>
          <w:sz w:val="32"/>
          <w:szCs w:val="32"/>
        </w:rPr>
        <w:t>系。完善博物馆、文物收藏单位的文物监测和保存环境，实施</w:t>
      </w:r>
      <w:r>
        <w:rPr>
          <w:spacing w:val="9"/>
          <w:w w:val="99"/>
          <w:sz w:val="32"/>
          <w:szCs w:val="32"/>
        </w:rPr>
        <w:t>馆藏文物修复计划，抢救修复濒危珍贵文物。全面加强革命文</w:t>
      </w:r>
      <w:r>
        <w:rPr>
          <w:spacing w:val="15"/>
          <w:w w:val="99"/>
          <w:sz w:val="32"/>
          <w:szCs w:val="32"/>
        </w:rPr>
        <w:t>物保护与利用，推进博物馆实施“互联网+中华文明”行动计</w:t>
      </w:r>
    </w:p>
    <w:p w14:paraId="58ADAE39">
      <w:pPr>
        <w:spacing w:line="338" w:lineRule="auto"/>
        <w:jc w:val="both"/>
        <w:sectPr>
          <w:footerReference r:id="rId39" w:type="default"/>
          <w:footerReference r:id="rId40" w:type="even"/>
          <w:pgSz w:w="11910" w:h="16840"/>
          <w:pgMar w:top="1800" w:right="1200" w:bottom="1160" w:left="1360" w:header="0" w:footer="975" w:gutter="0"/>
          <w:pgNumType w:start="133"/>
          <w:cols w:space="720" w:num="1"/>
        </w:sectPr>
      </w:pPr>
    </w:p>
    <w:p w14:paraId="71B8362F">
      <w:pPr>
        <w:spacing w:before="28"/>
        <w:ind w:left="113"/>
        <w:rPr>
          <w:sz w:val="32"/>
          <w:szCs w:val="32"/>
        </w:rPr>
      </w:pPr>
      <w:r>
        <w:rPr>
          <w:spacing w:val="12"/>
          <w:w w:val="95"/>
          <w:sz w:val="32"/>
          <w:szCs w:val="32"/>
        </w:rPr>
        <w:t>划，建立</w:t>
      </w:r>
      <w:r>
        <w:rPr>
          <w:spacing w:val="9"/>
          <w:w w:val="95"/>
          <w:sz w:val="32"/>
          <w:szCs w:val="32"/>
        </w:rPr>
        <w:t>“互联网+文物</w:t>
      </w:r>
      <w:r>
        <w:rPr>
          <w:spacing w:val="12"/>
          <w:w w:val="95"/>
          <w:sz w:val="32"/>
          <w:szCs w:val="32"/>
        </w:rPr>
        <w:t>教育</w:t>
      </w:r>
      <w:r>
        <w:rPr>
          <w:spacing w:val="13"/>
          <w:w w:val="95"/>
          <w:sz w:val="32"/>
          <w:szCs w:val="32"/>
        </w:rPr>
        <w:t>”线下</w:t>
      </w:r>
      <w:r>
        <w:rPr>
          <w:spacing w:val="12"/>
          <w:w w:val="95"/>
          <w:sz w:val="32"/>
          <w:szCs w:val="32"/>
        </w:rPr>
        <w:t>体验</w:t>
      </w:r>
      <w:r>
        <w:rPr>
          <w:spacing w:val="5"/>
          <w:w w:val="95"/>
          <w:sz w:val="32"/>
          <w:szCs w:val="32"/>
        </w:rPr>
        <w:t>中心。</w:t>
      </w:r>
    </w:p>
    <w:p w14:paraId="43039785">
      <w:pPr>
        <w:spacing w:before="154"/>
        <w:ind w:left="778"/>
        <w:rPr>
          <w:rFonts w:ascii="黑体" w:eastAsia="黑体"/>
          <w:sz w:val="32"/>
          <w:szCs w:val="32"/>
        </w:rPr>
      </w:pPr>
      <w:r>
        <w:rPr>
          <w:rFonts w:ascii="黑体" w:eastAsia="黑体"/>
          <w:spacing w:val="12"/>
          <w:w w:val="95"/>
          <w:sz w:val="32"/>
          <w:szCs w:val="32"/>
        </w:rPr>
        <w:t>二、提高</w:t>
      </w:r>
      <w:r>
        <w:rPr>
          <w:rFonts w:ascii="黑体" w:eastAsia="黑体"/>
          <w:spacing w:val="14"/>
          <w:w w:val="95"/>
          <w:sz w:val="32"/>
          <w:szCs w:val="32"/>
        </w:rPr>
        <w:t>非</w:t>
      </w:r>
      <w:r>
        <w:rPr>
          <w:rFonts w:ascii="黑体" w:eastAsia="黑体"/>
          <w:spacing w:val="12"/>
          <w:w w:val="95"/>
          <w:sz w:val="32"/>
          <w:szCs w:val="32"/>
        </w:rPr>
        <w:t>物质</w:t>
      </w:r>
      <w:r>
        <w:rPr>
          <w:rFonts w:ascii="黑体" w:eastAsia="黑体"/>
          <w:spacing w:val="14"/>
          <w:w w:val="95"/>
          <w:sz w:val="32"/>
          <w:szCs w:val="32"/>
        </w:rPr>
        <w:t>文</w:t>
      </w:r>
      <w:r>
        <w:rPr>
          <w:rFonts w:ascii="黑体" w:eastAsia="黑体"/>
          <w:spacing w:val="12"/>
          <w:w w:val="95"/>
          <w:sz w:val="32"/>
          <w:szCs w:val="32"/>
        </w:rPr>
        <w:t>化遗</w:t>
      </w:r>
      <w:r>
        <w:rPr>
          <w:rFonts w:ascii="黑体" w:eastAsia="黑体"/>
          <w:spacing w:val="14"/>
          <w:w w:val="95"/>
          <w:sz w:val="32"/>
          <w:szCs w:val="32"/>
        </w:rPr>
        <w:t>产</w:t>
      </w:r>
      <w:r>
        <w:rPr>
          <w:rFonts w:ascii="黑体" w:eastAsia="黑体"/>
          <w:spacing w:val="12"/>
          <w:w w:val="95"/>
          <w:sz w:val="32"/>
          <w:szCs w:val="32"/>
        </w:rPr>
        <w:t>保护</w:t>
      </w:r>
      <w:r>
        <w:rPr>
          <w:rFonts w:ascii="黑体" w:eastAsia="黑体"/>
          <w:spacing w:val="14"/>
          <w:w w:val="95"/>
          <w:sz w:val="32"/>
          <w:szCs w:val="32"/>
        </w:rPr>
        <w:t>传</w:t>
      </w:r>
      <w:r>
        <w:rPr>
          <w:rFonts w:ascii="黑体" w:eastAsia="黑体"/>
          <w:spacing w:val="12"/>
          <w:w w:val="95"/>
          <w:sz w:val="32"/>
          <w:szCs w:val="32"/>
        </w:rPr>
        <w:t>承水</w:t>
      </w:r>
      <w:r>
        <w:rPr>
          <w:rFonts w:ascii="黑体" w:eastAsia="黑体"/>
          <w:spacing w:val="-10"/>
          <w:w w:val="95"/>
          <w:sz w:val="32"/>
          <w:szCs w:val="32"/>
        </w:rPr>
        <w:t>平</w:t>
      </w:r>
    </w:p>
    <w:p w14:paraId="7BD89943">
      <w:pPr>
        <w:spacing w:before="166" w:line="338" w:lineRule="auto"/>
        <w:ind w:left="113" w:right="117" w:firstLine="664"/>
        <w:rPr>
          <w:sz w:val="32"/>
          <w:szCs w:val="32"/>
        </w:rPr>
      </w:pPr>
      <w:r>
        <w:rPr>
          <w:sz w:val="32"/>
          <w:szCs w:val="32"/>
        </w:rPr>
        <mc:AlternateContent>
          <mc:Choice Requires="wps">
            <w:drawing>
              <wp:anchor distT="0" distB="0" distL="114300" distR="114300" simplePos="0" relativeHeight="251708416" behindDoc="1" locked="0" layoutInCell="1" allowOverlap="1">
                <wp:simplePos x="0" y="0"/>
                <wp:positionH relativeFrom="page">
                  <wp:posOffset>932815</wp:posOffset>
                </wp:positionH>
                <wp:positionV relativeFrom="paragraph">
                  <wp:posOffset>2962910</wp:posOffset>
                </wp:positionV>
                <wp:extent cx="5694680" cy="811530"/>
                <wp:effectExtent l="0" t="0" r="0" b="0"/>
                <wp:wrapNone/>
                <wp:docPr id="19"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5694680" cy="811530"/>
                        </a:xfrm>
                        <a:prstGeom prst="rect">
                          <a:avLst/>
                        </a:prstGeom>
                        <a:noFill/>
                        <a:ln w="6096">
                          <a:solidFill>
                            <a:srgbClr val="000000"/>
                          </a:solidFill>
                          <a:prstDash val="solid"/>
                          <a:miter lim="800000"/>
                        </a:ln>
                      </wps:spPr>
                      <wps:txbx>
                        <w:txbxContent>
                          <w:p w14:paraId="6FDE78DB">
                            <w:pPr>
                              <w:spacing w:before="82"/>
                              <w:ind w:left="2495" w:right="2504"/>
                              <w:jc w:val="center"/>
                              <w:rPr>
                                <w:rFonts w:ascii="黑体" w:eastAsia="黑体"/>
                                <w:sz w:val="24"/>
                              </w:rPr>
                            </w:pPr>
                            <w:r>
                              <w:rPr>
                                <w:rFonts w:ascii="黑体" w:eastAsia="黑体"/>
                                <w:spacing w:val="-12"/>
                                <w:sz w:val="24"/>
                              </w:rPr>
                              <w:t xml:space="preserve">专栏 </w:t>
                            </w:r>
                            <w:r>
                              <w:rPr>
                                <w:rFonts w:ascii="黑体" w:eastAsia="黑体"/>
                                <w:sz w:val="24"/>
                              </w:rPr>
                              <w:t>9</w:t>
                            </w:r>
                            <w:r>
                              <w:rPr>
                                <w:rFonts w:ascii="黑体" w:eastAsia="黑体"/>
                                <w:spacing w:val="18"/>
                                <w:sz w:val="24"/>
                              </w:rPr>
                              <w:t xml:space="preserve"> 文化公共服务重点建设项目</w:t>
                            </w:r>
                          </w:p>
                          <w:p w14:paraId="44CF5083">
                            <w:pPr>
                              <w:spacing w:before="57" w:line="400" w:lineRule="atLeast"/>
                              <w:ind w:left="102" w:right="115" w:firstLine="444"/>
                              <w:rPr>
                                <w:rFonts w:ascii="宋体" w:eastAsia="宋体"/>
                                <w:sz w:val="21"/>
                              </w:rPr>
                            </w:pPr>
                            <w:r>
                              <w:rPr>
                                <w:rFonts w:ascii="宋体" w:eastAsia="宋体"/>
                                <w:spacing w:val="13"/>
                                <w:w w:val="99"/>
                                <w:sz w:val="21"/>
                              </w:rPr>
                              <w:t>金凤区基层文化阵地提升改造、金凤区老年大学及公共服务中心、银川市职工文化中</w:t>
                            </w:r>
                            <w:r>
                              <w:rPr>
                                <w:rFonts w:ascii="宋体" w:eastAsia="宋体"/>
                                <w:spacing w:val="11"/>
                                <w:w w:val="99"/>
                                <w:sz w:val="21"/>
                              </w:rPr>
                              <w:t>心</w:t>
                            </w:r>
                            <w:r>
                              <w:rPr>
                                <w:rFonts w:ascii="宋体" w:eastAsia="宋体"/>
                                <w:spacing w:val="14"/>
                                <w:w w:val="99"/>
                                <w:sz w:val="21"/>
                              </w:rPr>
                              <w:t>（</w:t>
                            </w:r>
                            <w:r>
                              <w:rPr>
                                <w:rFonts w:ascii="宋体" w:eastAsia="宋体"/>
                                <w:spacing w:val="11"/>
                                <w:w w:val="99"/>
                                <w:sz w:val="21"/>
                              </w:rPr>
                              <w:t>工人文化宫</w:t>
                            </w:r>
                            <w:r>
                              <w:rPr>
                                <w:rFonts w:ascii="宋体" w:eastAsia="宋体"/>
                                <w:spacing w:val="-99"/>
                                <w:w w:val="99"/>
                                <w:sz w:val="21"/>
                              </w:rPr>
                              <w:t>）</w:t>
                            </w:r>
                            <w:r>
                              <w:rPr>
                                <w:rFonts w:ascii="宋体" w:eastAsia="宋体"/>
                                <w:spacing w:val="11"/>
                                <w:w w:val="99"/>
                                <w:sz w:val="21"/>
                              </w:rPr>
                              <w:t>、自治区（</w:t>
                            </w:r>
                            <w:r>
                              <w:rPr>
                                <w:rFonts w:ascii="宋体" w:eastAsia="宋体"/>
                                <w:spacing w:val="12"/>
                                <w:w w:val="99"/>
                                <w:sz w:val="21"/>
                              </w:rPr>
                              <w:t>银川市</w:t>
                            </w:r>
                            <w:r>
                              <w:rPr>
                                <w:rFonts w:ascii="宋体" w:eastAsia="宋体"/>
                                <w:spacing w:val="11"/>
                                <w:w w:val="99"/>
                                <w:sz w:val="21"/>
                              </w:rPr>
                              <w:t>）</w:t>
                            </w:r>
                            <w:r>
                              <w:rPr>
                                <w:rFonts w:ascii="宋体" w:eastAsia="宋体"/>
                                <w:spacing w:val="10"/>
                                <w:w w:val="99"/>
                                <w:sz w:val="21"/>
                              </w:rPr>
                              <w:t>青少年活动中心等项目。</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3.45pt;margin-top:233.3pt;height:63.9pt;width:448.4pt;mso-position-horizontal-relative:page;z-index:-251608064;mso-width-relative:page;mso-height-relative:page;" filled="f" stroked="t" coordsize="21600,21600" o:gfxdata="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XOOL62AAAAAwBAAAPAAAAAAAAAAEAIAAAACIAAABk&#10;cnMvZG93bnJldi54bWxQSwECFAAUAAAACACHTuJAGjgrST8CAABpBAAADgAAAAAAAAABACAAAAAn&#10;AQAAZHJzL2Uyb0RvYy54bWxQSwUGAAAAAAYABgBZAQAA2AUAAAAA&#10;">
                <v:fill on="f" focussize="0,0"/>
                <v:stroke weight="0.48pt" color="#000000" miterlimit="8" joinstyle="miter"/>
                <v:imagedata o:title=""/>
                <o:lock v:ext="edit" aspectratio="f"/>
                <v:textbox inset="0mm,0mm,0mm,0mm">
                  <w:txbxContent>
                    <w:p w14:paraId="6FDE78DB">
                      <w:pPr>
                        <w:spacing w:before="82"/>
                        <w:ind w:left="2495" w:right="2504"/>
                        <w:jc w:val="center"/>
                        <w:rPr>
                          <w:rFonts w:ascii="黑体" w:eastAsia="黑体"/>
                          <w:sz w:val="24"/>
                        </w:rPr>
                      </w:pPr>
                      <w:r>
                        <w:rPr>
                          <w:rFonts w:ascii="黑体" w:eastAsia="黑体"/>
                          <w:spacing w:val="-12"/>
                          <w:sz w:val="24"/>
                        </w:rPr>
                        <w:t xml:space="preserve">专栏 </w:t>
                      </w:r>
                      <w:r>
                        <w:rPr>
                          <w:rFonts w:ascii="黑体" w:eastAsia="黑体"/>
                          <w:sz w:val="24"/>
                        </w:rPr>
                        <w:t>9</w:t>
                      </w:r>
                      <w:r>
                        <w:rPr>
                          <w:rFonts w:ascii="黑体" w:eastAsia="黑体"/>
                          <w:spacing w:val="18"/>
                          <w:sz w:val="24"/>
                        </w:rPr>
                        <w:t xml:space="preserve"> 文化公共服务重点建设项目</w:t>
                      </w:r>
                    </w:p>
                    <w:p w14:paraId="44CF5083">
                      <w:pPr>
                        <w:spacing w:before="57" w:line="400" w:lineRule="atLeast"/>
                        <w:ind w:left="102" w:right="115" w:firstLine="444"/>
                        <w:rPr>
                          <w:rFonts w:ascii="宋体" w:eastAsia="宋体"/>
                          <w:sz w:val="21"/>
                        </w:rPr>
                      </w:pPr>
                      <w:r>
                        <w:rPr>
                          <w:rFonts w:ascii="宋体" w:eastAsia="宋体"/>
                          <w:spacing w:val="13"/>
                          <w:w w:val="99"/>
                          <w:sz w:val="21"/>
                        </w:rPr>
                        <w:t>金凤区基层文化阵地提升改造、金凤区老年大学及公共服务中心、银川市职工文化中</w:t>
                      </w:r>
                      <w:r>
                        <w:rPr>
                          <w:rFonts w:ascii="宋体" w:eastAsia="宋体"/>
                          <w:spacing w:val="11"/>
                          <w:w w:val="99"/>
                          <w:sz w:val="21"/>
                        </w:rPr>
                        <w:t>心</w:t>
                      </w:r>
                      <w:r>
                        <w:rPr>
                          <w:rFonts w:ascii="宋体" w:eastAsia="宋体"/>
                          <w:spacing w:val="14"/>
                          <w:w w:val="99"/>
                          <w:sz w:val="21"/>
                        </w:rPr>
                        <w:t>（</w:t>
                      </w:r>
                      <w:r>
                        <w:rPr>
                          <w:rFonts w:ascii="宋体" w:eastAsia="宋体"/>
                          <w:spacing w:val="11"/>
                          <w:w w:val="99"/>
                          <w:sz w:val="21"/>
                        </w:rPr>
                        <w:t>工人文化宫</w:t>
                      </w:r>
                      <w:r>
                        <w:rPr>
                          <w:rFonts w:ascii="宋体" w:eastAsia="宋体"/>
                          <w:spacing w:val="-99"/>
                          <w:w w:val="99"/>
                          <w:sz w:val="21"/>
                        </w:rPr>
                        <w:t>）</w:t>
                      </w:r>
                      <w:r>
                        <w:rPr>
                          <w:rFonts w:ascii="宋体" w:eastAsia="宋体"/>
                          <w:spacing w:val="11"/>
                          <w:w w:val="99"/>
                          <w:sz w:val="21"/>
                        </w:rPr>
                        <w:t>、自治区（</w:t>
                      </w:r>
                      <w:r>
                        <w:rPr>
                          <w:rFonts w:ascii="宋体" w:eastAsia="宋体"/>
                          <w:spacing w:val="12"/>
                          <w:w w:val="99"/>
                          <w:sz w:val="21"/>
                        </w:rPr>
                        <w:t>银川市</w:t>
                      </w:r>
                      <w:r>
                        <w:rPr>
                          <w:rFonts w:ascii="宋体" w:eastAsia="宋体"/>
                          <w:spacing w:val="11"/>
                          <w:w w:val="99"/>
                          <w:sz w:val="21"/>
                        </w:rPr>
                        <w:t>）</w:t>
                      </w:r>
                      <w:r>
                        <w:rPr>
                          <w:rFonts w:ascii="宋体" w:eastAsia="宋体"/>
                          <w:spacing w:val="10"/>
                          <w:w w:val="99"/>
                          <w:sz w:val="21"/>
                        </w:rPr>
                        <w:t>青少年活动中心等项目。</w:t>
                      </w:r>
                    </w:p>
                  </w:txbxContent>
                </v:textbox>
              </v:shape>
            </w:pict>
          </mc:Fallback>
        </mc:AlternateContent>
      </w:r>
      <w:r>
        <w:rPr>
          <w:spacing w:val="19"/>
          <w:sz w:val="32"/>
          <w:szCs w:val="32"/>
        </w:rPr>
        <w:t>挖掘、整理非遗项目，拓</w:t>
      </w:r>
      <w:r>
        <w:rPr>
          <w:spacing w:val="6"/>
          <w:sz w:val="32"/>
          <w:szCs w:val="32"/>
        </w:rPr>
        <w:t>展 “</w:t>
      </w:r>
      <w:r>
        <w:rPr>
          <w:spacing w:val="19"/>
          <w:sz w:val="32"/>
          <w:szCs w:val="32"/>
        </w:rPr>
        <w:t>新华联非遗研学基地</w:t>
      </w:r>
      <w:r>
        <w:rPr>
          <w:spacing w:val="9"/>
          <w:sz w:val="32"/>
          <w:szCs w:val="32"/>
        </w:rPr>
        <w:t>”功</w:t>
      </w:r>
      <w:r>
        <w:rPr>
          <w:spacing w:val="12"/>
          <w:sz w:val="32"/>
          <w:szCs w:val="32"/>
        </w:rPr>
        <w:t>能，完善非物质文化遗产档案资料数据库</w:t>
      </w:r>
      <w:r>
        <w:rPr>
          <w:spacing w:val="7"/>
          <w:sz w:val="32"/>
          <w:szCs w:val="32"/>
        </w:rPr>
        <w:t>，建立</w:t>
      </w:r>
      <w:r>
        <w:rPr>
          <w:spacing w:val="12"/>
          <w:sz w:val="32"/>
          <w:szCs w:val="32"/>
        </w:rPr>
        <w:t>健全非物质</w:t>
      </w:r>
      <w:r>
        <w:rPr>
          <w:sz w:val="32"/>
          <w:szCs w:val="32"/>
        </w:rPr>
        <w:t>文</w:t>
      </w:r>
      <w:r>
        <w:rPr>
          <w:spacing w:val="12"/>
          <w:w w:val="95"/>
          <w:sz w:val="32"/>
          <w:szCs w:val="32"/>
        </w:rPr>
        <w:t>化遗产代</w:t>
      </w:r>
      <w:r>
        <w:rPr>
          <w:spacing w:val="9"/>
          <w:w w:val="95"/>
          <w:sz w:val="32"/>
          <w:szCs w:val="32"/>
        </w:rPr>
        <w:t>表性项目、传承</w:t>
      </w:r>
      <w:r>
        <w:rPr>
          <w:spacing w:val="12"/>
          <w:w w:val="95"/>
          <w:sz w:val="32"/>
          <w:szCs w:val="32"/>
        </w:rPr>
        <w:t>人和</w:t>
      </w:r>
      <w:r>
        <w:rPr>
          <w:spacing w:val="9"/>
          <w:w w:val="95"/>
          <w:sz w:val="32"/>
          <w:szCs w:val="32"/>
        </w:rPr>
        <w:t>传承基地“</w:t>
      </w:r>
      <w:r>
        <w:rPr>
          <w:spacing w:val="12"/>
          <w:w w:val="95"/>
          <w:sz w:val="32"/>
          <w:szCs w:val="32"/>
        </w:rPr>
        <w:t>三位一体</w:t>
      </w:r>
      <w:r>
        <w:rPr>
          <w:spacing w:val="8"/>
          <w:w w:val="95"/>
          <w:sz w:val="32"/>
          <w:szCs w:val="32"/>
        </w:rPr>
        <w:t>”保护</w:t>
      </w:r>
      <w:r>
        <w:rPr>
          <w:spacing w:val="12"/>
          <w:w w:val="95"/>
          <w:sz w:val="32"/>
          <w:szCs w:val="32"/>
        </w:rPr>
        <w:t>体系</w:t>
      </w:r>
      <w:r>
        <w:rPr>
          <w:w w:val="95"/>
          <w:sz w:val="32"/>
          <w:szCs w:val="32"/>
        </w:rPr>
        <w:t>。</w:t>
      </w:r>
      <w:r>
        <w:rPr>
          <w:spacing w:val="12"/>
          <w:sz w:val="32"/>
          <w:szCs w:val="32"/>
        </w:rPr>
        <w:t>继续推进传统文化进校园、进景区、进商圈、进社区等</w:t>
      </w:r>
      <w:r>
        <w:rPr>
          <w:spacing w:val="3"/>
          <w:sz w:val="32"/>
          <w:szCs w:val="32"/>
        </w:rPr>
        <w:t>，依托</w:t>
      </w:r>
      <w:r>
        <w:rPr>
          <w:spacing w:val="12"/>
          <w:w w:val="95"/>
          <w:sz w:val="32"/>
          <w:szCs w:val="32"/>
        </w:rPr>
        <w:t>非遗传承体验室</w:t>
      </w:r>
      <w:r>
        <w:rPr>
          <w:spacing w:val="7"/>
          <w:w w:val="95"/>
          <w:sz w:val="32"/>
          <w:szCs w:val="32"/>
        </w:rPr>
        <w:t>，大力</w:t>
      </w:r>
      <w:r>
        <w:rPr>
          <w:spacing w:val="12"/>
          <w:w w:val="95"/>
          <w:sz w:val="32"/>
          <w:szCs w:val="32"/>
        </w:rPr>
        <w:t>开展</w:t>
      </w:r>
      <w:r>
        <w:rPr>
          <w:spacing w:val="8"/>
          <w:w w:val="95"/>
          <w:sz w:val="32"/>
          <w:szCs w:val="32"/>
        </w:rPr>
        <w:t>剪纸、</w:t>
      </w:r>
      <w:r>
        <w:rPr>
          <w:spacing w:val="12"/>
          <w:w w:val="95"/>
          <w:sz w:val="32"/>
          <w:szCs w:val="32"/>
        </w:rPr>
        <w:t>麻编</w:t>
      </w:r>
      <w:r>
        <w:rPr>
          <w:spacing w:val="8"/>
          <w:w w:val="95"/>
          <w:sz w:val="32"/>
          <w:szCs w:val="32"/>
        </w:rPr>
        <w:t>、刺绣</w:t>
      </w:r>
      <w:r>
        <w:rPr>
          <w:spacing w:val="12"/>
          <w:w w:val="95"/>
          <w:sz w:val="32"/>
          <w:szCs w:val="32"/>
        </w:rPr>
        <w:t>等非遗项目培训</w:t>
      </w:r>
      <w:r>
        <w:rPr>
          <w:w w:val="95"/>
          <w:sz w:val="32"/>
          <w:szCs w:val="32"/>
        </w:rPr>
        <w:t>，</w:t>
      </w:r>
      <w:r>
        <w:rPr>
          <w:spacing w:val="12"/>
          <w:sz w:val="32"/>
          <w:szCs w:val="32"/>
        </w:rPr>
        <w:t>继续举办非遗创</w:t>
      </w:r>
      <w:r>
        <w:rPr>
          <w:spacing w:val="8"/>
          <w:sz w:val="32"/>
          <w:szCs w:val="32"/>
        </w:rPr>
        <w:t>意节、文化</w:t>
      </w:r>
      <w:r>
        <w:rPr>
          <w:spacing w:val="12"/>
          <w:sz w:val="32"/>
          <w:szCs w:val="32"/>
        </w:rPr>
        <w:t>和自然遗产日等活</w:t>
      </w:r>
      <w:r>
        <w:rPr>
          <w:spacing w:val="9"/>
          <w:sz w:val="32"/>
          <w:szCs w:val="32"/>
        </w:rPr>
        <w:t>动，激发</w:t>
      </w:r>
      <w:r>
        <w:rPr>
          <w:spacing w:val="12"/>
          <w:sz w:val="32"/>
          <w:szCs w:val="32"/>
        </w:rPr>
        <w:t>非遗</w:t>
      </w:r>
      <w:r>
        <w:rPr>
          <w:sz w:val="32"/>
          <w:szCs w:val="32"/>
        </w:rPr>
        <w:t>传</w:t>
      </w:r>
      <w:r>
        <w:rPr>
          <w:spacing w:val="8"/>
          <w:sz w:val="32"/>
          <w:szCs w:val="32"/>
        </w:rPr>
        <w:t>承人、文化</w:t>
      </w:r>
      <w:r>
        <w:rPr>
          <w:spacing w:val="12"/>
          <w:sz w:val="32"/>
          <w:szCs w:val="32"/>
        </w:rPr>
        <w:t>企业进行文创产品研发与制作的</w:t>
      </w:r>
      <w:r>
        <w:rPr>
          <w:spacing w:val="9"/>
          <w:sz w:val="32"/>
          <w:szCs w:val="32"/>
        </w:rPr>
        <w:t>热情，使非</w:t>
      </w:r>
      <w:r>
        <w:rPr>
          <w:spacing w:val="12"/>
          <w:sz w:val="32"/>
          <w:szCs w:val="32"/>
        </w:rPr>
        <w:t>遗项</w:t>
      </w:r>
      <w:r>
        <w:rPr>
          <w:sz w:val="32"/>
          <w:szCs w:val="32"/>
        </w:rPr>
        <w:t>目</w:t>
      </w:r>
      <w:r>
        <w:rPr>
          <w:spacing w:val="10"/>
          <w:sz w:val="32"/>
          <w:szCs w:val="32"/>
        </w:rPr>
        <w:t>走上产业化发展</w:t>
      </w:r>
      <w:r>
        <w:rPr>
          <w:spacing w:val="6"/>
          <w:sz w:val="32"/>
          <w:szCs w:val="32"/>
        </w:rPr>
        <w:t>之路。</w:t>
      </w:r>
    </w:p>
    <w:p w14:paraId="7D9DE637">
      <w:pPr>
        <w:spacing w:line="338" w:lineRule="auto"/>
        <w:sectPr>
          <w:pgSz w:w="11910" w:h="16840"/>
          <w:pgMar w:top="1800" w:right="1200" w:bottom="1160" w:left="1360" w:header="0" w:footer="975" w:gutter="0"/>
          <w:cols w:space="720" w:num="1"/>
        </w:sectPr>
      </w:pPr>
    </w:p>
    <w:p w14:paraId="29EA95DD">
      <w:pPr>
        <w:tabs>
          <w:tab w:val="left" w:pos="1439"/>
        </w:tabs>
        <w:spacing w:line="615" w:lineRule="exact"/>
        <w:ind w:right="161"/>
        <w:jc w:val="center"/>
        <w:outlineLvl w:val="0"/>
        <w:rPr>
          <w:rFonts w:ascii="方正小标宋简体" w:hAnsi="方正小标宋简体" w:eastAsia="方正小标宋简体" w:cs="方正小标宋简体"/>
          <w:sz w:val="36"/>
          <w:szCs w:val="36"/>
        </w:rPr>
      </w:pPr>
      <w:r>
        <w:rPr>
          <w:rFonts w:ascii="方正小标宋简体" w:hAnsi="方正小标宋简体" w:eastAsia="方正小标宋简体" w:cs="方正小标宋简体"/>
          <w:sz w:val="36"/>
          <w:szCs w:val="36"/>
        </w:rPr>
        <w:t>第八</w:t>
      </w:r>
      <w:r>
        <w:rPr>
          <w:rFonts w:ascii="方正小标宋简体" w:hAnsi="方正小标宋简体" w:eastAsia="方正小标宋简体" w:cs="方正小标宋简体"/>
          <w:spacing w:val="-10"/>
          <w:sz w:val="36"/>
          <w:szCs w:val="36"/>
        </w:rPr>
        <w:t>篇</w:t>
      </w:r>
      <w:r>
        <w:rPr>
          <w:rFonts w:ascii="方正小标宋简体" w:hAnsi="方正小标宋简体" w:eastAsia="方正小标宋简体" w:cs="方正小标宋简体"/>
          <w:sz w:val="36"/>
          <w:szCs w:val="36"/>
        </w:rPr>
        <w:tab/>
      </w:r>
      <w:r>
        <w:rPr>
          <w:rFonts w:ascii="方正小标宋简体" w:hAnsi="方正小标宋简体" w:eastAsia="方正小标宋简体" w:cs="方正小标宋简体"/>
          <w:sz w:val="36"/>
          <w:szCs w:val="36"/>
        </w:rPr>
        <w:t>创新社会治理，建设治理现代化城</w:t>
      </w:r>
      <w:r>
        <w:rPr>
          <w:rFonts w:ascii="方正小标宋简体" w:hAnsi="方正小标宋简体" w:eastAsia="方正小标宋简体" w:cs="方正小标宋简体"/>
          <w:spacing w:val="-10"/>
          <w:sz w:val="36"/>
          <w:szCs w:val="36"/>
        </w:rPr>
        <w:t>区</w:t>
      </w:r>
    </w:p>
    <w:p w14:paraId="2784105C">
      <w:pPr>
        <w:tabs>
          <w:tab w:val="left" w:pos="2477"/>
        </w:tabs>
        <w:spacing w:before="147"/>
        <w:ind w:left="678"/>
        <w:jc w:val="center"/>
        <w:rPr>
          <w:rFonts w:ascii="宋体" w:eastAsia="宋体"/>
          <w:sz w:val="36"/>
        </w:rPr>
      </w:pPr>
      <w:r>
        <w:rPr>
          <w:rFonts w:ascii="宋体" w:eastAsia="宋体"/>
          <w:sz w:val="36"/>
        </w:rPr>
        <w:t>第十五</w:t>
      </w:r>
      <w:r>
        <w:rPr>
          <w:rFonts w:ascii="宋体" w:eastAsia="宋体"/>
          <w:spacing w:val="-10"/>
          <w:sz w:val="36"/>
        </w:rPr>
        <w:t>章</w:t>
      </w:r>
      <w:r>
        <w:rPr>
          <w:rFonts w:ascii="宋体" w:eastAsia="宋体"/>
          <w:sz w:val="36"/>
        </w:rPr>
        <w:tab/>
      </w:r>
      <w:r>
        <w:rPr>
          <w:rFonts w:ascii="宋体" w:eastAsia="宋体"/>
          <w:sz w:val="36"/>
        </w:rPr>
        <w:t>推进治理体系和治理能力现代</w:t>
      </w:r>
      <w:r>
        <w:rPr>
          <w:rFonts w:ascii="宋体" w:eastAsia="宋体"/>
          <w:spacing w:val="-10"/>
          <w:sz w:val="36"/>
        </w:rPr>
        <w:t>化</w:t>
      </w:r>
    </w:p>
    <w:p w14:paraId="1074616E">
      <w:pPr>
        <w:spacing w:before="313" w:line="338" w:lineRule="auto"/>
        <w:ind w:left="113" w:right="283" w:firstLine="664"/>
        <w:rPr>
          <w:sz w:val="32"/>
          <w:szCs w:val="32"/>
        </w:rPr>
      </w:pPr>
      <w:r>
        <w:rPr>
          <w:spacing w:val="11"/>
          <w:w w:val="99"/>
          <w:sz w:val="32"/>
          <w:szCs w:val="32"/>
        </w:rPr>
        <w:t xml:space="preserve">全面提升金凤区社会治理现代化工作水平，完善党委领 </w:t>
      </w:r>
      <w:r>
        <w:rPr>
          <w:spacing w:val="10"/>
          <w:w w:val="99"/>
          <w:sz w:val="32"/>
          <w:szCs w:val="32"/>
        </w:rPr>
        <w:t>导、政府负责、群团助推、社会协同、人民群众广泛参与的工</w:t>
      </w:r>
      <w:r>
        <w:rPr>
          <w:spacing w:val="11"/>
          <w:w w:val="99"/>
          <w:sz w:val="32"/>
          <w:szCs w:val="32"/>
        </w:rPr>
        <w:t>作体制，充分发挥政治、法治、德治、自治、智治作用，防范</w:t>
      </w:r>
      <w:r>
        <w:rPr>
          <w:spacing w:val="9"/>
          <w:w w:val="99"/>
          <w:sz w:val="32"/>
          <w:szCs w:val="32"/>
        </w:rPr>
        <w:t>化解政治安全风险、社会治安风险、重大矛盾纠纷、公共安全</w:t>
      </w:r>
      <w:r>
        <w:rPr>
          <w:spacing w:val="-8"/>
          <w:w w:val="99"/>
          <w:sz w:val="32"/>
          <w:szCs w:val="32"/>
        </w:rPr>
        <w:t>风险、网络安全风险，建设更高水平的“平安金凤”。依托“大</w:t>
      </w:r>
      <w:r>
        <w:rPr>
          <w:spacing w:val="9"/>
          <w:w w:val="99"/>
          <w:sz w:val="32"/>
          <w:szCs w:val="32"/>
        </w:rPr>
        <w:t>数据+网格化”方式深入到社会治理的毛细血管，实现城市治</w:t>
      </w:r>
      <w:r>
        <w:rPr>
          <w:spacing w:val="10"/>
          <w:w w:val="99"/>
          <w:sz w:val="32"/>
          <w:szCs w:val="32"/>
        </w:rPr>
        <w:t>理的数据融合度、服务颗粒度及统筹协调能力现代化，将金凤</w:t>
      </w:r>
      <w:r>
        <w:rPr>
          <w:spacing w:val="11"/>
          <w:w w:val="99"/>
          <w:sz w:val="32"/>
          <w:szCs w:val="32"/>
        </w:rPr>
        <w:t>区打造成为自治区现代综合治理样板。</w:t>
      </w:r>
    </w:p>
    <w:p w14:paraId="5BCA81CA">
      <w:pPr>
        <w:spacing w:before="154"/>
        <w:ind w:right="172"/>
        <w:jc w:val="center"/>
        <w:outlineLvl w:val="1"/>
        <w:rPr>
          <w:rFonts w:ascii="宋体" w:hAnsi="宋体" w:eastAsia="宋体" w:cs="宋体"/>
          <w:b/>
          <w:bCs/>
          <w:sz w:val="32"/>
          <w:szCs w:val="32"/>
        </w:rPr>
      </w:pPr>
      <w:r>
        <w:rPr>
          <w:rFonts w:ascii="宋体" w:hAnsi="宋体" w:eastAsia="宋体" w:cs="宋体"/>
          <w:b/>
          <w:bCs/>
          <w:spacing w:val="14"/>
          <w:sz w:val="32"/>
          <w:szCs w:val="32"/>
        </w:rPr>
        <w:t>第一</w:t>
      </w:r>
      <w:r>
        <w:rPr>
          <w:rFonts w:ascii="宋体" w:hAnsi="宋体" w:eastAsia="宋体" w:cs="宋体"/>
          <w:b/>
          <w:bCs/>
          <w:spacing w:val="53"/>
          <w:sz w:val="32"/>
          <w:szCs w:val="32"/>
        </w:rPr>
        <w:t>节 构</w:t>
      </w:r>
      <w:r>
        <w:rPr>
          <w:rFonts w:ascii="宋体" w:hAnsi="宋体" w:eastAsia="宋体" w:cs="宋体"/>
          <w:b/>
          <w:bCs/>
          <w:spacing w:val="14"/>
          <w:sz w:val="32"/>
          <w:szCs w:val="32"/>
        </w:rPr>
        <w:t>建多</w:t>
      </w:r>
      <w:r>
        <w:rPr>
          <w:rFonts w:ascii="宋体" w:hAnsi="宋体" w:eastAsia="宋体" w:cs="宋体"/>
          <w:b/>
          <w:bCs/>
          <w:spacing w:val="12"/>
          <w:sz w:val="32"/>
          <w:szCs w:val="32"/>
        </w:rPr>
        <w:t>元</w:t>
      </w:r>
      <w:r>
        <w:rPr>
          <w:rFonts w:ascii="宋体" w:hAnsi="宋体" w:eastAsia="宋体" w:cs="宋体"/>
          <w:b/>
          <w:bCs/>
          <w:spacing w:val="14"/>
          <w:sz w:val="32"/>
          <w:szCs w:val="32"/>
        </w:rPr>
        <w:t>一体基层治理</w:t>
      </w:r>
      <w:r>
        <w:rPr>
          <w:rFonts w:ascii="宋体" w:hAnsi="宋体" w:eastAsia="宋体" w:cs="宋体"/>
          <w:b/>
          <w:bCs/>
          <w:spacing w:val="1"/>
          <w:sz w:val="32"/>
          <w:szCs w:val="32"/>
        </w:rPr>
        <w:t>模式</w:t>
      </w:r>
    </w:p>
    <w:p w14:paraId="02E21181">
      <w:pPr>
        <w:spacing w:before="12"/>
        <w:rPr>
          <w:rFonts w:ascii="宋体"/>
          <w:b/>
          <w:sz w:val="23"/>
          <w:szCs w:val="32"/>
        </w:rPr>
      </w:pPr>
    </w:p>
    <w:p w14:paraId="35C643A7">
      <w:pPr>
        <w:ind w:left="778"/>
        <w:rPr>
          <w:rFonts w:ascii="黑体" w:eastAsia="黑体"/>
          <w:sz w:val="32"/>
          <w:szCs w:val="32"/>
        </w:rPr>
      </w:pPr>
      <w:r>
        <w:rPr>
          <w:rFonts w:ascii="黑体" w:eastAsia="黑体"/>
          <w:spacing w:val="12"/>
          <w:w w:val="95"/>
          <w:sz w:val="32"/>
          <w:szCs w:val="32"/>
        </w:rPr>
        <w:t>一、持续</w:t>
      </w:r>
      <w:r>
        <w:rPr>
          <w:rFonts w:ascii="黑体" w:eastAsia="黑体"/>
          <w:spacing w:val="14"/>
          <w:w w:val="95"/>
          <w:sz w:val="32"/>
          <w:szCs w:val="32"/>
        </w:rPr>
        <w:t>提</w:t>
      </w:r>
      <w:r>
        <w:rPr>
          <w:rFonts w:ascii="黑体" w:eastAsia="黑体"/>
          <w:spacing w:val="12"/>
          <w:w w:val="95"/>
          <w:sz w:val="32"/>
          <w:szCs w:val="32"/>
        </w:rPr>
        <w:t>升基</w:t>
      </w:r>
      <w:r>
        <w:rPr>
          <w:rFonts w:ascii="黑体" w:eastAsia="黑体"/>
          <w:spacing w:val="14"/>
          <w:w w:val="95"/>
          <w:sz w:val="32"/>
          <w:szCs w:val="32"/>
        </w:rPr>
        <w:t>层</w:t>
      </w:r>
      <w:r>
        <w:rPr>
          <w:rFonts w:ascii="黑体" w:eastAsia="黑体"/>
          <w:spacing w:val="12"/>
          <w:w w:val="95"/>
          <w:sz w:val="32"/>
          <w:szCs w:val="32"/>
        </w:rPr>
        <w:t>党建</w:t>
      </w:r>
      <w:r>
        <w:rPr>
          <w:rFonts w:ascii="黑体" w:eastAsia="黑体"/>
          <w:spacing w:val="2"/>
          <w:w w:val="95"/>
          <w:sz w:val="32"/>
          <w:szCs w:val="32"/>
        </w:rPr>
        <w:t>水平</w:t>
      </w:r>
    </w:p>
    <w:p w14:paraId="121E2395">
      <w:pPr>
        <w:spacing w:before="166" w:line="338" w:lineRule="auto"/>
        <w:ind w:left="113" w:right="117" w:firstLine="664"/>
        <w:rPr>
          <w:sz w:val="32"/>
          <w:szCs w:val="32"/>
        </w:rPr>
      </w:pPr>
      <w:r>
        <w:rPr>
          <w:spacing w:val="12"/>
          <w:sz w:val="32"/>
          <w:szCs w:val="32"/>
        </w:rPr>
        <w:t>全面增强基层党组织政治功能和组织力</w:t>
      </w:r>
      <w:r>
        <w:rPr>
          <w:spacing w:val="7"/>
          <w:sz w:val="32"/>
          <w:szCs w:val="32"/>
        </w:rPr>
        <w:t>，加强</w:t>
      </w:r>
      <w:r>
        <w:rPr>
          <w:spacing w:val="12"/>
          <w:sz w:val="32"/>
          <w:szCs w:val="32"/>
        </w:rPr>
        <w:t>党支</w:t>
      </w:r>
      <w:r>
        <w:rPr>
          <w:spacing w:val="8"/>
          <w:sz w:val="32"/>
          <w:szCs w:val="32"/>
        </w:rPr>
        <w:t>部规范</w:t>
      </w:r>
      <w:r>
        <w:rPr>
          <w:spacing w:val="12"/>
          <w:sz w:val="32"/>
          <w:szCs w:val="32"/>
        </w:rPr>
        <w:t>化、标准</w:t>
      </w:r>
      <w:r>
        <w:rPr>
          <w:spacing w:val="8"/>
          <w:sz w:val="32"/>
          <w:szCs w:val="32"/>
        </w:rPr>
        <w:t>化建设，提升</w:t>
      </w:r>
      <w:r>
        <w:rPr>
          <w:spacing w:val="12"/>
          <w:sz w:val="32"/>
          <w:szCs w:val="32"/>
        </w:rPr>
        <w:t>党员队伍素</w:t>
      </w:r>
      <w:r>
        <w:rPr>
          <w:spacing w:val="9"/>
          <w:sz w:val="32"/>
          <w:szCs w:val="32"/>
        </w:rPr>
        <w:t>质，把基</w:t>
      </w:r>
      <w:r>
        <w:rPr>
          <w:spacing w:val="12"/>
          <w:sz w:val="32"/>
          <w:szCs w:val="32"/>
        </w:rPr>
        <w:t>层党组织建</w:t>
      </w:r>
      <w:r>
        <w:rPr>
          <w:spacing w:val="8"/>
          <w:sz w:val="32"/>
          <w:szCs w:val="32"/>
        </w:rPr>
        <w:t>设成为</w:t>
      </w:r>
      <w:r>
        <w:rPr>
          <w:spacing w:val="12"/>
          <w:w w:val="95"/>
          <w:sz w:val="32"/>
          <w:szCs w:val="32"/>
        </w:rPr>
        <w:t>宣传党的</w:t>
      </w:r>
      <w:r>
        <w:rPr>
          <w:spacing w:val="8"/>
          <w:w w:val="95"/>
          <w:sz w:val="32"/>
          <w:szCs w:val="32"/>
        </w:rPr>
        <w:t>主张、贯彻</w:t>
      </w:r>
      <w:r>
        <w:rPr>
          <w:spacing w:val="12"/>
          <w:w w:val="95"/>
          <w:sz w:val="32"/>
          <w:szCs w:val="32"/>
        </w:rPr>
        <w:t>党的</w:t>
      </w:r>
      <w:r>
        <w:rPr>
          <w:spacing w:val="9"/>
          <w:w w:val="95"/>
          <w:sz w:val="32"/>
          <w:szCs w:val="32"/>
        </w:rPr>
        <w:t>决定、领导</w:t>
      </w:r>
      <w:r>
        <w:rPr>
          <w:spacing w:val="12"/>
          <w:w w:val="95"/>
          <w:sz w:val="32"/>
          <w:szCs w:val="32"/>
        </w:rPr>
        <w:t>基层</w:t>
      </w:r>
      <w:r>
        <w:rPr>
          <w:spacing w:val="9"/>
          <w:w w:val="95"/>
          <w:sz w:val="32"/>
          <w:szCs w:val="32"/>
        </w:rPr>
        <w:t>治理、团结</w:t>
      </w:r>
      <w:r>
        <w:rPr>
          <w:spacing w:val="12"/>
          <w:w w:val="95"/>
          <w:sz w:val="32"/>
          <w:szCs w:val="32"/>
        </w:rPr>
        <w:t>动员</w:t>
      </w:r>
      <w:r>
        <w:rPr>
          <w:spacing w:val="8"/>
          <w:w w:val="95"/>
          <w:sz w:val="32"/>
          <w:szCs w:val="32"/>
        </w:rPr>
        <w:t>群众、</w:t>
      </w:r>
      <w:r>
        <w:rPr>
          <w:spacing w:val="12"/>
          <w:sz w:val="32"/>
          <w:szCs w:val="32"/>
        </w:rPr>
        <w:t>推动改革发展的坚强战斗堡垒</w:t>
      </w:r>
      <w:r>
        <w:rPr>
          <w:spacing w:val="7"/>
          <w:sz w:val="32"/>
          <w:szCs w:val="32"/>
        </w:rPr>
        <w:t>，持续</w:t>
      </w:r>
      <w:r>
        <w:rPr>
          <w:spacing w:val="12"/>
          <w:sz w:val="32"/>
          <w:szCs w:val="32"/>
        </w:rPr>
        <w:t>推动基层党建与基</w:t>
      </w:r>
      <w:r>
        <w:rPr>
          <w:spacing w:val="8"/>
          <w:sz w:val="32"/>
          <w:szCs w:val="32"/>
        </w:rPr>
        <w:t>层治理</w:t>
      </w:r>
      <w:r>
        <w:rPr>
          <w:spacing w:val="12"/>
          <w:sz w:val="32"/>
          <w:szCs w:val="32"/>
        </w:rPr>
        <w:t>深度融合，逐步显现党建品牌效应。农村抓整体提升，强</w:t>
      </w:r>
      <w:r>
        <w:rPr>
          <w:spacing w:val="6"/>
          <w:sz w:val="32"/>
          <w:szCs w:val="32"/>
        </w:rPr>
        <w:t>化村</w:t>
      </w:r>
      <w:r>
        <w:rPr>
          <w:spacing w:val="12"/>
          <w:sz w:val="32"/>
          <w:szCs w:val="32"/>
        </w:rPr>
        <w:t>党组织对乡村治理的全面领导，选优配强村干部</w:t>
      </w:r>
      <w:r>
        <w:rPr>
          <w:spacing w:val="6"/>
          <w:sz w:val="32"/>
          <w:szCs w:val="32"/>
        </w:rPr>
        <w:t>队伍，全面落</w:t>
      </w:r>
      <w:r>
        <w:rPr>
          <w:spacing w:val="12"/>
          <w:sz w:val="32"/>
          <w:szCs w:val="32"/>
        </w:rPr>
        <w:t>实村“两</w:t>
      </w:r>
      <w:r>
        <w:rPr>
          <w:spacing w:val="8"/>
          <w:sz w:val="32"/>
          <w:szCs w:val="32"/>
        </w:rPr>
        <w:t>委”换届</w:t>
      </w:r>
      <w:r>
        <w:rPr>
          <w:spacing w:val="12"/>
          <w:sz w:val="32"/>
          <w:szCs w:val="32"/>
        </w:rPr>
        <w:t>候选人县区级联审机制，持续加大村党组</w:t>
      </w:r>
      <w:r>
        <w:rPr>
          <w:sz w:val="32"/>
          <w:szCs w:val="32"/>
        </w:rPr>
        <w:t>织</w:t>
      </w:r>
      <w:r>
        <w:rPr>
          <w:spacing w:val="12"/>
          <w:sz w:val="32"/>
          <w:szCs w:val="32"/>
        </w:rPr>
        <w:t>书记和村委会主任“一肩挑”比例。增强村党组织引领产业</w:t>
      </w:r>
      <w:r>
        <w:rPr>
          <w:sz w:val="32"/>
          <w:szCs w:val="32"/>
        </w:rPr>
        <w:t>发</w:t>
      </w:r>
      <w:r>
        <w:rPr>
          <w:spacing w:val="12"/>
          <w:sz w:val="32"/>
          <w:szCs w:val="32"/>
        </w:rPr>
        <w:t>展能力，做大做强特色优势农业产业。抓好“三大三强</w:t>
      </w:r>
      <w:r>
        <w:rPr>
          <w:spacing w:val="3"/>
          <w:sz w:val="32"/>
          <w:szCs w:val="32"/>
        </w:rPr>
        <w:t>”行动</w:t>
      </w:r>
      <w:r>
        <w:rPr>
          <w:spacing w:val="12"/>
          <w:sz w:val="32"/>
          <w:szCs w:val="32"/>
        </w:rPr>
        <w:t>和“两个带头人”工程，保持第一书记和驻村帮扶队伍</w:t>
      </w:r>
      <w:r>
        <w:rPr>
          <w:spacing w:val="7"/>
          <w:sz w:val="32"/>
          <w:szCs w:val="32"/>
        </w:rPr>
        <w:t>稳定。</w:t>
      </w:r>
    </w:p>
    <w:p w14:paraId="139E109D">
      <w:pPr>
        <w:spacing w:line="338" w:lineRule="auto"/>
        <w:sectPr>
          <w:pgSz w:w="11910" w:h="16840"/>
          <w:pgMar w:top="1880" w:right="1200" w:bottom="1160" w:left="1360" w:header="0" w:footer="975" w:gutter="0"/>
          <w:cols w:space="720" w:num="1"/>
        </w:sectPr>
      </w:pPr>
    </w:p>
    <w:p w14:paraId="40CF8D53">
      <w:pPr>
        <w:spacing w:before="28" w:line="338" w:lineRule="auto"/>
        <w:ind w:left="113" w:right="278"/>
        <w:jc w:val="both"/>
        <w:rPr>
          <w:sz w:val="32"/>
          <w:szCs w:val="32"/>
        </w:rPr>
      </w:pPr>
      <w:r>
        <w:rPr>
          <w:spacing w:val="12"/>
          <w:w w:val="99"/>
          <w:sz w:val="32"/>
          <w:szCs w:val="32"/>
        </w:rPr>
        <w:t>从单位选派优秀年轻科级干部挂任镇（</w:t>
      </w:r>
      <w:r>
        <w:rPr>
          <w:spacing w:val="13"/>
          <w:w w:val="99"/>
          <w:sz w:val="32"/>
          <w:szCs w:val="32"/>
        </w:rPr>
        <w:t>街道</w:t>
      </w:r>
      <w:r>
        <w:rPr>
          <w:spacing w:val="9"/>
          <w:w w:val="99"/>
          <w:sz w:val="32"/>
          <w:szCs w:val="32"/>
        </w:rPr>
        <w:t>）</w:t>
      </w:r>
      <w:r>
        <w:rPr>
          <w:spacing w:val="12"/>
          <w:w w:val="99"/>
          <w:sz w:val="32"/>
          <w:szCs w:val="32"/>
        </w:rPr>
        <w:t>党委副书记（</w:t>
      </w:r>
      <w:r>
        <w:rPr>
          <w:w w:val="99"/>
          <w:sz w:val="32"/>
          <w:szCs w:val="32"/>
        </w:rPr>
        <w:t>副</w:t>
      </w:r>
      <w:r>
        <w:rPr>
          <w:spacing w:val="12"/>
          <w:w w:val="99"/>
          <w:sz w:val="32"/>
          <w:szCs w:val="32"/>
        </w:rPr>
        <w:t>镇长、副主任），</w:t>
      </w:r>
      <w:r>
        <w:rPr>
          <w:spacing w:val="11"/>
          <w:w w:val="99"/>
          <w:sz w:val="32"/>
          <w:szCs w:val="32"/>
        </w:rPr>
        <w:t>让年轻干部在基层一线接地气、经风雨、强</w:t>
      </w:r>
      <w:r>
        <w:rPr>
          <w:spacing w:val="10"/>
          <w:w w:val="99"/>
          <w:sz w:val="32"/>
          <w:szCs w:val="32"/>
        </w:rPr>
        <w:t>筋骨，砥砺品质，蹲苗成长。纵深推进扫黑除恶专项斗争，严格执行村党组织加强领导和管理宗教事务暂行办法、村干部县</w:t>
      </w:r>
      <w:r>
        <w:rPr>
          <w:spacing w:val="9"/>
          <w:w w:val="99"/>
          <w:sz w:val="32"/>
          <w:szCs w:val="32"/>
        </w:rPr>
        <w:t>级联审机制，常态长效推进软弱涣散基层党组织整顿。城市抓</w:t>
      </w:r>
      <w:r>
        <w:rPr>
          <w:spacing w:val="11"/>
          <w:w w:val="99"/>
          <w:sz w:val="32"/>
          <w:szCs w:val="32"/>
        </w:rPr>
        <w:t>引领融合，坚持以党建为引领，推广“一核三联五治五化”党</w:t>
      </w:r>
      <w:r>
        <w:rPr>
          <w:spacing w:val="8"/>
          <w:w w:val="99"/>
          <w:sz w:val="32"/>
          <w:szCs w:val="32"/>
        </w:rPr>
        <w:t>建引领社区治理新模式，构建“社区党委+居民小区党支部+楼</w:t>
      </w:r>
      <w:r>
        <w:rPr>
          <w:spacing w:val="16"/>
          <w:w w:val="99"/>
          <w:sz w:val="32"/>
          <w:szCs w:val="32"/>
        </w:rPr>
        <w:t>栋党小组”的三级社区党组织纵向链条，形成“小区党组织+业主委员会+物业服务企业”三方联动的治理和服务体系。依</w:t>
      </w:r>
      <w:r>
        <w:rPr>
          <w:spacing w:val="11"/>
          <w:w w:val="99"/>
          <w:sz w:val="32"/>
          <w:szCs w:val="32"/>
        </w:rPr>
        <w:t>托智慧金凤社区治理综合平台，探索金凤区数字化社区平台，</w:t>
      </w:r>
      <w:r>
        <w:rPr>
          <w:spacing w:val="10"/>
          <w:w w:val="99"/>
          <w:sz w:val="32"/>
          <w:szCs w:val="32"/>
        </w:rPr>
        <w:t>建成数字小区建设的“金凤样板”，探索网络化社区治理和服</w:t>
      </w:r>
      <w:r>
        <w:rPr>
          <w:spacing w:val="11"/>
          <w:w w:val="99"/>
          <w:sz w:val="32"/>
          <w:szCs w:val="32"/>
        </w:rPr>
        <w:t>务新模式。非公企业和国企抓规范，深入推进“五强五促”行动，不断提高“两个覆盖”质量。对商圈、楼宇、市场、园区</w:t>
      </w:r>
      <w:r>
        <w:rPr>
          <w:spacing w:val="16"/>
          <w:w w:val="99"/>
          <w:sz w:val="32"/>
          <w:szCs w:val="32"/>
        </w:rPr>
        <w:t>等重点领域进行“党建+服务”网格管理，不断激发非公企业</w:t>
      </w:r>
      <w:r>
        <w:rPr>
          <w:spacing w:val="11"/>
          <w:w w:val="99"/>
          <w:sz w:val="32"/>
          <w:szCs w:val="32"/>
        </w:rPr>
        <w:t>在参与社会治理、维护社会和谐等方面的积极作用。</w:t>
      </w:r>
    </w:p>
    <w:p w14:paraId="756D87A2">
      <w:pPr>
        <w:spacing w:before="11"/>
        <w:ind w:left="778"/>
        <w:rPr>
          <w:rFonts w:ascii="黑体" w:eastAsia="黑体"/>
          <w:sz w:val="32"/>
          <w:szCs w:val="32"/>
        </w:rPr>
      </w:pPr>
      <w:r>
        <w:rPr>
          <w:rFonts w:ascii="黑体" w:eastAsia="黑体"/>
          <w:spacing w:val="12"/>
          <w:w w:val="95"/>
          <w:sz w:val="32"/>
          <w:szCs w:val="32"/>
        </w:rPr>
        <w:t>二、实施</w:t>
      </w:r>
      <w:r>
        <w:rPr>
          <w:rFonts w:ascii="黑体" w:eastAsia="黑体"/>
          <w:spacing w:val="14"/>
          <w:w w:val="95"/>
          <w:sz w:val="32"/>
          <w:szCs w:val="32"/>
        </w:rPr>
        <w:t>社</w:t>
      </w:r>
      <w:r>
        <w:rPr>
          <w:rFonts w:ascii="黑体" w:eastAsia="黑体"/>
          <w:spacing w:val="12"/>
          <w:w w:val="95"/>
          <w:sz w:val="32"/>
          <w:szCs w:val="32"/>
        </w:rPr>
        <w:t>会协</w:t>
      </w:r>
      <w:r>
        <w:rPr>
          <w:rFonts w:ascii="黑体" w:eastAsia="黑体"/>
          <w:spacing w:val="14"/>
          <w:w w:val="95"/>
          <w:sz w:val="32"/>
          <w:szCs w:val="32"/>
        </w:rPr>
        <w:t>同</w:t>
      </w:r>
      <w:r>
        <w:rPr>
          <w:rFonts w:ascii="黑体" w:eastAsia="黑体"/>
          <w:spacing w:val="12"/>
          <w:w w:val="95"/>
          <w:sz w:val="32"/>
          <w:szCs w:val="32"/>
        </w:rPr>
        <w:t>共治</w:t>
      </w:r>
      <w:r>
        <w:rPr>
          <w:rFonts w:ascii="黑体" w:eastAsia="黑体"/>
          <w:spacing w:val="2"/>
          <w:w w:val="95"/>
          <w:sz w:val="32"/>
          <w:szCs w:val="32"/>
        </w:rPr>
        <w:t>工程</w:t>
      </w:r>
    </w:p>
    <w:p w14:paraId="05F953EE">
      <w:pPr>
        <w:spacing w:before="166" w:line="338" w:lineRule="auto"/>
        <w:ind w:left="113" w:right="120" w:firstLine="664"/>
        <w:rPr>
          <w:sz w:val="32"/>
          <w:szCs w:val="32"/>
        </w:rPr>
      </w:pPr>
      <w:r>
        <w:rPr>
          <w:spacing w:val="1"/>
          <w:w w:val="99"/>
          <w:sz w:val="32"/>
          <w:szCs w:val="32"/>
        </w:rPr>
        <w:t>健全完善党组织领导下的社区管理、居民自治、民主协商、</w:t>
      </w:r>
      <w:r>
        <w:rPr>
          <w:spacing w:val="9"/>
          <w:w w:val="99"/>
          <w:sz w:val="32"/>
          <w:szCs w:val="32"/>
        </w:rPr>
        <w:t>群团带动和社会参与机制。深化街道社区管理体制改革，在网</w:t>
      </w:r>
      <w:r>
        <w:rPr>
          <w:spacing w:val="11"/>
          <w:w w:val="99"/>
          <w:sz w:val="32"/>
          <w:szCs w:val="32"/>
        </w:rPr>
        <w:t>格化管理基础上，全面推行、深化“街道吹哨、部门报到”机</w:t>
      </w:r>
      <w:r>
        <w:rPr>
          <w:spacing w:val="10"/>
          <w:w w:val="99"/>
          <w:sz w:val="32"/>
          <w:szCs w:val="32"/>
        </w:rPr>
        <w:t>制，进一步推进城市精细化管理。创新基层民主协商载体和形</w:t>
      </w:r>
      <w:r>
        <w:rPr>
          <w:spacing w:val="-2"/>
          <w:w w:val="99"/>
          <w:sz w:val="32"/>
          <w:szCs w:val="32"/>
        </w:rPr>
        <w:t>式，在具备条件的小区、村庄建立居民议事平台，提高村</w:t>
      </w:r>
      <w:r>
        <w:rPr>
          <w:spacing w:val="12"/>
          <w:w w:val="99"/>
          <w:sz w:val="32"/>
          <w:szCs w:val="32"/>
        </w:rPr>
        <w:t>（居</w:t>
      </w:r>
      <w:r>
        <w:rPr>
          <w:w w:val="99"/>
          <w:sz w:val="32"/>
          <w:szCs w:val="32"/>
        </w:rPr>
        <w:t>）</w:t>
      </w:r>
      <w:r>
        <w:rPr>
          <w:spacing w:val="9"/>
          <w:w w:val="99"/>
          <w:sz w:val="32"/>
          <w:szCs w:val="32"/>
        </w:rPr>
        <w:t>委会、业委会、村民小组等自治能力。加大政府购买社会服务</w:t>
      </w:r>
      <w:r>
        <w:rPr>
          <w:spacing w:val="8"/>
          <w:w w:val="99"/>
          <w:sz w:val="32"/>
          <w:szCs w:val="32"/>
        </w:rPr>
        <w:t>的统筹力度，深化以社区为平台、社会组织为载体、社会工作</w:t>
      </w:r>
    </w:p>
    <w:p w14:paraId="25906A43">
      <w:pPr>
        <w:spacing w:line="338" w:lineRule="auto"/>
        <w:sectPr>
          <w:pgSz w:w="11910" w:h="16840"/>
          <w:pgMar w:top="1800" w:right="1200" w:bottom="1160" w:left="1360" w:header="0" w:footer="975" w:gutter="0"/>
          <w:cols w:space="720" w:num="1"/>
        </w:sectPr>
      </w:pPr>
    </w:p>
    <w:p w14:paraId="5B7CA722">
      <w:pPr>
        <w:spacing w:before="28" w:line="338" w:lineRule="auto"/>
        <w:ind w:left="113" w:right="283"/>
        <w:jc w:val="both"/>
        <w:rPr>
          <w:sz w:val="32"/>
          <w:szCs w:val="32"/>
        </w:rPr>
      </w:pPr>
      <w:r>
        <w:rPr>
          <w:spacing w:val="9"/>
          <w:w w:val="99"/>
          <w:sz w:val="32"/>
          <w:szCs w:val="32"/>
        </w:rPr>
        <w:t>者为支撑的“三社联动”机制。推动企业履行社会责任，建立</w:t>
      </w:r>
      <w:r>
        <w:rPr>
          <w:spacing w:val="10"/>
          <w:w w:val="99"/>
          <w:sz w:val="32"/>
          <w:szCs w:val="32"/>
        </w:rPr>
        <w:t>健全促进企业履行社会责任的体制机制，建立健全企业参与驻</w:t>
      </w:r>
      <w:r>
        <w:rPr>
          <w:spacing w:val="23"/>
          <w:w w:val="99"/>
          <w:sz w:val="32"/>
          <w:szCs w:val="32"/>
        </w:rPr>
        <w:t>地社会建设长效机制，健全和完善企业履行社会责任激励机</w:t>
      </w:r>
      <w:r>
        <w:rPr>
          <w:spacing w:val="6"/>
          <w:w w:val="99"/>
          <w:sz w:val="32"/>
          <w:szCs w:val="32"/>
        </w:rPr>
        <w:t>制。</w:t>
      </w:r>
    </w:p>
    <w:p w14:paraId="58249AF1">
      <w:pPr>
        <w:spacing w:line="401" w:lineRule="exact"/>
        <w:ind w:left="778"/>
        <w:rPr>
          <w:rFonts w:ascii="黑体" w:eastAsia="黑体"/>
          <w:sz w:val="32"/>
          <w:szCs w:val="32"/>
        </w:rPr>
      </w:pPr>
      <w:r>
        <w:rPr>
          <w:rFonts w:ascii="黑体" w:eastAsia="黑体"/>
          <w:spacing w:val="12"/>
          <w:w w:val="95"/>
          <w:sz w:val="32"/>
          <w:szCs w:val="32"/>
        </w:rPr>
        <w:t>三、全面</w:t>
      </w:r>
      <w:r>
        <w:rPr>
          <w:rFonts w:ascii="黑体" w:eastAsia="黑体"/>
          <w:spacing w:val="14"/>
          <w:w w:val="95"/>
          <w:sz w:val="32"/>
          <w:szCs w:val="32"/>
        </w:rPr>
        <w:t>提</w:t>
      </w:r>
      <w:r>
        <w:rPr>
          <w:rFonts w:ascii="黑体" w:eastAsia="黑体"/>
          <w:spacing w:val="12"/>
          <w:w w:val="95"/>
          <w:sz w:val="32"/>
          <w:szCs w:val="32"/>
        </w:rPr>
        <w:t>升乡</w:t>
      </w:r>
      <w:r>
        <w:rPr>
          <w:rFonts w:ascii="黑体" w:eastAsia="黑体"/>
          <w:spacing w:val="14"/>
          <w:w w:val="95"/>
          <w:sz w:val="32"/>
          <w:szCs w:val="32"/>
        </w:rPr>
        <w:t>村</w:t>
      </w:r>
      <w:r>
        <w:rPr>
          <w:rFonts w:ascii="黑体" w:eastAsia="黑体"/>
          <w:spacing w:val="12"/>
          <w:w w:val="95"/>
          <w:sz w:val="32"/>
          <w:szCs w:val="32"/>
        </w:rPr>
        <w:t>治理</w:t>
      </w:r>
      <w:r>
        <w:rPr>
          <w:rFonts w:ascii="黑体" w:eastAsia="黑体"/>
          <w:spacing w:val="2"/>
          <w:w w:val="95"/>
          <w:sz w:val="32"/>
          <w:szCs w:val="32"/>
        </w:rPr>
        <w:t>能力</w:t>
      </w:r>
    </w:p>
    <w:p w14:paraId="0F58F65B">
      <w:pPr>
        <w:spacing w:before="166" w:line="338" w:lineRule="auto"/>
        <w:ind w:left="113" w:right="283" w:firstLine="664"/>
        <w:jc w:val="both"/>
        <w:rPr>
          <w:sz w:val="32"/>
          <w:szCs w:val="32"/>
        </w:rPr>
      </w:pPr>
      <w:r>
        <w:rPr>
          <w:spacing w:val="10"/>
          <w:w w:val="99"/>
          <w:sz w:val="32"/>
          <w:szCs w:val="32"/>
        </w:rPr>
        <w:t>推进城市社区服务管理向农村延伸，推动新型农村社区建设。加强农村基层民主自治建设，健全村级重大事项决策“四</w:t>
      </w:r>
      <w:r>
        <w:rPr>
          <w:spacing w:val="9"/>
          <w:w w:val="99"/>
          <w:sz w:val="32"/>
          <w:szCs w:val="32"/>
        </w:rPr>
        <w:t>议两公开”。推进公共服务向农村社区延伸，探索建立公共服务事项全程委托代理机制，促进城乡基本公共服务一体化。推</w:t>
      </w:r>
      <w:r>
        <w:rPr>
          <w:spacing w:val="10"/>
          <w:w w:val="99"/>
          <w:sz w:val="32"/>
          <w:szCs w:val="32"/>
        </w:rPr>
        <w:t>进农村基层综合性公共服务设施建设。充分发挥乡镇社区服务</w:t>
      </w:r>
      <w:r>
        <w:rPr>
          <w:spacing w:val="9"/>
          <w:w w:val="99"/>
          <w:sz w:val="32"/>
          <w:szCs w:val="32"/>
        </w:rPr>
        <w:t>中心、村级社区服务站的平台作用，推动农村社区公益性服务</w:t>
      </w:r>
      <w:r>
        <w:rPr>
          <w:spacing w:val="10"/>
          <w:w w:val="99"/>
          <w:sz w:val="32"/>
          <w:szCs w:val="32"/>
        </w:rPr>
        <w:t>和市场化服务创新发展。鼓励企业和供销合作社完善农村社区商业网点和物流布局，引导经营性服务组织在农村社区开展连</w:t>
      </w:r>
      <w:r>
        <w:rPr>
          <w:spacing w:val="9"/>
          <w:w w:val="99"/>
          <w:sz w:val="32"/>
          <w:szCs w:val="32"/>
        </w:rPr>
        <w:t>锁经营。</w:t>
      </w:r>
    </w:p>
    <w:p w14:paraId="62EFBCA0">
      <w:pPr>
        <w:spacing w:before="156"/>
        <w:ind w:right="172"/>
        <w:jc w:val="center"/>
        <w:outlineLvl w:val="1"/>
        <w:rPr>
          <w:rFonts w:ascii="宋体" w:hAnsi="宋体" w:eastAsia="宋体" w:cs="宋体"/>
          <w:b/>
          <w:bCs/>
          <w:sz w:val="32"/>
          <w:szCs w:val="32"/>
        </w:rPr>
      </w:pPr>
      <w:r>
        <w:rPr>
          <w:rFonts w:ascii="宋体" w:hAnsi="宋体" w:eastAsia="宋体" w:cs="宋体"/>
          <w:b/>
          <w:bCs/>
          <w:spacing w:val="14"/>
          <w:sz w:val="32"/>
          <w:szCs w:val="32"/>
        </w:rPr>
        <w:t>第二</w:t>
      </w:r>
      <w:r>
        <w:rPr>
          <w:rFonts w:ascii="宋体" w:hAnsi="宋体" w:eastAsia="宋体" w:cs="宋体"/>
          <w:b/>
          <w:bCs/>
          <w:spacing w:val="53"/>
          <w:sz w:val="32"/>
          <w:szCs w:val="32"/>
        </w:rPr>
        <w:t>节 创</w:t>
      </w:r>
      <w:r>
        <w:rPr>
          <w:rFonts w:ascii="宋体" w:hAnsi="宋体" w:eastAsia="宋体" w:cs="宋体"/>
          <w:b/>
          <w:bCs/>
          <w:spacing w:val="14"/>
          <w:sz w:val="32"/>
          <w:szCs w:val="32"/>
        </w:rPr>
        <w:t>新运</w:t>
      </w:r>
      <w:r>
        <w:rPr>
          <w:rFonts w:ascii="宋体" w:hAnsi="宋体" w:eastAsia="宋体" w:cs="宋体"/>
          <w:b/>
          <w:bCs/>
          <w:spacing w:val="12"/>
          <w:sz w:val="32"/>
          <w:szCs w:val="32"/>
        </w:rPr>
        <w:t>行</w:t>
      </w:r>
      <w:r>
        <w:rPr>
          <w:rFonts w:ascii="宋体" w:hAnsi="宋体" w:eastAsia="宋体" w:cs="宋体"/>
          <w:b/>
          <w:bCs/>
          <w:spacing w:val="14"/>
          <w:sz w:val="32"/>
          <w:szCs w:val="32"/>
        </w:rPr>
        <w:t>有效社区治理</w:t>
      </w:r>
      <w:r>
        <w:rPr>
          <w:rFonts w:ascii="宋体" w:hAnsi="宋体" w:eastAsia="宋体" w:cs="宋体"/>
          <w:b/>
          <w:bCs/>
          <w:spacing w:val="1"/>
          <w:sz w:val="32"/>
          <w:szCs w:val="32"/>
        </w:rPr>
        <w:t>格局</w:t>
      </w:r>
    </w:p>
    <w:p w14:paraId="22242F7A">
      <w:pPr>
        <w:rPr>
          <w:rFonts w:ascii="宋体"/>
          <w:b/>
          <w:sz w:val="24"/>
          <w:szCs w:val="32"/>
        </w:rPr>
      </w:pPr>
    </w:p>
    <w:p w14:paraId="613E1DA1">
      <w:pPr>
        <w:ind w:left="778"/>
        <w:rPr>
          <w:rFonts w:ascii="黑体" w:eastAsia="黑体"/>
          <w:sz w:val="32"/>
          <w:szCs w:val="32"/>
        </w:rPr>
      </w:pPr>
      <w:r>
        <w:rPr>
          <w:rFonts w:ascii="黑体" w:eastAsia="黑体"/>
          <w:spacing w:val="12"/>
          <w:w w:val="95"/>
          <w:sz w:val="32"/>
          <w:szCs w:val="32"/>
        </w:rPr>
        <w:t>一、共治</w:t>
      </w:r>
      <w:r>
        <w:rPr>
          <w:rFonts w:ascii="黑体" w:eastAsia="黑体"/>
          <w:spacing w:val="14"/>
          <w:w w:val="95"/>
          <w:sz w:val="32"/>
          <w:szCs w:val="32"/>
        </w:rPr>
        <w:t>引</w:t>
      </w:r>
      <w:r>
        <w:rPr>
          <w:rFonts w:ascii="黑体" w:eastAsia="黑体"/>
          <w:spacing w:val="12"/>
          <w:w w:val="95"/>
          <w:sz w:val="32"/>
          <w:szCs w:val="32"/>
        </w:rPr>
        <w:t>领</w:t>
      </w:r>
      <w:r>
        <w:rPr>
          <w:rFonts w:ascii="黑体" w:eastAsia="黑体"/>
          <w:spacing w:val="13"/>
          <w:w w:val="95"/>
          <w:sz w:val="32"/>
          <w:szCs w:val="32"/>
        </w:rPr>
        <w:t>，推</w:t>
      </w:r>
      <w:r>
        <w:rPr>
          <w:rFonts w:ascii="黑体" w:eastAsia="黑体"/>
          <w:spacing w:val="12"/>
          <w:w w:val="95"/>
          <w:sz w:val="32"/>
          <w:szCs w:val="32"/>
        </w:rPr>
        <w:t>动治</w:t>
      </w:r>
      <w:r>
        <w:rPr>
          <w:rFonts w:ascii="黑体" w:eastAsia="黑体"/>
          <w:spacing w:val="14"/>
          <w:w w:val="95"/>
          <w:sz w:val="32"/>
          <w:szCs w:val="32"/>
        </w:rPr>
        <w:t>理</w:t>
      </w:r>
      <w:r>
        <w:rPr>
          <w:rFonts w:ascii="黑体" w:eastAsia="黑体"/>
          <w:spacing w:val="12"/>
          <w:w w:val="95"/>
          <w:sz w:val="32"/>
          <w:szCs w:val="32"/>
        </w:rPr>
        <w:t>主体</w:t>
      </w:r>
      <w:r>
        <w:rPr>
          <w:rFonts w:ascii="黑体" w:eastAsia="黑体"/>
          <w:spacing w:val="5"/>
          <w:w w:val="95"/>
          <w:sz w:val="32"/>
          <w:szCs w:val="32"/>
        </w:rPr>
        <w:t>社会化</w:t>
      </w:r>
    </w:p>
    <w:p w14:paraId="2703A02D">
      <w:pPr>
        <w:spacing w:before="166" w:line="338" w:lineRule="auto"/>
        <w:ind w:left="113" w:right="117" w:firstLine="664"/>
        <w:rPr>
          <w:sz w:val="32"/>
          <w:szCs w:val="32"/>
        </w:rPr>
      </w:pPr>
      <w:r>
        <w:rPr>
          <w:spacing w:val="12"/>
          <w:sz w:val="32"/>
          <w:szCs w:val="32"/>
        </w:rPr>
        <w:t>建立“兼职委员”制度，根据辖区面积、驻区单</w:t>
      </w:r>
      <w:r>
        <w:rPr>
          <w:spacing w:val="8"/>
          <w:sz w:val="32"/>
          <w:szCs w:val="32"/>
        </w:rPr>
        <w:t>位数量、</w:t>
      </w:r>
      <w:r>
        <w:rPr>
          <w:spacing w:val="12"/>
          <w:sz w:val="32"/>
          <w:szCs w:val="32"/>
        </w:rPr>
        <w:t>城市发展水平等，统筹确定街道党工委兼职委员数</w:t>
      </w:r>
      <w:r>
        <w:rPr>
          <w:spacing w:val="6"/>
          <w:sz w:val="32"/>
          <w:szCs w:val="32"/>
        </w:rPr>
        <w:t>量、定期召</w:t>
      </w:r>
      <w:r>
        <w:rPr>
          <w:spacing w:val="12"/>
          <w:sz w:val="32"/>
          <w:szCs w:val="32"/>
        </w:rPr>
        <w:t>开会议，对街道社区发展建言献策。坚持“双报到、</w:t>
      </w:r>
      <w:r>
        <w:rPr>
          <w:spacing w:val="8"/>
          <w:sz w:val="32"/>
          <w:szCs w:val="32"/>
        </w:rPr>
        <w:t>双报告”</w:t>
      </w:r>
      <w:r>
        <w:rPr>
          <w:spacing w:val="8"/>
          <w:w w:val="95"/>
          <w:sz w:val="32"/>
          <w:szCs w:val="32"/>
        </w:rPr>
        <w:t>制度，推行</w:t>
      </w:r>
      <w:r>
        <w:rPr>
          <w:spacing w:val="12"/>
          <w:w w:val="95"/>
          <w:sz w:val="32"/>
          <w:szCs w:val="32"/>
        </w:rPr>
        <w:t>机关企事业单位党组织</w:t>
      </w:r>
      <w:r>
        <w:rPr>
          <w:spacing w:val="8"/>
          <w:w w:val="95"/>
          <w:sz w:val="32"/>
          <w:szCs w:val="32"/>
        </w:rPr>
        <w:t>、在职</w:t>
      </w:r>
      <w:r>
        <w:rPr>
          <w:spacing w:val="12"/>
          <w:w w:val="95"/>
          <w:sz w:val="32"/>
          <w:szCs w:val="32"/>
        </w:rPr>
        <w:t>党员</w:t>
      </w:r>
      <w:r>
        <w:rPr>
          <w:spacing w:val="9"/>
          <w:w w:val="95"/>
          <w:sz w:val="32"/>
          <w:szCs w:val="32"/>
        </w:rPr>
        <w:t>到社区“</w:t>
      </w:r>
      <w:r>
        <w:rPr>
          <w:spacing w:val="12"/>
          <w:w w:val="95"/>
          <w:sz w:val="32"/>
          <w:szCs w:val="32"/>
        </w:rPr>
        <w:t>双</w:t>
      </w:r>
      <w:r>
        <w:rPr>
          <w:spacing w:val="8"/>
          <w:w w:val="95"/>
          <w:sz w:val="32"/>
          <w:szCs w:val="32"/>
        </w:rPr>
        <w:t>报到、</w:t>
      </w:r>
      <w:r>
        <w:rPr>
          <w:spacing w:val="12"/>
          <w:sz w:val="32"/>
          <w:szCs w:val="32"/>
        </w:rPr>
        <w:t>双报告”制度，深化“双向联系”“双向服务”“双</w:t>
      </w:r>
      <w:r>
        <w:rPr>
          <w:spacing w:val="8"/>
          <w:sz w:val="32"/>
          <w:szCs w:val="32"/>
        </w:rPr>
        <w:t>向认领”</w:t>
      </w:r>
      <w:r>
        <w:rPr>
          <w:spacing w:val="12"/>
          <w:sz w:val="32"/>
          <w:szCs w:val="32"/>
        </w:rPr>
        <w:t>机制。完善“三社联动”机制，健全社会组织参与治理</w:t>
      </w:r>
      <w:r>
        <w:rPr>
          <w:spacing w:val="7"/>
          <w:sz w:val="32"/>
          <w:szCs w:val="32"/>
        </w:rPr>
        <w:t>机制，</w:t>
      </w:r>
      <w:r>
        <w:rPr>
          <w:spacing w:val="12"/>
          <w:sz w:val="32"/>
          <w:szCs w:val="32"/>
        </w:rPr>
        <w:t>培育公益</w:t>
      </w:r>
      <w:r>
        <w:rPr>
          <w:spacing w:val="8"/>
          <w:sz w:val="32"/>
          <w:szCs w:val="32"/>
        </w:rPr>
        <w:t>性、服务</w:t>
      </w:r>
      <w:r>
        <w:rPr>
          <w:spacing w:val="12"/>
          <w:sz w:val="32"/>
          <w:szCs w:val="32"/>
        </w:rPr>
        <w:t>性、互助性社会组织和群众活动团队，引</w:t>
      </w:r>
      <w:r>
        <w:rPr>
          <w:sz w:val="32"/>
          <w:szCs w:val="32"/>
        </w:rPr>
        <w:t>领</w:t>
      </w:r>
    </w:p>
    <w:p w14:paraId="149D1A72">
      <w:pPr>
        <w:spacing w:line="338" w:lineRule="auto"/>
        <w:sectPr>
          <w:pgSz w:w="11910" w:h="16840"/>
          <w:pgMar w:top="1800" w:right="1200" w:bottom="1160" w:left="1360" w:header="0" w:footer="975" w:gutter="0"/>
          <w:cols w:space="720" w:num="1"/>
        </w:sectPr>
      </w:pPr>
    </w:p>
    <w:p w14:paraId="071CEDBC">
      <w:pPr>
        <w:spacing w:before="28" w:line="338" w:lineRule="auto"/>
        <w:ind w:left="113" w:right="115"/>
        <w:rPr>
          <w:sz w:val="32"/>
          <w:szCs w:val="32"/>
        </w:rPr>
      </w:pPr>
      <w:r>
        <w:rPr>
          <w:spacing w:val="14"/>
          <w:w w:val="99"/>
          <w:sz w:val="32"/>
          <w:szCs w:val="32"/>
        </w:rPr>
        <w:t>各类社会组织专业规范运作、依法依规办事。落实“街道(社</w:t>
      </w:r>
      <w:r>
        <w:rPr>
          <w:spacing w:val="12"/>
          <w:w w:val="99"/>
          <w:sz w:val="32"/>
          <w:szCs w:val="32"/>
        </w:rPr>
        <w:t>区</w:t>
      </w:r>
      <w:r>
        <w:rPr>
          <w:spacing w:val="-7"/>
          <w:w w:val="99"/>
          <w:sz w:val="32"/>
          <w:szCs w:val="32"/>
        </w:rPr>
        <w:t>）</w:t>
      </w:r>
      <w:r>
        <w:rPr>
          <w:spacing w:val="3"/>
          <w:w w:val="99"/>
          <w:sz w:val="32"/>
          <w:szCs w:val="32"/>
        </w:rPr>
        <w:t>吹哨”制度，推行“街道</w:t>
      </w:r>
      <w:r>
        <w:rPr>
          <w:spacing w:val="12"/>
          <w:w w:val="99"/>
          <w:sz w:val="32"/>
          <w:szCs w:val="32"/>
        </w:rPr>
        <w:t>（社区</w:t>
      </w:r>
      <w:r>
        <w:rPr>
          <w:spacing w:val="-7"/>
          <w:w w:val="99"/>
          <w:sz w:val="32"/>
          <w:szCs w:val="32"/>
        </w:rPr>
        <w:t>）</w:t>
      </w:r>
      <w:r>
        <w:rPr>
          <w:spacing w:val="4"/>
          <w:w w:val="99"/>
          <w:sz w:val="32"/>
          <w:szCs w:val="32"/>
        </w:rPr>
        <w:t>吹哨、部门报到”模式，</w:t>
      </w:r>
      <w:r>
        <w:rPr>
          <w:spacing w:val="9"/>
          <w:w w:val="99"/>
          <w:sz w:val="32"/>
          <w:szCs w:val="32"/>
        </w:rPr>
        <w:t>实现政府治理和社会调节、居民自治良性互动，社区矛盾处置</w:t>
      </w:r>
      <w:r>
        <w:rPr>
          <w:spacing w:val="11"/>
          <w:w w:val="99"/>
          <w:sz w:val="32"/>
          <w:szCs w:val="32"/>
        </w:rPr>
        <w:t>源头化，提升网格“微治理”能力。</w:t>
      </w:r>
    </w:p>
    <w:p w14:paraId="7BD90A4D">
      <w:pPr>
        <w:spacing w:line="402" w:lineRule="exact"/>
        <w:ind w:left="778"/>
        <w:rPr>
          <w:rFonts w:ascii="黑体" w:eastAsia="黑体"/>
          <w:sz w:val="32"/>
          <w:szCs w:val="32"/>
        </w:rPr>
      </w:pPr>
      <w:r>
        <w:rPr>
          <w:rFonts w:ascii="黑体" w:eastAsia="黑体"/>
          <w:spacing w:val="12"/>
          <w:w w:val="95"/>
          <w:sz w:val="32"/>
          <w:szCs w:val="32"/>
        </w:rPr>
        <w:t>二、自治</w:t>
      </w:r>
      <w:r>
        <w:rPr>
          <w:rFonts w:ascii="黑体" w:eastAsia="黑体"/>
          <w:spacing w:val="14"/>
          <w:w w:val="95"/>
          <w:sz w:val="32"/>
          <w:szCs w:val="32"/>
        </w:rPr>
        <w:t>协</w:t>
      </w:r>
      <w:r>
        <w:rPr>
          <w:rFonts w:ascii="黑体" w:eastAsia="黑体"/>
          <w:spacing w:val="12"/>
          <w:w w:val="95"/>
          <w:sz w:val="32"/>
          <w:szCs w:val="32"/>
        </w:rPr>
        <w:t>同</w:t>
      </w:r>
      <w:r>
        <w:rPr>
          <w:rFonts w:ascii="黑体" w:eastAsia="黑体"/>
          <w:spacing w:val="13"/>
          <w:w w:val="95"/>
          <w:sz w:val="32"/>
          <w:szCs w:val="32"/>
        </w:rPr>
        <w:t>，推</w:t>
      </w:r>
      <w:r>
        <w:rPr>
          <w:rFonts w:ascii="黑体" w:eastAsia="黑体"/>
          <w:spacing w:val="12"/>
          <w:w w:val="95"/>
          <w:sz w:val="32"/>
          <w:szCs w:val="32"/>
        </w:rPr>
        <w:t>动治</w:t>
      </w:r>
      <w:r>
        <w:rPr>
          <w:rFonts w:ascii="黑体" w:eastAsia="黑体"/>
          <w:spacing w:val="14"/>
          <w:w w:val="95"/>
          <w:sz w:val="32"/>
          <w:szCs w:val="32"/>
        </w:rPr>
        <w:t>理</w:t>
      </w:r>
      <w:r>
        <w:rPr>
          <w:rFonts w:ascii="黑体" w:eastAsia="黑体"/>
          <w:spacing w:val="12"/>
          <w:w w:val="95"/>
          <w:sz w:val="32"/>
          <w:szCs w:val="32"/>
        </w:rPr>
        <w:t>单元</w:t>
      </w:r>
      <w:r>
        <w:rPr>
          <w:rFonts w:ascii="黑体" w:eastAsia="黑体"/>
          <w:spacing w:val="5"/>
          <w:w w:val="95"/>
          <w:sz w:val="32"/>
          <w:szCs w:val="32"/>
        </w:rPr>
        <w:t>精细化</w:t>
      </w:r>
    </w:p>
    <w:p w14:paraId="506D3757">
      <w:pPr>
        <w:spacing w:before="166" w:line="338" w:lineRule="auto"/>
        <w:ind w:left="113" w:right="283" w:firstLine="664"/>
        <w:jc w:val="both"/>
        <w:rPr>
          <w:sz w:val="32"/>
          <w:szCs w:val="32"/>
        </w:rPr>
      </w:pPr>
      <w:r>
        <w:rPr>
          <w:spacing w:val="17"/>
          <w:w w:val="99"/>
          <w:sz w:val="32"/>
          <w:szCs w:val="32"/>
        </w:rPr>
        <w:t>优化街道区划布局,适时调整社区规模，适度调整网格规</w:t>
      </w:r>
      <w:r>
        <w:rPr>
          <w:spacing w:val="10"/>
          <w:w w:val="99"/>
          <w:sz w:val="32"/>
          <w:szCs w:val="32"/>
        </w:rPr>
        <w:t>模，不断优化社区治理单位。建立健全以议事协商为重点的社区民主决策机制，畅通协商渠道，有序引导居民全程参与自治</w:t>
      </w:r>
      <w:r>
        <w:rPr>
          <w:spacing w:val="11"/>
          <w:w w:val="99"/>
          <w:sz w:val="32"/>
          <w:szCs w:val="32"/>
        </w:rPr>
        <w:t>事务。推广银啤苑社区“板凳会”、宝湖社区“邻里亲情”等</w:t>
      </w:r>
      <w:r>
        <w:rPr>
          <w:spacing w:val="10"/>
          <w:w w:val="99"/>
          <w:sz w:val="32"/>
          <w:szCs w:val="32"/>
        </w:rPr>
        <w:t>金凤社区治理品牌，争创自治区“社区治理百佳品牌”。提升</w:t>
      </w:r>
      <w:r>
        <w:rPr>
          <w:spacing w:val="16"/>
          <w:w w:val="99"/>
          <w:sz w:val="32"/>
          <w:szCs w:val="32"/>
        </w:rPr>
        <w:t>社区政务服务水平,加强街道民生服务中心建设，推动“放管</w:t>
      </w:r>
      <w:r>
        <w:rPr>
          <w:spacing w:val="11"/>
          <w:w w:val="99"/>
          <w:sz w:val="32"/>
          <w:szCs w:val="32"/>
        </w:rPr>
        <w:t>服”改革向街道延伸。深化社区医疗卫生服务、社区托幼养老</w:t>
      </w:r>
      <w:r>
        <w:rPr>
          <w:spacing w:val="8"/>
          <w:w w:val="99"/>
          <w:sz w:val="32"/>
          <w:szCs w:val="32"/>
        </w:rPr>
        <w:t>服务，优化社区公共就业服务、社区消防志愿服务，优化社区</w:t>
      </w:r>
      <w:r>
        <w:rPr>
          <w:spacing w:val="10"/>
          <w:w w:val="99"/>
          <w:sz w:val="32"/>
          <w:szCs w:val="32"/>
        </w:rPr>
        <w:t>商业便民服务。</w:t>
      </w:r>
    </w:p>
    <w:p w14:paraId="08F0D8C1">
      <w:pPr>
        <w:ind w:left="778"/>
        <w:rPr>
          <w:rFonts w:ascii="黑体" w:eastAsia="黑体"/>
          <w:sz w:val="32"/>
          <w:szCs w:val="32"/>
        </w:rPr>
      </w:pPr>
      <w:r>
        <w:rPr>
          <w:rFonts w:ascii="黑体" w:eastAsia="黑体"/>
          <w:spacing w:val="12"/>
          <w:w w:val="95"/>
          <w:sz w:val="32"/>
          <w:szCs w:val="32"/>
        </w:rPr>
        <w:t>三、法治</w:t>
      </w:r>
      <w:r>
        <w:rPr>
          <w:rFonts w:ascii="黑体" w:eastAsia="黑体"/>
          <w:spacing w:val="14"/>
          <w:w w:val="95"/>
          <w:sz w:val="32"/>
          <w:szCs w:val="32"/>
        </w:rPr>
        <w:t>先</w:t>
      </w:r>
      <w:r>
        <w:rPr>
          <w:rFonts w:ascii="黑体" w:eastAsia="黑体"/>
          <w:spacing w:val="12"/>
          <w:w w:val="95"/>
          <w:sz w:val="32"/>
          <w:szCs w:val="32"/>
        </w:rPr>
        <w:t>行</w:t>
      </w:r>
      <w:r>
        <w:rPr>
          <w:rFonts w:ascii="黑体" w:eastAsia="黑体"/>
          <w:spacing w:val="13"/>
          <w:w w:val="95"/>
          <w:sz w:val="32"/>
          <w:szCs w:val="32"/>
        </w:rPr>
        <w:t>，推</w:t>
      </w:r>
      <w:r>
        <w:rPr>
          <w:rFonts w:ascii="黑体" w:eastAsia="黑体"/>
          <w:spacing w:val="12"/>
          <w:w w:val="95"/>
          <w:sz w:val="32"/>
          <w:szCs w:val="32"/>
        </w:rPr>
        <w:t>动治</w:t>
      </w:r>
      <w:r>
        <w:rPr>
          <w:rFonts w:ascii="黑体" w:eastAsia="黑体"/>
          <w:spacing w:val="14"/>
          <w:w w:val="95"/>
          <w:sz w:val="32"/>
          <w:szCs w:val="32"/>
        </w:rPr>
        <w:t>理</w:t>
      </w:r>
      <w:r>
        <w:rPr>
          <w:rFonts w:ascii="黑体" w:eastAsia="黑体"/>
          <w:spacing w:val="12"/>
          <w:w w:val="95"/>
          <w:sz w:val="32"/>
          <w:szCs w:val="32"/>
        </w:rPr>
        <w:t>流程</w:t>
      </w:r>
      <w:r>
        <w:rPr>
          <w:rFonts w:ascii="黑体" w:eastAsia="黑体"/>
          <w:spacing w:val="5"/>
          <w:w w:val="95"/>
          <w:sz w:val="32"/>
          <w:szCs w:val="32"/>
        </w:rPr>
        <w:t>规范化</w:t>
      </w:r>
    </w:p>
    <w:p w14:paraId="1AB816EB">
      <w:pPr>
        <w:spacing w:before="166" w:line="338" w:lineRule="auto"/>
        <w:ind w:left="113" w:right="278" w:firstLine="664"/>
        <w:jc w:val="both"/>
        <w:rPr>
          <w:sz w:val="32"/>
          <w:szCs w:val="32"/>
        </w:rPr>
      </w:pPr>
      <w:r>
        <w:rPr>
          <w:spacing w:val="8"/>
          <w:w w:val="99"/>
          <w:sz w:val="32"/>
          <w:szCs w:val="32"/>
        </w:rPr>
        <w:t>厘清职责清单，按照社区居委会自我管理、自我服务、自</w:t>
      </w:r>
      <w:r>
        <w:rPr>
          <w:spacing w:val="10"/>
          <w:w w:val="99"/>
          <w:sz w:val="32"/>
          <w:szCs w:val="32"/>
        </w:rPr>
        <w:t>我教育、自我监督、协助管理的职责，细化落实《宁夏城市社区服务管理职责事项指导清单》。统筹推进综治中心、人民法</w:t>
      </w:r>
      <w:r>
        <w:rPr>
          <w:spacing w:val="11"/>
          <w:w w:val="99"/>
          <w:sz w:val="32"/>
          <w:szCs w:val="32"/>
        </w:rPr>
        <w:t>庭、公安派出所、社区警务室、司法所等基层政法单位建设。</w:t>
      </w:r>
      <w:r>
        <w:rPr>
          <w:spacing w:val="10"/>
          <w:w w:val="99"/>
          <w:sz w:val="32"/>
          <w:szCs w:val="32"/>
        </w:rPr>
        <w:t>依托街道和社区综治中心，开设法律咨询、法律援助、人民调解、公益律师、法律需求调查等窗口，提供多样化公共法律服</w:t>
      </w:r>
      <w:r>
        <w:rPr>
          <w:spacing w:val="9"/>
          <w:w w:val="99"/>
          <w:sz w:val="32"/>
          <w:szCs w:val="32"/>
        </w:rPr>
        <w:t>务产品。全面落实社区法律顾问制度，推进每个社区</w:t>
      </w:r>
      <w:r>
        <w:rPr>
          <w:spacing w:val="-67"/>
          <w:sz w:val="32"/>
          <w:szCs w:val="32"/>
        </w:rPr>
        <w:t xml:space="preserve"> </w:t>
      </w:r>
      <w:r>
        <w:rPr>
          <w:rFonts w:ascii="Calibri" w:eastAsia="Calibri"/>
          <w:w w:val="99"/>
          <w:sz w:val="32"/>
          <w:szCs w:val="32"/>
        </w:rPr>
        <w:t>1</w:t>
      </w:r>
      <w:r>
        <w:rPr>
          <w:rFonts w:ascii="Calibri" w:eastAsia="Calibri"/>
          <w:spacing w:val="17"/>
          <w:sz w:val="32"/>
          <w:szCs w:val="32"/>
        </w:rPr>
        <w:t xml:space="preserve"> </w:t>
      </w:r>
      <w:r>
        <w:rPr>
          <w:spacing w:val="8"/>
          <w:w w:val="99"/>
          <w:sz w:val="32"/>
          <w:szCs w:val="32"/>
        </w:rPr>
        <w:t>名法律</w:t>
      </w:r>
      <w:r>
        <w:rPr>
          <w:spacing w:val="12"/>
          <w:w w:val="99"/>
          <w:sz w:val="32"/>
          <w:szCs w:val="32"/>
        </w:rPr>
        <w:t>顾问（律师）</w:t>
      </w:r>
      <w:r>
        <w:rPr>
          <w:spacing w:val="10"/>
          <w:w w:val="99"/>
          <w:sz w:val="32"/>
          <w:szCs w:val="32"/>
        </w:rPr>
        <w:t>全覆盖。推行社区民警指挥负责、若干辅警和各</w:t>
      </w:r>
    </w:p>
    <w:p w14:paraId="36DB1B17">
      <w:pPr>
        <w:spacing w:line="338" w:lineRule="auto"/>
        <w:jc w:val="both"/>
        <w:sectPr>
          <w:pgSz w:w="11910" w:h="16840"/>
          <w:pgMar w:top="1800" w:right="1200" w:bottom="1160" w:left="1360" w:header="0" w:footer="975" w:gutter="0"/>
          <w:cols w:space="720" w:num="1"/>
        </w:sectPr>
      </w:pPr>
    </w:p>
    <w:p w14:paraId="65F8D46A">
      <w:pPr>
        <w:spacing w:before="28" w:line="338" w:lineRule="auto"/>
        <w:ind w:left="113" w:right="120"/>
        <w:rPr>
          <w:sz w:val="32"/>
          <w:szCs w:val="32"/>
        </w:rPr>
      </w:pPr>
      <w:r>
        <w:rPr>
          <w:spacing w:val="17"/>
          <w:w w:val="99"/>
          <w:sz w:val="32"/>
          <w:szCs w:val="32"/>
        </w:rPr>
        <w:t>种社会综治力量参与的“</w:t>
      </w:r>
      <w:r>
        <w:rPr>
          <w:rFonts w:ascii="Calibri" w:hAnsi="Calibri" w:eastAsia="Calibri"/>
          <w:spacing w:val="3"/>
          <w:w w:val="99"/>
          <w:sz w:val="32"/>
          <w:szCs w:val="32"/>
        </w:rPr>
        <w:t>1</w:t>
      </w:r>
      <w:r>
        <w:rPr>
          <w:rFonts w:ascii="Calibri" w:hAnsi="Calibri" w:eastAsia="Calibri"/>
          <w:spacing w:val="4"/>
          <w:w w:val="99"/>
          <w:sz w:val="32"/>
          <w:szCs w:val="32"/>
        </w:rPr>
        <w:t>+</w:t>
      </w:r>
      <w:r>
        <w:rPr>
          <w:rFonts w:ascii="Calibri" w:hAnsi="Calibri" w:eastAsia="Calibri"/>
          <w:spacing w:val="7"/>
          <w:w w:val="99"/>
          <w:sz w:val="32"/>
          <w:szCs w:val="32"/>
        </w:rPr>
        <w:t>X</w:t>
      </w:r>
      <w:r>
        <w:rPr>
          <w:rFonts w:ascii="Calibri" w:hAnsi="Calibri" w:eastAsia="Calibri"/>
          <w:spacing w:val="6"/>
          <w:w w:val="99"/>
          <w:sz w:val="32"/>
          <w:szCs w:val="32"/>
        </w:rPr>
        <w:t>+</w:t>
      </w:r>
      <w:r>
        <w:rPr>
          <w:rFonts w:ascii="Calibri" w:hAnsi="Calibri" w:eastAsia="Calibri"/>
          <w:spacing w:val="14"/>
          <w:w w:val="99"/>
          <w:sz w:val="32"/>
          <w:szCs w:val="32"/>
        </w:rPr>
        <w:t>N</w:t>
      </w:r>
      <w:r>
        <w:rPr>
          <w:spacing w:val="14"/>
          <w:w w:val="99"/>
          <w:sz w:val="32"/>
          <w:szCs w:val="32"/>
        </w:rPr>
        <w:t>”工作模式，着力打造“枫桥</w:t>
      </w:r>
      <w:r>
        <w:rPr>
          <w:spacing w:val="-2"/>
          <w:w w:val="99"/>
          <w:sz w:val="32"/>
          <w:szCs w:val="32"/>
        </w:rPr>
        <w:t>式”派出所和警务室。加快推进立体化社会治安防控体系建设，</w:t>
      </w:r>
      <w:r>
        <w:rPr>
          <w:spacing w:val="11"/>
          <w:w w:val="99"/>
          <w:sz w:val="32"/>
          <w:szCs w:val="32"/>
        </w:rPr>
        <w:t>持续完善人民调解“四张网”，深化“法治信访”品牌建设，</w:t>
      </w:r>
      <w:r>
        <w:rPr>
          <w:spacing w:val="9"/>
          <w:w w:val="99"/>
          <w:sz w:val="32"/>
          <w:szCs w:val="32"/>
        </w:rPr>
        <w:t>成立信访调解中心，聘请退休法官、检察官和人民调解员专职</w:t>
      </w:r>
      <w:r>
        <w:rPr>
          <w:spacing w:val="11"/>
          <w:w w:val="99"/>
          <w:sz w:val="32"/>
          <w:szCs w:val="32"/>
        </w:rPr>
        <w:t>调解信访矛盾。建立信访“六包一”制度，由包案领导组织相关部门联合调处化解，及时就地解决合理诉求。</w:t>
      </w:r>
    </w:p>
    <w:p w14:paraId="15F9D7BA">
      <w:pPr>
        <w:spacing w:line="405" w:lineRule="exact"/>
        <w:ind w:left="778"/>
        <w:rPr>
          <w:rFonts w:ascii="黑体" w:eastAsia="黑体"/>
          <w:sz w:val="32"/>
          <w:szCs w:val="32"/>
        </w:rPr>
      </w:pPr>
      <w:r>
        <w:rPr>
          <w:rFonts w:ascii="黑体" w:eastAsia="黑体"/>
          <w:spacing w:val="12"/>
          <w:w w:val="95"/>
          <w:sz w:val="32"/>
          <w:szCs w:val="32"/>
        </w:rPr>
        <w:t>四、德治</w:t>
      </w:r>
      <w:r>
        <w:rPr>
          <w:rFonts w:ascii="黑体" w:eastAsia="黑体"/>
          <w:spacing w:val="14"/>
          <w:w w:val="95"/>
          <w:sz w:val="32"/>
          <w:szCs w:val="32"/>
        </w:rPr>
        <w:t>教</w:t>
      </w:r>
      <w:r>
        <w:rPr>
          <w:rFonts w:ascii="黑体" w:eastAsia="黑体"/>
          <w:spacing w:val="12"/>
          <w:w w:val="95"/>
          <w:sz w:val="32"/>
          <w:szCs w:val="32"/>
        </w:rPr>
        <w:t>化</w:t>
      </w:r>
      <w:r>
        <w:rPr>
          <w:rFonts w:ascii="黑体" w:eastAsia="黑体"/>
          <w:spacing w:val="13"/>
          <w:w w:val="95"/>
          <w:sz w:val="32"/>
          <w:szCs w:val="32"/>
        </w:rPr>
        <w:t>，推</w:t>
      </w:r>
      <w:r>
        <w:rPr>
          <w:rFonts w:ascii="黑体" w:eastAsia="黑体"/>
          <w:spacing w:val="12"/>
          <w:w w:val="95"/>
          <w:sz w:val="32"/>
          <w:szCs w:val="32"/>
        </w:rPr>
        <w:t>动治</w:t>
      </w:r>
      <w:r>
        <w:rPr>
          <w:rFonts w:ascii="黑体" w:eastAsia="黑体"/>
          <w:spacing w:val="14"/>
          <w:w w:val="95"/>
          <w:sz w:val="32"/>
          <w:szCs w:val="32"/>
        </w:rPr>
        <w:t>理</w:t>
      </w:r>
      <w:r>
        <w:rPr>
          <w:rFonts w:ascii="黑体" w:eastAsia="黑体"/>
          <w:spacing w:val="12"/>
          <w:w w:val="95"/>
          <w:sz w:val="32"/>
          <w:szCs w:val="32"/>
        </w:rPr>
        <w:t>模式</w:t>
      </w:r>
      <w:r>
        <w:rPr>
          <w:rFonts w:ascii="黑体" w:eastAsia="黑体"/>
          <w:spacing w:val="5"/>
          <w:w w:val="95"/>
          <w:sz w:val="32"/>
          <w:szCs w:val="32"/>
        </w:rPr>
        <w:t>人性化</w:t>
      </w:r>
    </w:p>
    <w:p w14:paraId="2CD5BFA8">
      <w:pPr>
        <w:spacing w:before="166" w:line="338" w:lineRule="auto"/>
        <w:ind w:left="113" w:right="120" w:firstLine="664"/>
        <w:rPr>
          <w:sz w:val="32"/>
          <w:szCs w:val="32"/>
        </w:rPr>
      </w:pPr>
      <w:r>
        <w:rPr>
          <w:spacing w:val="11"/>
          <w:w w:val="99"/>
          <w:sz w:val="32"/>
          <w:szCs w:val="32"/>
        </w:rPr>
        <w:t>加强新时代文明实践中心</w:t>
      </w:r>
      <w:r>
        <w:rPr>
          <w:spacing w:val="12"/>
          <w:w w:val="99"/>
          <w:sz w:val="32"/>
          <w:szCs w:val="32"/>
        </w:rPr>
        <w:t>（所、站</w:t>
      </w:r>
      <w:r>
        <w:rPr>
          <w:spacing w:val="9"/>
          <w:w w:val="99"/>
          <w:sz w:val="32"/>
          <w:szCs w:val="32"/>
        </w:rPr>
        <w:t>）</w:t>
      </w:r>
      <w:r>
        <w:rPr>
          <w:spacing w:val="10"/>
          <w:w w:val="99"/>
          <w:sz w:val="32"/>
          <w:szCs w:val="32"/>
        </w:rPr>
        <w:t>建设，形成新时代文明实践的“金凤模式”。广泛开展道德模范评选表彰活动。发</w:t>
      </w:r>
      <w:r>
        <w:rPr>
          <w:spacing w:val="11"/>
          <w:w w:val="99"/>
          <w:sz w:val="32"/>
          <w:szCs w:val="32"/>
        </w:rPr>
        <w:t>展壮大党员志愿服务队伍，推广“满城卫士”等服务方式，着力打造“日行一善”“邻里一家亲”“移风易俗巡回宣讲”等</w:t>
      </w:r>
      <w:r>
        <w:rPr>
          <w:spacing w:val="1"/>
          <w:w w:val="99"/>
          <w:sz w:val="32"/>
          <w:szCs w:val="32"/>
        </w:rPr>
        <w:t>特色志愿服务品牌和公益项目，推动实现志愿者的注册、分类、</w:t>
      </w:r>
      <w:r>
        <w:rPr>
          <w:spacing w:val="9"/>
          <w:w w:val="99"/>
          <w:sz w:val="32"/>
          <w:szCs w:val="32"/>
        </w:rPr>
        <w:t>培训、积分、礼遇全覆盖。把宗教治理作为社区网格化管理的重要内容，强化政策宣传、矛盾调处、防范抵御非法宗教活动</w:t>
      </w:r>
      <w:r>
        <w:rPr>
          <w:spacing w:val="11"/>
          <w:w w:val="99"/>
          <w:sz w:val="32"/>
          <w:szCs w:val="32"/>
        </w:rPr>
        <w:t>等职责。建立社区“两委”成员联系辖区宗教活动场所职责，</w:t>
      </w:r>
      <w:r>
        <w:rPr>
          <w:spacing w:val="10"/>
          <w:w w:val="99"/>
          <w:sz w:val="32"/>
          <w:szCs w:val="32"/>
        </w:rPr>
        <w:t>推进宗教活动场所管理与社区治理共建共治，深化民族团结进步示范社区创建，促进社区各民族交往交流交融。大力培育和</w:t>
      </w:r>
      <w:r>
        <w:rPr>
          <w:spacing w:val="9"/>
          <w:w w:val="99"/>
          <w:sz w:val="32"/>
          <w:szCs w:val="32"/>
        </w:rPr>
        <w:t>践行社会主义核心价值观，严格落实意识形态工作责任制，挖掘区域内红色文化、传统文化，把继承优秀传统文化和弘扬社</w:t>
      </w:r>
      <w:r>
        <w:rPr>
          <w:spacing w:val="11"/>
          <w:w w:val="99"/>
          <w:sz w:val="32"/>
          <w:szCs w:val="32"/>
        </w:rPr>
        <w:t>会主义先进文化相结合，创造共居共学共事共乐的良好氛围。</w:t>
      </w:r>
      <w:r>
        <w:rPr>
          <w:spacing w:val="10"/>
          <w:w w:val="99"/>
          <w:sz w:val="32"/>
          <w:szCs w:val="32"/>
        </w:rPr>
        <w:t>推动家庭文明、家庭教育、家庭服务工作，发挥家教家风在基层社会治理中的作用。依托社区综合文化服务中心和文化体育活动广场，经常性开展文化体育活动，打造特色健身项目站点</w:t>
      </w:r>
    </w:p>
    <w:p w14:paraId="4027F027">
      <w:pPr>
        <w:spacing w:line="338" w:lineRule="auto"/>
        <w:sectPr>
          <w:pgSz w:w="11910" w:h="16840"/>
          <w:pgMar w:top="1800" w:right="1200" w:bottom="1160" w:left="1360" w:header="0" w:footer="975" w:gutter="0"/>
          <w:cols w:space="720" w:num="1"/>
        </w:sectPr>
      </w:pPr>
    </w:p>
    <w:p w14:paraId="1CB0449B">
      <w:pPr>
        <w:spacing w:before="28"/>
        <w:ind w:left="113"/>
        <w:rPr>
          <w:sz w:val="32"/>
          <w:szCs w:val="32"/>
        </w:rPr>
      </w:pPr>
      <w:r>
        <w:rPr>
          <w:spacing w:val="12"/>
          <w:w w:val="95"/>
          <w:sz w:val="32"/>
          <w:szCs w:val="32"/>
        </w:rPr>
        <w:t>和就近便捷</w:t>
      </w:r>
      <w:r>
        <w:rPr>
          <w:w w:val="95"/>
          <w:sz w:val="32"/>
          <w:szCs w:val="32"/>
        </w:rPr>
        <w:t>“</w:t>
      </w:r>
      <w:r>
        <w:rPr>
          <w:rFonts w:ascii="Calibri" w:hAnsi="Calibri" w:eastAsia="Calibri"/>
          <w:w w:val="95"/>
          <w:sz w:val="32"/>
          <w:szCs w:val="32"/>
        </w:rPr>
        <w:t>10</w:t>
      </w:r>
      <w:r>
        <w:rPr>
          <w:rFonts w:ascii="Calibri" w:hAnsi="Calibri" w:eastAsia="Calibri"/>
          <w:spacing w:val="64"/>
          <w:sz w:val="32"/>
          <w:szCs w:val="32"/>
        </w:rPr>
        <w:t xml:space="preserve">  </w:t>
      </w:r>
      <w:r>
        <w:rPr>
          <w:spacing w:val="13"/>
          <w:w w:val="95"/>
          <w:sz w:val="32"/>
          <w:szCs w:val="32"/>
        </w:rPr>
        <w:t>分钟</w:t>
      </w:r>
      <w:r>
        <w:rPr>
          <w:spacing w:val="12"/>
          <w:w w:val="95"/>
          <w:sz w:val="32"/>
          <w:szCs w:val="32"/>
        </w:rPr>
        <w:t>健身圈</w:t>
      </w:r>
      <w:r>
        <w:rPr>
          <w:spacing w:val="2"/>
          <w:w w:val="95"/>
          <w:sz w:val="32"/>
          <w:szCs w:val="32"/>
        </w:rPr>
        <w:t>”。</w:t>
      </w:r>
    </w:p>
    <w:p w14:paraId="3144A17C">
      <w:pPr>
        <w:spacing w:before="154"/>
        <w:ind w:left="778"/>
        <w:rPr>
          <w:rFonts w:ascii="黑体" w:eastAsia="黑体"/>
          <w:sz w:val="32"/>
          <w:szCs w:val="32"/>
        </w:rPr>
      </w:pPr>
      <w:r>
        <w:rPr>
          <w:rFonts w:ascii="黑体" w:eastAsia="黑体"/>
          <w:spacing w:val="12"/>
          <w:w w:val="95"/>
          <w:sz w:val="32"/>
          <w:szCs w:val="32"/>
        </w:rPr>
        <w:t>五、智治</w:t>
      </w:r>
      <w:r>
        <w:rPr>
          <w:rFonts w:ascii="黑体" w:eastAsia="黑体"/>
          <w:spacing w:val="14"/>
          <w:w w:val="95"/>
          <w:sz w:val="32"/>
          <w:szCs w:val="32"/>
        </w:rPr>
        <w:t>支</w:t>
      </w:r>
      <w:r>
        <w:rPr>
          <w:rFonts w:ascii="黑体" w:eastAsia="黑体"/>
          <w:spacing w:val="12"/>
          <w:w w:val="95"/>
          <w:sz w:val="32"/>
          <w:szCs w:val="32"/>
        </w:rPr>
        <w:t>撑</w:t>
      </w:r>
      <w:r>
        <w:rPr>
          <w:rFonts w:ascii="黑体" w:eastAsia="黑体"/>
          <w:spacing w:val="13"/>
          <w:w w:val="95"/>
          <w:sz w:val="32"/>
          <w:szCs w:val="32"/>
        </w:rPr>
        <w:t>，推</w:t>
      </w:r>
      <w:r>
        <w:rPr>
          <w:rFonts w:ascii="黑体" w:eastAsia="黑体"/>
          <w:spacing w:val="12"/>
          <w:w w:val="95"/>
          <w:sz w:val="32"/>
          <w:szCs w:val="32"/>
        </w:rPr>
        <w:t>动治</w:t>
      </w:r>
      <w:r>
        <w:rPr>
          <w:rFonts w:ascii="黑体" w:eastAsia="黑体"/>
          <w:spacing w:val="14"/>
          <w:w w:val="95"/>
          <w:sz w:val="32"/>
          <w:szCs w:val="32"/>
        </w:rPr>
        <w:t>理</w:t>
      </w:r>
      <w:r>
        <w:rPr>
          <w:rFonts w:ascii="黑体" w:eastAsia="黑体"/>
          <w:spacing w:val="12"/>
          <w:w w:val="95"/>
          <w:sz w:val="32"/>
          <w:szCs w:val="32"/>
        </w:rPr>
        <w:t>载体</w:t>
      </w:r>
      <w:r>
        <w:rPr>
          <w:rFonts w:ascii="黑体" w:eastAsia="黑体"/>
          <w:spacing w:val="5"/>
          <w:w w:val="95"/>
          <w:sz w:val="32"/>
          <w:szCs w:val="32"/>
        </w:rPr>
        <w:t>数字化</w:t>
      </w:r>
    </w:p>
    <w:p w14:paraId="30F3EE36">
      <w:pPr>
        <w:spacing w:before="166" w:line="338" w:lineRule="auto"/>
        <w:ind w:left="113" w:right="120" w:firstLine="664"/>
        <w:rPr>
          <w:sz w:val="32"/>
          <w:szCs w:val="32"/>
        </w:rPr>
      </w:pPr>
      <w:r>
        <w:rPr>
          <w:spacing w:val="10"/>
          <w:w w:val="99"/>
          <w:sz w:val="32"/>
          <w:szCs w:val="32"/>
        </w:rPr>
        <w:t>依托智慧金凤社区治理综合平台，加快金凤区数字化社区</w:t>
      </w:r>
      <w:r>
        <w:rPr>
          <w:spacing w:val="9"/>
          <w:w w:val="99"/>
          <w:sz w:val="32"/>
          <w:szCs w:val="32"/>
        </w:rPr>
        <w:t>平台建设，探索数字化社区治理和服务新模式，推进党建、政</w:t>
      </w:r>
      <w:r>
        <w:rPr>
          <w:spacing w:val="11"/>
          <w:w w:val="99"/>
          <w:sz w:val="32"/>
          <w:szCs w:val="32"/>
        </w:rPr>
        <w:t>务、服务网络一体化，推动智慧党建和信息化建设深度融合。</w:t>
      </w:r>
      <w:r>
        <w:rPr>
          <w:spacing w:val="2"/>
          <w:w w:val="99"/>
          <w:sz w:val="32"/>
          <w:szCs w:val="32"/>
        </w:rPr>
        <w:t>紧紧围绕群众日益增长的现代化服务需求，以大数据、物联网、</w:t>
      </w:r>
      <w:r>
        <w:rPr>
          <w:spacing w:val="9"/>
          <w:w w:val="99"/>
          <w:sz w:val="32"/>
          <w:szCs w:val="32"/>
        </w:rPr>
        <w:t>云计算、人工智能等高新技术为支撑，构建以智慧城市综合指</w:t>
      </w:r>
      <w:r>
        <w:rPr>
          <w:spacing w:val="10"/>
          <w:w w:val="99"/>
          <w:sz w:val="32"/>
          <w:szCs w:val="32"/>
        </w:rPr>
        <w:t>挥中心为核心、街镇分中心为支撑、村居工作站为基础的“一</w:t>
      </w:r>
      <w:r>
        <w:rPr>
          <w:spacing w:val="11"/>
          <w:w w:val="99"/>
          <w:sz w:val="32"/>
          <w:szCs w:val="32"/>
        </w:rPr>
        <w:t>级指挥，三级联动”的社会治理模式，推动基层治理现代化。</w:t>
      </w:r>
      <w:r>
        <w:rPr>
          <w:spacing w:val="9"/>
          <w:w w:val="99"/>
          <w:sz w:val="32"/>
          <w:szCs w:val="32"/>
        </w:rPr>
        <w:t>结合老旧小区改造，推进社区试点建设，对小区进行数字化改造，实现数据共享、互联互通。依托智慧金凤社会综合治理平</w:t>
      </w:r>
      <w:r>
        <w:rPr>
          <w:spacing w:val="11"/>
          <w:w w:val="99"/>
          <w:sz w:val="32"/>
          <w:szCs w:val="32"/>
        </w:rPr>
        <w:t>台建设金凤区基础资源共享库，建立人、房、车、事、物、视</w:t>
      </w:r>
      <w:r>
        <w:rPr>
          <w:spacing w:val="10"/>
          <w:w w:val="99"/>
          <w:sz w:val="32"/>
          <w:szCs w:val="32"/>
        </w:rPr>
        <w:t>频、物联感应基础数据库和精细化管理系统，通过数据研判分析，为社区治理及应对突发事件提供精准决策服务，实现“一站式采集录入、全平台自动关联、多系统共享应用”和“以图管房、以房管人”目标，切实提高社区治理工作的信息化、智</w:t>
      </w:r>
      <w:r>
        <w:rPr>
          <w:spacing w:val="9"/>
          <w:w w:val="99"/>
          <w:sz w:val="32"/>
          <w:szCs w:val="32"/>
        </w:rPr>
        <w:t>能化水平。</w:t>
      </w:r>
    </w:p>
    <w:p w14:paraId="1F9BCDB0">
      <w:pPr>
        <w:spacing w:line="338" w:lineRule="auto"/>
        <w:sectPr>
          <w:pgSz w:w="11910" w:h="16840"/>
          <w:pgMar w:top="1800" w:right="1200" w:bottom="1160" w:left="1360" w:header="0" w:footer="975" w:gutter="0"/>
          <w:cols w:space="720" w:num="1"/>
        </w:sectPr>
      </w:pPr>
    </w:p>
    <w:p w14:paraId="22632BB8">
      <w:pPr>
        <w:spacing w:before="10"/>
        <w:rPr>
          <w:sz w:val="24"/>
          <w:szCs w:val="32"/>
        </w:rPr>
      </w:pPr>
    </w:p>
    <w:p w14:paraId="5190E552">
      <w:pPr>
        <w:tabs>
          <w:tab w:val="left" w:pos="1799"/>
        </w:tabs>
        <w:spacing w:before="49"/>
        <w:ind w:right="161"/>
        <w:jc w:val="center"/>
        <w:outlineLvl w:val="0"/>
        <w:rPr>
          <w:rFonts w:ascii="黑体" w:hAnsi="黑体" w:eastAsia="黑体" w:cs="方正小标宋简体"/>
          <w:sz w:val="36"/>
          <w:szCs w:val="36"/>
        </w:rPr>
      </w:pPr>
      <w:r>
        <w:rPr>
          <w:rFonts w:ascii="黑体" w:hAnsi="黑体" w:eastAsia="黑体" w:cs="方正小标宋简体"/>
          <w:sz w:val="36"/>
          <w:szCs w:val="36"/>
        </w:rPr>
        <w:t>第十六</w:t>
      </w:r>
      <w:r>
        <w:rPr>
          <w:rFonts w:ascii="黑体" w:hAnsi="黑体" w:eastAsia="黑体" w:cs="方正小标宋简体"/>
          <w:spacing w:val="-10"/>
          <w:sz w:val="36"/>
          <w:szCs w:val="36"/>
        </w:rPr>
        <w:t>章</w:t>
      </w:r>
      <w:r>
        <w:rPr>
          <w:rFonts w:ascii="黑体" w:hAnsi="黑体" w:eastAsia="黑体" w:cs="方正小标宋简体"/>
          <w:sz w:val="36"/>
          <w:szCs w:val="36"/>
        </w:rPr>
        <w:tab/>
      </w:r>
      <w:r>
        <w:rPr>
          <w:rFonts w:ascii="黑体" w:hAnsi="黑体" w:eastAsia="黑体" w:cs="方正小标宋简体"/>
          <w:sz w:val="36"/>
          <w:szCs w:val="36"/>
        </w:rPr>
        <w:t>深入推进“法治金凤”建</w:t>
      </w:r>
      <w:r>
        <w:rPr>
          <w:rFonts w:ascii="黑体" w:hAnsi="黑体" w:eastAsia="黑体" w:cs="方正小标宋简体"/>
          <w:spacing w:val="-10"/>
          <w:sz w:val="36"/>
          <w:szCs w:val="36"/>
        </w:rPr>
        <w:t>设</w:t>
      </w:r>
    </w:p>
    <w:p w14:paraId="3EBA4C76">
      <w:pPr>
        <w:rPr>
          <w:rFonts w:ascii="黑体"/>
          <w:sz w:val="36"/>
          <w:szCs w:val="32"/>
        </w:rPr>
      </w:pPr>
    </w:p>
    <w:p w14:paraId="0C142443">
      <w:pPr>
        <w:spacing w:before="260"/>
        <w:ind w:right="181"/>
        <w:jc w:val="center"/>
        <w:outlineLvl w:val="1"/>
        <w:rPr>
          <w:rFonts w:ascii="宋体" w:hAnsi="宋体" w:eastAsia="宋体" w:cs="宋体"/>
          <w:b/>
          <w:bCs/>
          <w:sz w:val="32"/>
          <w:szCs w:val="32"/>
        </w:rPr>
      </w:pPr>
      <w:r>
        <w:rPr>
          <w:rFonts w:ascii="宋体" w:hAnsi="宋体" w:eastAsia="宋体" w:cs="宋体"/>
          <w:b/>
          <w:bCs/>
          <w:spacing w:val="24"/>
          <w:sz w:val="32"/>
          <w:szCs w:val="32"/>
        </w:rPr>
        <w:t>第一</w:t>
      </w:r>
      <w:r>
        <w:rPr>
          <w:rFonts w:ascii="宋体" w:hAnsi="宋体" w:eastAsia="宋体" w:cs="宋体"/>
          <w:b/>
          <w:bCs/>
          <w:spacing w:val="70"/>
          <w:sz w:val="32"/>
          <w:szCs w:val="32"/>
        </w:rPr>
        <w:t>节 健</w:t>
      </w:r>
      <w:r>
        <w:rPr>
          <w:rFonts w:ascii="宋体" w:hAnsi="宋体" w:eastAsia="宋体" w:cs="宋体"/>
          <w:b/>
          <w:bCs/>
          <w:spacing w:val="24"/>
          <w:sz w:val="32"/>
          <w:szCs w:val="32"/>
        </w:rPr>
        <w:t>全法治宣传教育机</w:t>
      </w:r>
      <w:r>
        <w:rPr>
          <w:rFonts w:ascii="宋体" w:hAnsi="宋体" w:eastAsia="宋体" w:cs="宋体"/>
          <w:b/>
          <w:bCs/>
          <w:spacing w:val="-10"/>
          <w:sz w:val="32"/>
          <w:szCs w:val="32"/>
        </w:rPr>
        <w:t>制</w:t>
      </w:r>
    </w:p>
    <w:p w14:paraId="7BBFC633">
      <w:pPr>
        <w:spacing w:before="2"/>
        <w:rPr>
          <w:rFonts w:ascii="宋体"/>
          <w:b/>
          <w:sz w:val="25"/>
          <w:szCs w:val="32"/>
        </w:rPr>
      </w:pPr>
    </w:p>
    <w:p w14:paraId="072384A6">
      <w:pPr>
        <w:spacing w:line="338" w:lineRule="auto"/>
        <w:ind w:left="113" w:right="126" w:firstLine="684"/>
        <w:rPr>
          <w:sz w:val="32"/>
          <w:szCs w:val="32"/>
        </w:rPr>
      </w:pPr>
      <w:r>
        <w:rPr>
          <w:spacing w:val="23"/>
          <w:w w:val="99"/>
          <w:sz w:val="32"/>
          <w:szCs w:val="32"/>
        </w:rPr>
        <w:t>全面落实“谁执法谁普法”普法责任制，将民法典宣传</w:t>
      </w:r>
      <w:r>
        <w:rPr>
          <w:spacing w:val="21"/>
          <w:w w:val="99"/>
          <w:sz w:val="32"/>
          <w:szCs w:val="32"/>
        </w:rPr>
        <w:t>纳入“八五”普法规划，</w:t>
      </w:r>
      <w:r>
        <w:rPr>
          <w:spacing w:val="-131"/>
          <w:sz w:val="32"/>
          <w:szCs w:val="32"/>
        </w:rPr>
        <w:t xml:space="preserve"> </w:t>
      </w:r>
      <w:r>
        <w:rPr>
          <w:spacing w:val="22"/>
          <w:w w:val="99"/>
          <w:sz w:val="32"/>
          <w:szCs w:val="32"/>
        </w:rPr>
        <w:t>持续推进法律“十进”，全区范围</w:t>
      </w:r>
      <w:r>
        <w:rPr>
          <w:spacing w:val="26"/>
          <w:w w:val="99"/>
          <w:sz w:val="32"/>
          <w:szCs w:val="32"/>
        </w:rPr>
        <w:t>内组织开展专项宣传教育。丰富群众法治实践，</w:t>
      </w:r>
      <w:r>
        <w:rPr>
          <w:spacing w:val="-131"/>
          <w:sz w:val="32"/>
          <w:szCs w:val="32"/>
        </w:rPr>
        <w:t xml:space="preserve"> </w:t>
      </w:r>
      <w:r>
        <w:rPr>
          <w:spacing w:val="18"/>
          <w:w w:val="99"/>
          <w:sz w:val="32"/>
          <w:szCs w:val="32"/>
        </w:rPr>
        <w:t>利用“</w:t>
      </w:r>
      <w:r>
        <w:rPr>
          <w:spacing w:val="-131"/>
          <w:sz w:val="32"/>
          <w:szCs w:val="32"/>
        </w:rPr>
        <w:t xml:space="preserve"> </w:t>
      </w:r>
      <w:r>
        <w:rPr>
          <w:rFonts w:ascii="Calibri" w:hAnsi="Calibri" w:eastAsia="Calibri"/>
          <w:spacing w:val="13"/>
          <w:w w:val="99"/>
          <w:sz w:val="32"/>
          <w:szCs w:val="32"/>
        </w:rPr>
        <w:t>3</w:t>
      </w:r>
      <w:r>
        <w:rPr>
          <w:rFonts w:ascii="Calibri" w:hAnsi="Calibri" w:eastAsia="Calibri"/>
          <w:spacing w:val="8"/>
          <w:w w:val="99"/>
          <w:sz w:val="32"/>
          <w:szCs w:val="32"/>
        </w:rPr>
        <w:t>·</w:t>
      </w:r>
      <w:r>
        <w:rPr>
          <w:rFonts w:ascii="Calibri" w:hAnsi="Calibri" w:eastAsia="Calibri"/>
          <w:spacing w:val="13"/>
          <w:w w:val="99"/>
          <w:sz w:val="32"/>
          <w:szCs w:val="32"/>
        </w:rPr>
        <w:t>1</w:t>
      </w:r>
      <w:r>
        <w:rPr>
          <w:rFonts w:ascii="Calibri" w:hAnsi="Calibri" w:eastAsia="Calibri"/>
          <w:w w:val="99"/>
          <w:sz w:val="32"/>
          <w:szCs w:val="32"/>
        </w:rPr>
        <w:t>5</w:t>
      </w:r>
      <w:r>
        <w:rPr>
          <w:spacing w:val="26"/>
          <w:w w:val="99"/>
          <w:sz w:val="32"/>
          <w:szCs w:val="32"/>
        </w:rPr>
        <w:t>消费者日”“</w:t>
      </w:r>
      <w:r>
        <w:rPr>
          <w:rFonts w:ascii="Calibri" w:hAnsi="Calibri" w:eastAsia="Calibri"/>
          <w:spacing w:val="13"/>
          <w:w w:val="99"/>
          <w:sz w:val="32"/>
          <w:szCs w:val="32"/>
        </w:rPr>
        <w:t>4</w:t>
      </w:r>
      <w:r>
        <w:rPr>
          <w:rFonts w:ascii="Calibri" w:hAnsi="Calibri" w:eastAsia="Calibri"/>
          <w:spacing w:val="10"/>
          <w:w w:val="99"/>
          <w:sz w:val="32"/>
          <w:szCs w:val="32"/>
        </w:rPr>
        <w:t>·</w:t>
      </w:r>
      <w:r>
        <w:rPr>
          <w:rFonts w:ascii="Calibri" w:hAnsi="Calibri" w:eastAsia="Calibri"/>
          <w:spacing w:val="8"/>
          <w:w w:val="99"/>
          <w:sz w:val="32"/>
          <w:szCs w:val="32"/>
        </w:rPr>
        <w:t>1</w:t>
      </w:r>
      <w:r>
        <w:rPr>
          <w:rFonts w:ascii="Calibri" w:hAnsi="Calibri" w:eastAsia="Calibri"/>
          <w:w w:val="99"/>
          <w:sz w:val="32"/>
          <w:szCs w:val="32"/>
        </w:rPr>
        <w:t>5</w:t>
      </w:r>
      <w:r>
        <w:rPr>
          <w:rFonts w:ascii="Calibri" w:hAnsi="Calibri" w:eastAsia="Calibri"/>
          <w:spacing w:val="32"/>
          <w:sz w:val="32"/>
          <w:szCs w:val="32"/>
        </w:rPr>
        <w:t xml:space="preserve"> </w:t>
      </w:r>
      <w:r>
        <w:rPr>
          <w:spacing w:val="26"/>
          <w:w w:val="99"/>
          <w:sz w:val="32"/>
          <w:szCs w:val="32"/>
        </w:rPr>
        <w:t>国家安全日”“</w:t>
      </w:r>
      <w:r>
        <w:rPr>
          <w:rFonts w:ascii="Calibri" w:hAnsi="Calibri" w:eastAsia="Calibri"/>
          <w:spacing w:val="11"/>
          <w:w w:val="99"/>
          <w:sz w:val="32"/>
          <w:szCs w:val="32"/>
        </w:rPr>
        <w:t>6</w:t>
      </w:r>
      <w:r>
        <w:rPr>
          <w:rFonts w:ascii="Calibri" w:hAnsi="Calibri" w:eastAsia="Calibri"/>
          <w:spacing w:val="10"/>
          <w:w w:val="99"/>
          <w:sz w:val="32"/>
          <w:szCs w:val="32"/>
        </w:rPr>
        <w:t>·</w:t>
      </w:r>
      <w:r>
        <w:rPr>
          <w:rFonts w:ascii="Calibri" w:hAnsi="Calibri" w:eastAsia="Calibri"/>
          <w:spacing w:val="8"/>
          <w:w w:val="99"/>
          <w:sz w:val="32"/>
          <w:szCs w:val="32"/>
        </w:rPr>
        <w:t>2</w:t>
      </w:r>
      <w:r>
        <w:rPr>
          <w:rFonts w:ascii="Calibri" w:hAnsi="Calibri" w:eastAsia="Calibri"/>
          <w:w w:val="99"/>
          <w:sz w:val="32"/>
          <w:szCs w:val="32"/>
        </w:rPr>
        <w:t>6</w:t>
      </w:r>
      <w:r>
        <w:rPr>
          <w:rFonts w:ascii="Calibri" w:hAnsi="Calibri" w:eastAsia="Calibri"/>
          <w:spacing w:val="34"/>
          <w:sz w:val="32"/>
          <w:szCs w:val="32"/>
        </w:rPr>
        <w:t xml:space="preserve"> </w:t>
      </w:r>
      <w:r>
        <w:rPr>
          <w:spacing w:val="22"/>
          <w:w w:val="99"/>
          <w:sz w:val="32"/>
          <w:szCs w:val="32"/>
        </w:rPr>
        <w:t>国际禁毒日”“</w:t>
      </w:r>
      <w:r>
        <w:rPr>
          <w:spacing w:val="-131"/>
          <w:sz w:val="32"/>
          <w:szCs w:val="32"/>
        </w:rPr>
        <w:t xml:space="preserve"> </w:t>
      </w:r>
      <w:r>
        <w:rPr>
          <w:rFonts w:ascii="Calibri" w:hAnsi="Calibri" w:eastAsia="Calibri"/>
          <w:spacing w:val="6"/>
          <w:w w:val="99"/>
          <w:sz w:val="32"/>
          <w:szCs w:val="32"/>
        </w:rPr>
        <w:t>1</w:t>
      </w:r>
      <w:r>
        <w:rPr>
          <w:rFonts w:ascii="Calibri" w:hAnsi="Calibri" w:eastAsia="Calibri"/>
          <w:spacing w:val="15"/>
          <w:w w:val="99"/>
          <w:sz w:val="32"/>
          <w:szCs w:val="32"/>
        </w:rPr>
        <w:t>2</w:t>
      </w:r>
      <w:r>
        <w:rPr>
          <w:rFonts w:ascii="Calibri" w:hAnsi="Calibri" w:eastAsia="Calibri"/>
          <w:spacing w:val="10"/>
          <w:w w:val="99"/>
          <w:sz w:val="32"/>
          <w:szCs w:val="32"/>
        </w:rPr>
        <w:t>·</w:t>
      </w:r>
      <w:r>
        <w:rPr>
          <w:rFonts w:ascii="Calibri" w:hAnsi="Calibri" w:eastAsia="Calibri"/>
          <w:w w:val="99"/>
          <w:sz w:val="32"/>
          <w:szCs w:val="32"/>
        </w:rPr>
        <w:t>4</w:t>
      </w:r>
      <w:r>
        <w:rPr>
          <w:spacing w:val="23"/>
          <w:w w:val="99"/>
          <w:sz w:val="32"/>
          <w:szCs w:val="32"/>
        </w:rPr>
        <w:t>国家宪法日”等重要节点在社区、乡镇集市、企业和宗教场所等地开展宪法、国家安全法、消费者权益保护法等法治宣传教育。利用网络安全宣传周积极开展涵盖线上线下的网络安全法宣传活动，强化网络安全教育。加强青少年法治宣传教育，构建家庭、学校、社会三位一体法治教育格局，有力防范治理校园欺凌和暴力行为，提高青少年法律维权意识。</w:t>
      </w:r>
      <w:r>
        <w:rPr>
          <w:spacing w:val="11"/>
          <w:w w:val="99"/>
          <w:sz w:val="32"/>
          <w:szCs w:val="32"/>
        </w:rPr>
        <w:t>广泛宣传土地管理法、农村土地承包法、村民委员会组织法、</w:t>
      </w:r>
      <w:r>
        <w:rPr>
          <w:spacing w:val="10"/>
          <w:w w:val="99"/>
          <w:sz w:val="32"/>
          <w:szCs w:val="32"/>
        </w:rPr>
        <w:t>婚姻法等，不断增强农村干部群众法治观念和依法维权意识。</w:t>
      </w:r>
      <w:r>
        <w:rPr>
          <w:spacing w:val="24"/>
          <w:w w:val="99"/>
          <w:sz w:val="32"/>
          <w:szCs w:val="32"/>
        </w:rPr>
        <w:t>推进“民主法制示范社区（</w:t>
      </w:r>
      <w:r>
        <w:rPr>
          <w:spacing w:val="26"/>
          <w:w w:val="99"/>
          <w:sz w:val="32"/>
          <w:szCs w:val="32"/>
        </w:rPr>
        <w:t>村</w:t>
      </w:r>
      <w:r>
        <w:rPr>
          <w:spacing w:val="24"/>
          <w:w w:val="99"/>
          <w:sz w:val="32"/>
          <w:szCs w:val="32"/>
        </w:rPr>
        <w:t>）</w:t>
      </w:r>
      <w:r>
        <w:rPr>
          <w:spacing w:val="22"/>
          <w:w w:val="99"/>
          <w:sz w:val="32"/>
          <w:szCs w:val="32"/>
        </w:rPr>
        <w:t>”创建，加强基层法治文化</w:t>
      </w:r>
      <w:r>
        <w:rPr>
          <w:spacing w:val="21"/>
          <w:w w:val="99"/>
          <w:sz w:val="32"/>
          <w:szCs w:val="32"/>
        </w:rPr>
        <w:t>设施建设，积极推动全区社区（</w:t>
      </w:r>
      <w:r>
        <w:rPr>
          <w:spacing w:val="24"/>
          <w:w w:val="99"/>
          <w:sz w:val="32"/>
          <w:szCs w:val="32"/>
        </w:rPr>
        <w:t>村</w:t>
      </w:r>
      <w:r>
        <w:rPr>
          <w:spacing w:val="21"/>
          <w:w w:val="99"/>
          <w:sz w:val="32"/>
          <w:szCs w:val="32"/>
        </w:rPr>
        <w:t>）</w:t>
      </w:r>
      <w:r>
        <w:rPr>
          <w:spacing w:val="18"/>
          <w:w w:val="99"/>
          <w:sz w:val="32"/>
          <w:szCs w:val="32"/>
        </w:rPr>
        <w:t>法治文化阵地全覆盖。</w:t>
      </w:r>
    </w:p>
    <w:p w14:paraId="78A479FE">
      <w:pPr>
        <w:spacing w:before="167"/>
        <w:ind w:right="181"/>
        <w:jc w:val="center"/>
        <w:outlineLvl w:val="1"/>
        <w:rPr>
          <w:rFonts w:ascii="宋体" w:hAnsi="宋体" w:eastAsia="宋体" w:cs="宋体"/>
          <w:b/>
          <w:bCs/>
          <w:sz w:val="32"/>
          <w:szCs w:val="32"/>
        </w:rPr>
      </w:pPr>
      <w:r>
        <w:rPr>
          <w:rFonts w:ascii="宋体" w:hAnsi="宋体" w:eastAsia="宋体" w:cs="宋体"/>
          <w:b/>
          <w:bCs/>
          <w:spacing w:val="24"/>
          <w:sz w:val="32"/>
          <w:szCs w:val="32"/>
        </w:rPr>
        <w:t>第二</w:t>
      </w:r>
      <w:r>
        <w:rPr>
          <w:rFonts w:ascii="宋体" w:hAnsi="宋体" w:eastAsia="宋体" w:cs="宋体"/>
          <w:b/>
          <w:bCs/>
          <w:spacing w:val="70"/>
          <w:sz w:val="32"/>
          <w:szCs w:val="32"/>
        </w:rPr>
        <w:t>节 深</w:t>
      </w:r>
      <w:r>
        <w:rPr>
          <w:rFonts w:ascii="宋体" w:hAnsi="宋体" w:eastAsia="宋体" w:cs="宋体"/>
          <w:b/>
          <w:bCs/>
          <w:spacing w:val="24"/>
          <w:sz w:val="32"/>
          <w:szCs w:val="32"/>
        </w:rPr>
        <w:t>化行政综合执法改</w:t>
      </w:r>
      <w:r>
        <w:rPr>
          <w:rFonts w:ascii="宋体" w:hAnsi="宋体" w:eastAsia="宋体" w:cs="宋体"/>
          <w:b/>
          <w:bCs/>
          <w:spacing w:val="-10"/>
          <w:sz w:val="32"/>
          <w:szCs w:val="32"/>
        </w:rPr>
        <w:t>革</w:t>
      </w:r>
    </w:p>
    <w:p w14:paraId="58E8ED1F">
      <w:pPr>
        <w:spacing w:before="2"/>
        <w:rPr>
          <w:rFonts w:ascii="宋体"/>
          <w:b/>
          <w:sz w:val="25"/>
          <w:szCs w:val="32"/>
        </w:rPr>
      </w:pPr>
    </w:p>
    <w:p w14:paraId="7ADDB52B">
      <w:pPr>
        <w:spacing w:line="338" w:lineRule="auto"/>
        <w:ind w:left="113" w:right="295" w:firstLine="684"/>
        <w:jc w:val="both"/>
        <w:rPr>
          <w:sz w:val="32"/>
          <w:szCs w:val="32"/>
        </w:rPr>
      </w:pPr>
      <w:r>
        <w:rPr>
          <w:spacing w:val="23"/>
          <w:w w:val="99"/>
          <w:sz w:val="32"/>
          <w:szCs w:val="32"/>
        </w:rPr>
        <w:t>深入学习贯彻习近平法治思想，完善监督体系，强化行政权力监督制约，高位推动依法治区，进一步推进政府决策法制化，显著提升政府治理能力现代化水平。进一步优化法治营商环境，推动重点领域放管服改革，优化再造审批服务</w:t>
      </w:r>
    </w:p>
    <w:p w14:paraId="7EBE803B">
      <w:pPr>
        <w:spacing w:line="338" w:lineRule="auto"/>
        <w:jc w:val="both"/>
        <w:sectPr>
          <w:pgSz w:w="11910" w:h="16840"/>
          <w:pgMar w:top="1920" w:right="1200" w:bottom="1160" w:left="1360" w:header="0" w:footer="975" w:gutter="0"/>
          <w:cols w:space="720" w:num="1"/>
        </w:sectPr>
      </w:pPr>
    </w:p>
    <w:p w14:paraId="073AA905">
      <w:pPr>
        <w:spacing w:before="28" w:line="338" w:lineRule="auto"/>
        <w:ind w:left="113" w:right="126"/>
        <w:rPr>
          <w:sz w:val="32"/>
          <w:szCs w:val="32"/>
        </w:rPr>
      </w:pPr>
      <w:r>
        <w:rPr>
          <w:spacing w:val="23"/>
          <w:w w:val="99"/>
          <w:sz w:val="32"/>
          <w:szCs w:val="32"/>
        </w:rPr>
        <w:t>流程，改革完善公平竞争审查和公正监管制度。进一步强化行政规范度，依法行政成为共识，遵法循规成为普遍行为，运用法治思维和法治方式成为习惯。加快推进公共法律服务</w:t>
      </w:r>
      <w:r>
        <w:rPr>
          <w:spacing w:val="24"/>
          <w:w w:val="99"/>
          <w:sz w:val="32"/>
          <w:szCs w:val="32"/>
        </w:rPr>
        <w:t>体系建设，实现区、镇</w:t>
      </w:r>
      <w:r>
        <w:rPr>
          <w:spacing w:val="26"/>
          <w:w w:val="99"/>
          <w:sz w:val="32"/>
          <w:szCs w:val="32"/>
        </w:rPr>
        <w:t>（</w:t>
      </w:r>
      <w:r>
        <w:rPr>
          <w:spacing w:val="24"/>
          <w:w w:val="99"/>
          <w:sz w:val="32"/>
          <w:szCs w:val="32"/>
        </w:rPr>
        <w:t>街</w:t>
      </w:r>
      <w:r>
        <w:rPr>
          <w:spacing w:val="26"/>
          <w:w w:val="99"/>
          <w:sz w:val="32"/>
          <w:szCs w:val="32"/>
        </w:rPr>
        <w:t>）</w:t>
      </w:r>
      <w:r>
        <w:rPr>
          <w:spacing w:val="25"/>
          <w:w w:val="99"/>
          <w:sz w:val="32"/>
          <w:szCs w:val="32"/>
        </w:rPr>
        <w:t>、村</w:t>
      </w:r>
      <w:r>
        <w:rPr>
          <w:spacing w:val="26"/>
          <w:w w:val="99"/>
          <w:sz w:val="32"/>
          <w:szCs w:val="32"/>
        </w:rPr>
        <w:t>（</w:t>
      </w:r>
      <w:r>
        <w:rPr>
          <w:spacing w:val="24"/>
          <w:w w:val="99"/>
          <w:sz w:val="32"/>
          <w:szCs w:val="32"/>
        </w:rPr>
        <w:t>居</w:t>
      </w:r>
      <w:r>
        <w:rPr>
          <w:spacing w:val="26"/>
          <w:w w:val="99"/>
          <w:sz w:val="32"/>
          <w:szCs w:val="32"/>
        </w:rPr>
        <w:t>）</w:t>
      </w:r>
      <w:r>
        <w:rPr>
          <w:spacing w:val="21"/>
          <w:w w:val="99"/>
          <w:sz w:val="32"/>
          <w:szCs w:val="32"/>
        </w:rPr>
        <w:t>全覆盖。加快建立</w:t>
      </w:r>
      <w:r>
        <w:rPr>
          <w:spacing w:val="23"/>
          <w:w w:val="99"/>
          <w:sz w:val="32"/>
          <w:szCs w:val="32"/>
        </w:rPr>
        <w:t>健全综合执法协作机制，全面落实行政执法“三项制度”，加强队伍建设、规范执法行为、规范管理制度。依托数字化城市管理平台，促进执法和审批监管信息共享、互联互通，推进城市管理综合执法智能监管，探索快速处置、非现场执</w:t>
      </w:r>
      <w:r>
        <w:rPr>
          <w:spacing w:val="11"/>
          <w:w w:val="99"/>
          <w:sz w:val="32"/>
          <w:szCs w:val="32"/>
        </w:rPr>
        <w:t>法等新型执法模式。深入推进综合行政执法改革向基层延伸，</w:t>
      </w:r>
      <w:r>
        <w:rPr>
          <w:spacing w:val="24"/>
          <w:w w:val="99"/>
          <w:sz w:val="32"/>
          <w:szCs w:val="32"/>
        </w:rPr>
        <w:t>推动执法队伍整合、执法力量下沉，探索建立乡镇</w:t>
      </w:r>
      <w:r>
        <w:rPr>
          <w:spacing w:val="26"/>
          <w:w w:val="99"/>
          <w:sz w:val="32"/>
          <w:szCs w:val="32"/>
        </w:rPr>
        <w:t>（</w:t>
      </w:r>
      <w:r>
        <w:rPr>
          <w:spacing w:val="25"/>
          <w:w w:val="99"/>
          <w:sz w:val="32"/>
          <w:szCs w:val="32"/>
        </w:rPr>
        <w:t>街道</w:t>
      </w:r>
      <w:r>
        <w:rPr>
          <w:w w:val="99"/>
          <w:sz w:val="32"/>
          <w:szCs w:val="32"/>
        </w:rPr>
        <w:t>）</w:t>
      </w:r>
      <w:r>
        <w:rPr>
          <w:spacing w:val="19"/>
          <w:w w:val="99"/>
          <w:sz w:val="32"/>
          <w:szCs w:val="32"/>
        </w:rPr>
        <w:t>综合执法平台，加大农村的执法力度。</w:t>
      </w:r>
    </w:p>
    <w:p w14:paraId="7072D285">
      <w:pPr>
        <w:spacing w:before="161"/>
        <w:ind w:right="181"/>
        <w:jc w:val="center"/>
        <w:outlineLvl w:val="1"/>
        <w:rPr>
          <w:rFonts w:ascii="宋体" w:hAnsi="宋体" w:eastAsia="宋体" w:cs="宋体"/>
          <w:b/>
          <w:bCs/>
          <w:sz w:val="32"/>
          <w:szCs w:val="32"/>
        </w:rPr>
      </w:pPr>
      <w:r>
        <w:rPr>
          <w:rFonts w:ascii="宋体" w:hAnsi="宋体" w:eastAsia="宋体" w:cs="宋体"/>
          <w:b/>
          <w:bCs/>
          <w:spacing w:val="24"/>
          <w:sz w:val="32"/>
          <w:szCs w:val="32"/>
        </w:rPr>
        <w:t>第三</w:t>
      </w:r>
      <w:r>
        <w:rPr>
          <w:rFonts w:ascii="宋体" w:hAnsi="宋体" w:eastAsia="宋体" w:cs="宋体"/>
          <w:b/>
          <w:bCs/>
          <w:spacing w:val="70"/>
          <w:sz w:val="32"/>
          <w:szCs w:val="32"/>
        </w:rPr>
        <w:t>节 健</w:t>
      </w:r>
      <w:r>
        <w:rPr>
          <w:rFonts w:ascii="宋体" w:hAnsi="宋体" w:eastAsia="宋体" w:cs="宋体"/>
          <w:b/>
          <w:bCs/>
          <w:spacing w:val="24"/>
          <w:sz w:val="32"/>
          <w:szCs w:val="32"/>
        </w:rPr>
        <w:t>全公共法律服务体</w:t>
      </w:r>
      <w:r>
        <w:rPr>
          <w:rFonts w:ascii="宋体" w:hAnsi="宋体" w:eastAsia="宋体" w:cs="宋体"/>
          <w:b/>
          <w:bCs/>
          <w:spacing w:val="-10"/>
          <w:sz w:val="32"/>
          <w:szCs w:val="32"/>
        </w:rPr>
        <w:t>系</w:t>
      </w:r>
    </w:p>
    <w:p w14:paraId="000330E1">
      <w:pPr>
        <w:spacing w:before="2"/>
        <w:rPr>
          <w:rFonts w:ascii="宋体"/>
          <w:b/>
          <w:sz w:val="25"/>
          <w:szCs w:val="32"/>
        </w:rPr>
      </w:pPr>
    </w:p>
    <w:p w14:paraId="1576E542">
      <w:pPr>
        <w:spacing w:line="338" w:lineRule="auto"/>
        <w:ind w:left="113" w:right="122" w:firstLine="684"/>
        <w:jc w:val="both"/>
        <w:rPr>
          <w:sz w:val="32"/>
          <w:szCs w:val="32"/>
        </w:rPr>
      </w:pPr>
      <w:r>
        <w:rPr>
          <w:spacing w:val="24"/>
          <w:sz w:val="32"/>
          <w:szCs w:val="32"/>
        </w:rPr>
        <w:t>健全区、镇（街道）、村（社区）公共法律服务</w:t>
      </w:r>
      <w:r>
        <w:rPr>
          <w:spacing w:val="15"/>
          <w:sz w:val="32"/>
          <w:szCs w:val="32"/>
        </w:rPr>
        <w:t>体系，</w:t>
      </w:r>
      <w:r>
        <w:rPr>
          <w:spacing w:val="24"/>
          <w:sz w:val="32"/>
          <w:szCs w:val="32"/>
        </w:rPr>
        <w:t>在推动执法力量下沉的同时，推进法律服务资源</w:t>
      </w:r>
      <w:r>
        <w:rPr>
          <w:spacing w:val="19"/>
          <w:sz w:val="32"/>
          <w:szCs w:val="32"/>
        </w:rPr>
        <w:t>下沉，增加</w:t>
      </w:r>
      <w:r>
        <w:rPr>
          <w:spacing w:val="24"/>
          <w:sz w:val="32"/>
          <w:szCs w:val="32"/>
        </w:rPr>
        <w:t>基层司法所、法律工作室政府购买服务，提高基层法</w:t>
      </w:r>
      <w:r>
        <w:rPr>
          <w:spacing w:val="15"/>
          <w:sz w:val="32"/>
          <w:szCs w:val="32"/>
        </w:rPr>
        <w:t>律服务</w:t>
      </w:r>
      <w:r>
        <w:rPr>
          <w:spacing w:val="24"/>
          <w:sz w:val="32"/>
          <w:szCs w:val="32"/>
        </w:rPr>
        <w:t>机构信息化设备配备。充分发挥区、镇（街）、村（社区</w:t>
      </w:r>
      <w:r>
        <w:rPr>
          <w:sz w:val="32"/>
          <w:szCs w:val="32"/>
        </w:rPr>
        <w:t>）</w:t>
      </w:r>
      <w:r>
        <w:rPr>
          <w:spacing w:val="31"/>
          <w:w w:val="95"/>
          <w:sz w:val="32"/>
          <w:szCs w:val="32"/>
        </w:rPr>
        <w:t>三级公共法律服务</w:t>
      </w:r>
      <w:r>
        <w:rPr>
          <w:spacing w:val="33"/>
          <w:w w:val="95"/>
          <w:sz w:val="32"/>
          <w:szCs w:val="32"/>
        </w:rPr>
        <w:t>平台</w:t>
      </w:r>
      <w:r>
        <w:rPr>
          <w:spacing w:val="12"/>
          <w:w w:val="95"/>
          <w:sz w:val="32"/>
          <w:szCs w:val="32"/>
        </w:rPr>
        <w:t xml:space="preserve">作用， 将“ </w:t>
      </w:r>
      <w:r>
        <w:rPr>
          <w:rFonts w:ascii="Calibri" w:hAnsi="Calibri" w:eastAsia="Calibri"/>
          <w:spacing w:val="10"/>
          <w:w w:val="95"/>
          <w:sz w:val="32"/>
          <w:szCs w:val="32"/>
        </w:rPr>
        <w:t>3+X</w:t>
      </w:r>
      <w:r>
        <w:rPr>
          <w:spacing w:val="22"/>
          <w:w w:val="95"/>
          <w:sz w:val="32"/>
          <w:szCs w:val="32"/>
        </w:rPr>
        <w:t>” 平台拓</w:t>
      </w:r>
      <w:r>
        <w:rPr>
          <w:spacing w:val="31"/>
          <w:w w:val="95"/>
          <w:sz w:val="32"/>
          <w:szCs w:val="32"/>
        </w:rPr>
        <w:t>展为</w:t>
      </w:r>
      <w:r>
        <w:rPr>
          <w:w w:val="95"/>
          <w:sz w:val="32"/>
          <w:szCs w:val="32"/>
        </w:rPr>
        <w:t xml:space="preserve">“ </w:t>
      </w:r>
      <w:r>
        <w:rPr>
          <w:rFonts w:ascii="Calibri" w:hAnsi="Calibri" w:eastAsia="Calibri"/>
          <w:w w:val="95"/>
          <w:sz w:val="32"/>
          <w:szCs w:val="32"/>
        </w:rPr>
        <w:t>3+X+</w:t>
      </w:r>
      <w:r>
        <w:rPr>
          <w:spacing w:val="24"/>
          <w:sz w:val="32"/>
          <w:szCs w:val="32"/>
        </w:rPr>
        <w:t>线上线下”服务模式，实现基层公共法律服务全覆盖、</w:t>
      </w:r>
      <w:r>
        <w:rPr>
          <w:spacing w:val="12"/>
          <w:sz w:val="32"/>
          <w:szCs w:val="32"/>
        </w:rPr>
        <w:t>无死</w:t>
      </w:r>
      <w:r>
        <w:rPr>
          <w:spacing w:val="24"/>
          <w:sz w:val="32"/>
          <w:szCs w:val="32"/>
        </w:rPr>
        <w:t>角。坚持和完善新时代“枫桥经验”，完善社会矛</w:t>
      </w:r>
      <w:r>
        <w:rPr>
          <w:spacing w:val="17"/>
          <w:sz w:val="32"/>
          <w:szCs w:val="32"/>
        </w:rPr>
        <w:t>盾纠纷多</w:t>
      </w:r>
      <w:r>
        <w:rPr>
          <w:spacing w:val="24"/>
          <w:sz w:val="32"/>
          <w:szCs w:val="32"/>
        </w:rPr>
        <w:t>元预防调处化解机制，健全“三调联动”矛盾纠纷多元</w:t>
      </w:r>
      <w:r>
        <w:rPr>
          <w:spacing w:val="12"/>
          <w:sz w:val="32"/>
          <w:szCs w:val="32"/>
        </w:rPr>
        <w:t>化解</w:t>
      </w:r>
      <w:r>
        <w:rPr>
          <w:spacing w:val="24"/>
          <w:sz w:val="32"/>
          <w:szCs w:val="32"/>
        </w:rPr>
        <w:t>机制，织密“人民调解”四张网，加强城市流动人</w:t>
      </w:r>
      <w:r>
        <w:rPr>
          <w:spacing w:val="17"/>
          <w:sz w:val="32"/>
          <w:szCs w:val="32"/>
        </w:rPr>
        <w:t>口矛盾调</w:t>
      </w:r>
      <w:r>
        <w:rPr>
          <w:spacing w:val="24"/>
          <w:sz w:val="32"/>
          <w:szCs w:val="32"/>
        </w:rPr>
        <w:t>解工作，更大限度的发挥地域、行业调解组织的</w:t>
      </w:r>
      <w:r>
        <w:rPr>
          <w:spacing w:val="19"/>
          <w:sz w:val="32"/>
          <w:szCs w:val="32"/>
        </w:rPr>
        <w:t>作用，抓早</w:t>
      </w:r>
      <w:r>
        <w:rPr>
          <w:spacing w:val="13"/>
          <w:w w:val="95"/>
          <w:sz w:val="32"/>
          <w:szCs w:val="32"/>
        </w:rPr>
        <w:t>抓小抓“两头”</w:t>
      </w:r>
      <w:r>
        <w:rPr>
          <w:w w:val="95"/>
          <w:sz w:val="32"/>
          <w:szCs w:val="32"/>
        </w:rPr>
        <w:t>（</w:t>
      </w:r>
      <w:r>
        <w:rPr>
          <w:spacing w:val="21"/>
          <w:w w:val="95"/>
          <w:sz w:val="32"/>
          <w:szCs w:val="32"/>
        </w:rPr>
        <w:t>即源头和</w:t>
      </w:r>
      <w:r>
        <w:rPr>
          <w:spacing w:val="22"/>
          <w:w w:val="95"/>
          <w:sz w:val="32"/>
          <w:szCs w:val="32"/>
        </w:rPr>
        <w:t>苗头</w:t>
      </w:r>
      <w:r>
        <w:rPr>
          <w:w w:val="95"/>
          <w:sz w:val="32"/>
          <w:szCs w:val="32"/>
        </w:rPr>
        <w:t>），</w:t>
      </w:r>
      <w:r>
        <w:rPr>
          <w:spacing w:val="18"/>
          <w:w w:val="95"/>
          <w:sz w:val="32"/>
          <w:szCs w:val="32"/>
        </w:rPr>
        <w:t>进一步发挥好一村</w:t>
      </w:r>
      <w:r>
        <w:rPr>
          <w:spacing w:val="21"/>
          <w:w w:val="95"/>
          <w:sz w:val="32"/>
          <w:szCs w:val="32"/>
        </w:rPr>
        <w:t>（居</w:t>
      </w:r>
      <w:r>
        <w:rPr>
          <w:w w:val="95"/>
          <w:sz w:val="32"/>
          <w:szCs w:val="32"/>
        </w:rPr>
        <w:t>）</w:t>
      </w:r>
    </w:p>
    <w:p w14:paraId="0D45CD54">
      <w:pPr>
        <w:spacing w:before="28" w:line="338" w:lineRule="auto"/>
        <w:ind w:left="113" w:right="453"/>
        <w:jc w:val="both"/>
        <w:rPr>
          <w:sz w:val="32"/>
          <w:szCs w:val="32"/>
        </w:rPr>
      </w:pPr>
      <w:r>
        <w:rPr>
          <w:spacing w:val="11"/>
          <w:sz w:val="32"/>
          <w:szCs w:val="32"/>
        </w:rPr>
        <w:t xml:space="preserve">一法律顾问作用，实现矛盾不上交，到 </w:t>
      </w:r>
      <w:r>
        <w:rPr>
          <w:rFonts w:ascii="Calibri" w:eastAsia="Calibri"/>
          <w:sz w:val="32"/>
          <w:szCs w:val="32"/>
        </w:rPr>
        <w:t>2025</w:t>
      </w:r>
      <w:r>
        <w:rPr>
          <w:rFonts w:ascii="Calibri" w:eastAsia="Calibri"/>
          <w:spacing w:val="-18"/>
          <w:sz w:val="32"/>
          <w:szCs w:val="32"/>
        </w:rPr>
        <w:t xml:space="preserve"> </w:t>
      </w:r>
      <w:r>
        <w:rPr>
          <w:spacing w:val="17"/>
          <w:sz w:val="32"/>
          <w:szCs w:val="32"/>
        </w:rPr>
        <w:t>年矛盾纠纷调解</w:t>
      </w:r>
      <w:r>
        <w:rPr>
          <w:spacing w:val="26"/>
          <w:w w:val="95"/>
          <w:sz w:val="32"/>
          <w:szCs w:val="32"/>
        </w:rPr>
        <w:t>成功率</w:t>
      </w:r>
      <w:r>
        <w:rPr>
          <w:w w:val="95"/>
          <w:sz w:val="32"/>
          <w:szCs w:val="32"/>
        </w:rPr>
        <w:t>达</w:t>
      </w:r>
      <w:r>
        <w:rPr>
          <w:spacing w:val="39"/>
          <w:sz w:val="32"/>
          <w:szCs w:val="32"/>
        </w:rPr>
        <w:t xml:space="preserve"> </w:t>
      </w:r>
      <w:r>
        <w:rPr>
          <w:rFonts w:ascii="Calibri" w:eastAsia="Calibri"/>
          <w:spacing w:val="12"/>
          <w:w w:val="95"/>
          <w:sz w:val="32"/>
          <w:szCs w:val="32"/>
        </w:rPr>
        <w:t>99%</w:t>
      </w:r>
      <w:r>
        <w:rPr>
          <w:spacing w:val="26"/>
          <w:w w:val="95"/>
          <w:sz w:val="32"/>
          <w:szCs w:val="32"/>
        </w:rPr>
        <w:t>以上。扩</w:t>
      </w:r>
      <w:r>
        <w:rPr>
          <w:spacing w:val="24"/>
          <w:w w:val="95"/>
          <w:sz w:val="32"/>
          <w:szCs w:val="32"/>
        </w:rPr>
        <w:t>大</w:t>
      </w:r>
      <w:r>
        <w:rPr>
          <w:spacing w:val="26"/>
          <w:w w:val="95"/>
          <w:sz w:val="32"/>
          <w:szCs w:val="32"/>
        </w:rPr>
        <w:t>法律援助覆盖面</w:t>
      </w:r>
      <w:r>
        <w:rPr>
          <w:spacing w:val="24"/>
          <w:w w:val="95"/>
          <w:sz w:val="32"/>
          <w:szCs w:val="32"/>
        </w:rPr>
        <w:t>，</w:t>
      </w:r>
      <w:r>
        <w:rPr>
          <w:spacing w:val="26"/>
          <w:w w:val="95"/>
          <w:sz w:val="32"/>
          <w:szCs w:val="32"/>
        </w:rPr>
        <w:t>及时将特殊困</w:t>
      </w:r>
      <w:r>
        <w:rPr>
          <w:w w:val="95"/>
          <w:sz w:val="32"/>
          <w:szCs w:val="32"/>
        </w:rPr>
        <w:t>难</w:t>
      </w:r>
      <w:r>
        <w:rPr>
          <w:spacing w:val="19"/>
          <w:sz w:val="32"/>
          <w:szCs w:val="32"/>
        </w:rPr>
        <w:t>群体纳入援助范围，促进社会公平正义。</w:t>
      </w:r>
    </w:p>
    <w:p w14:paraId="49E2C13B">
      <w:pPr>
        <w:spacing w:before="3"/>
        <w:rPr>
          <w:sz w:val="36"/>
          <w:szCs w:val="32"/>
        </w:rPr>
      </w:pPr>
    </w:p>
    <w:p w14:paraId="1B1BCEFD">
      <w:pPr>
        <w:ind w:right="315"/>
        <w:jc w:val="center"/>
        <w:outlineLvl w:val="1"/>
        <w:rPr>
          <w:rFonts w:ascii="黑体" w:hAnsi="方正小标宋简体" w:eastAsia="黑体" w:cs="方正小标宋简体"/>
          <w:b/>
          <w:bCs/>
          <w:sz w:val="36"/>
          <w:szCs w:val="36"/>
        </w:rPr>
      </w:pPr>
      <w:r>
        <w:rPr>
          <w:rFonts w:hint="eastAsia" w:ascii="黑体" w:hAnsi="方正小标宋简体" w:eastAsia="黑体" w:cs="方正小标宋简体"/>
          <w:b/>
          <w:bCs/>
          <w:sz w:val="36"/>
          <w:szCs w:val="36"/>
        </w:rPr>
        <w:t>第十七章</w:t>
      </w:r>
      <w:r>
        <w:rPr>
          <w:rFonts w:hint="eastAsia" w:ascii="黑体" w:hAnsi="方正小标宋简体" w:eastAsia="黑体" w:cs="方正小标宋简体"/>
          <w:b/>
          <w:bCs/>
          <w:spacing w:val="49"/>
          <w:w w:val="150"/>
          <w:sz w:val="36"/>
          <w:szCs w:val="36"/>
        </w:rPr>
        <w:t xml:space="preserve"> </w:t>
      </w:r>
      <w:r>
        <w:rPr>
          <w:rFonts w:hint="eastAsia" w:ascii="黑体" w:hAnsi="方正小标宋简体" w:eastAsia="黑体" w:cs="方正小标宋简体"/>
          <w:b/>
          <w:bCs/>
          <w:sz w:val="36"/>
          <w:szCs w:val="36"/>
        </w:rPr>
        <w:t>全面保障社会大局和谐稳</w:t>
      </w:r>
      <w:r>
        <w:rPr>
          <w:rFonts w:hint="eastAsia" w:ascii="黑体" w:hAnsi="方正小标宋简体" w:eastAsia="黑体" w:cs="方正小标宋简体"/>
          <w:b/>
          <w:bCs/>
          <w:spacing w:val="-10"/>
          <w:sz w:val="36"/>
          <w:szCs w:val="36"/>
        </w:rPr>
        <w:t>定</w:t>
      </w:r>
    </w:p>
    <w:p w14:paraId="14E073EA">
      <w:pPr>
        <w:rPr>
          <w:rFonts w:ascii="黑体"/>
          <w:b/>
          <w:sz w:val="36"/>
          <w:szCs w:val="32"/>
        </w:rPr>
      </w:pPr>
    </w:p>
    <w:p w14:paraId="01CB8DBC">
      <w:pPr>
        <w:spacing w:before="260"/>
        <w:ind w:right="341"/>
        <w:jc w:val="center"/>
        <w:outlineLvl w:val="2"/>
        <w:rPr>
          <w:rFonts w:ascii="宋体" w:hAnsi="宋体" w:eastAsia="宋体" w:cs="宋体"/>
          <w:b/>
          <w:bCs/>
          <w:sz w:val="32"/>
          <w:szCs w:val="32"/>
        </w:rPr>
      </w:pPr>
      <w:r>
        <w:rPr>
          <w:rFonts w:ascii="宋体" w:hAnsi="宋体" w:eastAsia="宋体" w:cs="宋体"/>
          <w:b/>
          <w:bCs/>
          <w:spacing w:val="24"/>
          <w:sz w:val="32"/>
          <w:szCs w:val="32"/>
        </w:rPr>
        <w:t>第一</w:t>
      </w:r>
      <w:r>
        <w:rPr>
          <w:rFonts w:ascii="宋体" w:hAnsi="宋体" w:eastAsia="宋体" w:cs="宋体"/>
          <w:b/>
          <w:bCs/>
          <w:spacing w:val="68"/>
          <w:sz w:val="32"/>
          <w:szCs w:val="32"/>
        </w:rPr>
        <w:t>节 提</w:t>
      </w:r>
      <w:r>
        <w:rPr>
          <w:rFonts w:ascii="宋体" w:hAnsi="宋体" w:eastAsia="宋体" w:cs="宋体"/>
          <w:b/>
          <w:bCs/>
          <w:spacing w:val="24"/>
          <w:sz w:val="32"/>
          <w:szCs w:val="32"/>
        </w:rPr>
        <w:t>升“平安金凤”建设水</w:t>
      </w:r>
      <w:r>
        <w:rPr>
          <w:rFonts w:ascii="宋体" w:hAnsi="宋体" w:eastAsia="宋体" w:cs="宋体"/>
          <w:b/>
          <w:bCs/>
          <w:spacing w:val="-10"/>
          <w:sz w:val="32"/>
          <w:szCs w:val="32"/>
        </w:rPr>
        <w:t>平</w:t>
      </w:r>
    </w:p>
    <w:p w14:paraId="790921D6">
      <w:pPr>
        <w:spacing w:before="2"/>
        <w:rPr>
          <w:rFonts w:ascii="宋体"/>
          <w:b/>
          <w:sz w:val="25"/>
          <w:szCs w:val="32"/>
        </w:rPr>
      </w:pPr>
    </w:p>
    <w:p w14:paraId="6E6405F4">
      <w:pPr>
        <w:spacing w:line="338" w:lineRule="auto"/>
        <w:ind w:left="113" w:right="455" w:firstLine="684"/>
        <w:jc w:val="both"/>
        <w:rPr>
          <w:sz w:val="32"/>
          <w:szCs w:val="32"/>
        </w:rPr>
      </w:pPr>
      <w:r>
        <w:rPr>
          <w:spacing w:val="23"/>
          <w:w w:val="99"/>
          <w:sz w:val="32"/>
          <w:szCs w:val="32"/>
        </w:rPr>
        <w:t>建立社会治安治理联动机制，强化矛盾纠纷排查预警和案件应急处置合作，统筹应对传统和非传统安全威胁。建立健全全方位、立体化、智慧化社会治安防控体系，推进城乡视频监控平台联网互通，推进网格化管理与“雪亮工程”系统融合，加强平安形势动态监测分析。巩固扫黑除恶专项斗争成果，建立打击黑恶势力、宗族恶势力和黄赌毒盗拐骗等违法犯罪长效机制。创新流动人口动态管理机制，加强对重点地区和部位社会治安突出问题的排查整治，有效防范、化解、管控各类社会风险。按照新颁布的《社区矫正法》，推进社区矫正工作走上法治化轨道，实现社区矫正、安置帮教</w:t>
      </w:r>
      <w:r>
        <w:rPr>
          <w:spacing w:val="19"/>
          <w:w w:val="99"/>
          <w:sz w:val="32"/>
          <w:szCs w:val="32"/>
        </w:rPr>
        <w:t>工作与社会发展、民主法治建设同频共振。</w:t>
      </w:r>
    </w:p>
    <w:p w14:paraId="0E45521D">
      <w:pPr>
        <w:spacing w:before="161"/>
        <w:ind w:right="341"/>
        <w:jc w:val="center"/>
        <w:outlineLvl w:val="2"/>
        <w:rPr>
          <w:rFonts w:ascii="宋体" w:hAnsi="宋体" w:eastAsia="宋体" w:cs="宋体"/>
          <w:b/>
          <w:bCs/>
          <w:sz w:val="32"/>
          <w:szCs w:val="32"/>
        </w:rPr>
      </w:pPr>
      <w:r>
        <w:rPr>
          <w:rFonts w:ascii="宋体" w:hAnsi="宋体" w:eastAsia="宋体" w:cs="宋体"/>
          <w:b/>
          <w:bCs/>
          <w:spacing w:val="24"/>
          <w:sz w:val="32"/>
          <w:szCs w:val="32"/>
        </w:rPr>
        <w:t>第二</w:t>
      </w:r>
      <w:r>
        <w:rPr>
          <w:rFonts w:ascii="宋体" w:hAnsi="宋体" w:eastAsia="宋体" w:cs="宋体"/>
          <w:b/>
          <w:bCs/>
          <w:spacing w:val="70"/>
          <w:sz w:val="32"/>
          <w:szCs w:val="32"/>
        </w:rPr>
        <w:t>节 强</w:t>
      </w:r>
      <w:r>
        <w:rPr>
          <w:rFonts w:ascii="宋体" w:hAnsi="宋体" w:eastAsia="宋体" w:cs="宋体"/>
          <w:b/>
          <w:bCs/>
          <w:spacing w:val="24"/>
          <w:sz w:val="32"/>
          <w:szCs w:val="32"/>
        </w:rPr>
        <w:t>化应急管理体系建</w:t>
      </w:r>
      <w:r>
        <w:rPr>
          <w:rFonts w:ascii="宋体" w:hAnsi="宋体" w:eastAsia="宋体" w:cs="宋体"/>
          <w:b/>
          <w:bCs/>
          <w:spacing w:val="-10"/>
          <w:sz w:val="32"/>
          <w:szCs w:val="32"/>
        </w:rPr>
        <w:t>设</w:t>
      </w:r>
    </w:p>
    <w:p w14:paraId="146BC860">
      <w:pPr>
        <w:spacing w:before="2"/>
        <w:rPr>
          <w:rFonts w:ascii="宋体"/>
          <w:b/>
          <w:sz w:val="25"/>
          <w:szCs w:val="32"/>
        </w:rPr>
      </w:pPr>
    </w:p>
    <w:p w14:paraId="05F2DA4E">
      <w:pPr>
        <w:spacing w:line="338" w:lineRule="auto"/>
        <w:ind w:left="113" w:right="455" w:firstLine="684"/>
        <w:jc w:val="both"/>
        <w:rPr>
          <w:sz w:val="32"/>
          <w:szCs w:val="32"/>
        </w:rPr>
      </w:pPr>
      <w:r>
        <w:rPr>
          <w:spacing w:val="23"/>
          <w:w w:val="99"/>
          <w:sz w:val="32"/>
          <w:szCs w:val="32"/>
        </w:rPr>
        <w:t>统筹传统安全和非传统安全，把安全发展贯穿经济社会发展各领域和全过程。健全完善“统一领导、综合协调、分类管理、分级负责、条块结合、属地为主、层级响应”的应急管理体制，加快形成应急组织体系、应急预案体系、监测</w:t>
      </w:r>
    </w:p>
    <w:p w14:paraId="281C03E4">
      <w:pPr>
        <w:spacing w:line="338" w:lineRule="auto"/>
        <w:jc w:val="both"/>
        <w:sectPr>
          <w:footerReference r:id="rId41" w:type="default"/>
          <w:footerReference r:id="rId42" w:type="even"/>
          <w:pgSz w:w="11910" w:h="16840"/>
          <w:pgMar w:top="1800" w:right="1040" w:bottom="1160" w:left="1360" w:header="0" w:footer="975" w:gutter="0"/>
          <w:pgNumType w:start="143"/>
          <w:cols w:space="720" w:num="1"/>
        </w:sectPr>
      </w:pPr>
    </w:p>
    <w:p w14:paraId="2BB2BCC2">
      <w:pPr>
        <w:spacing w:before="28" w:line="338" w:lineRule="auto"/>
        <w:ind w:left="113" w:right="455"/>
        <w:jc w:val="both"/>
        <w:rPr>
          <w:sz w:val="32"/>
          <w:szCs w:val="32"/>
        </w:rPr>
      </w:pPr>
      <w:r>
        <w:rPr>
          <w:spacing w:val="23"/>
          <w:w w:val="99"/>
          <w:sz w:val="32"/>
          <w:szCs w:val="32"/>
        </w:rPr>
        <w:t>预警体系、信息报送体系、应急队伍体系、应急保障体系、恢复重建体系“七大体系”。加大应急资金投入，推进应急指挥体系和社区应急能力建设，加强应急救援队伍建设，强化应急物资保障体系，规范应急避难场所建设管理，全力提升突发事件防范能力。完善粮食和主要物资储备体系，优化储备规模和结构，提高保障能力。全方位强化安全生产，建立公共安全隐患排查和安全预防控制体系，加强安全生产基础能力保障。推进公共安全领域和重大活动安全风险管理体系建设，完善突发事件监测体系，建立风险隐患预警体系，健全风险隐患处置体系。健全公共安全体系，加快建设完善隐患排查治理体系，着力提升公共安全保障水平。依托智慧城市平台建设与市应急指挥中心、市智慧城市运营监管指挥中心、银川警备区指挥中心互联互通的三级应急指挥平台，</w:t>
      </w:r>
      <w:r>
        <w:rPr>
          <w:spacing w:val="24"/>
          <w:w w:val="99"/>
          <w:sz w:val="32"/>
          <w:szCs w:val="32"/>
        </w:rPr>
        <w:t>加强区、镇</w:t>
      </w:r>
      <w:r>
        <w:rPr>
          <w:spacing w:val="26"/>
          <w:w w:val="99"/>
          <w:sz w:val="32"/>
          <w:szCs w:val="32"/>
        </w:rPr>
        <w:t>（</w:t>
      </w:r>
      <w:r>
        <w:rPr>
          <w:spacing w:val="25"/>
          <w:w w:val="99"/>
          <w:sz w:val="32"/>
          <w:szCs w:val="32"/>
        </w:rPr>
        <w:t>街道</w:t>
      </w:r>
      <w:r>
        <w:rPr>
          <w:spacing w:val="24"/>
          <w:w w:val="99"/>
          <w:sz w:val="32"/>
          <w:szCs w:val="32"/>
        </w:rPr>
        <w:t>）</w:t>
      </w:r>
      <w:r>
        <w:rPr>
          <w:spacing w:val="26"/>
          <w:w w:val="99"/>
          <w:sz w:val="32"/>
          <w:szCs w:val="32"/>
        </w:rPr>
        <w:t>、村</w:t>
      </w:r>
      <w:r>
        <w:rPr>
          <w:spacing w:val="24"/>
          <w:w w:val="99"/>
          <w:sz w:val="32"/>
          <w:szCs w:val="32"/>
        </w:rPr>
        <w:t>（</w:t>
      </w:r>
      <w:r>
        <w:rPr>
          <w:spacing w:val="25"/>
          <w:w w:val="99"/>
          <w:sz w:val="32"/>
          <w:szCs w:val="32"/>
        </w:rPr>
        <w:t>社区</w:t>
      </w:r>
      <w:r>
        <w:rPr>
          <w:spacing w:val="26"/>
          <w:w w:val="99"/>
          <w:sz w:val="32"/>
          <w:szCs w:val="32"/>
        </w:rPr>
        <w:t>）</w:t>
      </w:r>
      <w:r>
        <w:rPr>
          <w:spacing w:val="21"/>
          <w:w w:val="99"/>
          <w:sz w:val="32"/>
          <w:szCs w:val="32"/>
        </w:rPr>
        <w:t>三级应急物资保障体系建</w:t>
      </w:r>
      <w:r>
        <w:rPr>
          <w:spacing w:val="10"/>
          <w:w w:val="99"/>
          <w:sz w:val="32"/>
          <w:szCs w:val="32"/>
        </w:rPr>
        <w:t>设。</w:t>
      </w:r>
    </w:p>
    <w:p w14:paraId="03001EFE">
      <w:pPr>
        <w:spacing w:before="167"/>
        <w:ind w:right="341"/>
        <w:jc w:val="center"/>
        <w:outlineLvl w:val="2"/>
        <w:rPr>
          <w:rFonts w:ascii="宋体" w:hAnsi="宋体" w:eastAsia="宋体" w:cs="宋体"/>
          <w:b/>
          <w:bCs/>
          <w:sz w:val="32"/>
          <w:szCs w:val="32"/>
        </w:rPr>
      </w:pPr>
      <w:r>
        <w:rPr>
          <w:rFonts w:ascii="宋体" w:hAnsi="宋体" w:eastAsia="宋体" w:cs="宋体"/>
          <w:b/>
          <w:bCs/>
          <w:spacing w:val="24"/>
          <w:sz w:val="32"/>
          <w:szCs w:val="32"/>
        </w:rPr>
        <w:t>第三</w:t>
      </w:r>
      <w:r>
        <w:rPr>
          <w:rFonts w:ascii="宋体" w:hAnsi="宋体" w:eastAsia="宋体" w:cs="宋体"/>
          <w:b/>
          <w:bCs/>
          <w:spacing w:val="70"/>
          <w:sz w:val="32"/>
          <w:szCs w:val="32"/>
        </w:rPr>
        <w:t>节 发</w:t>
      </w:r>
      <w:r>
        <w:rPr>
          <w:rFonts w:ascii="宋体" w:hAnsi="宋体" w:eastAsia="宋体" w:cs="宋体"/>
          <w:b/>
          <w:bCs/>
          <w:spacing w:val="24"/>
          <w:sz w:val="32"/>
          <w:szCs w:val="32"/>
        </w:rPr>
        <w:t>扬民族团结优良传</w:t>
      </w:r>
      <w:r>
        <w:rPr>
          <w:rFonts w:ascii="宋体" w:hAnsi="宋体" w:eastAsia="宋体" w:cs="宋体"/>
          <w:b/>
          <w:bCs/>
          <w:spacing w:val="-10"/>
          <w:sz w:val="32"/>
          <w:szCs w:val="32"/>
        </w:rPr>
        <w:t>统</w:t>
      </w:r>
    </w:p>
    <w:p w14:paraId="36B1B8D0">
      <w:pPr>
        <w:spacing w:before="2"/>
        <w:rPr>
          <w:rFonts w:ascii="宋体"/>
          <w:b/>
          <w:sz w:val="25"/>
          <w:szCs w:val="32"/>
        </w:rPr>
      </w:pPr>
    </w:p>
    <w:p w14:paraId="5B0BC26E">
      <w:pPr>
        <w:spacing w:line="338" w:lineRule="auto"/>
        <w:ind w:left="113" w:right="286" w:firstLine="684"/>
        <w:rPr>
          <w:sz w:val="32"/>
          <w:szCs w:val="32"/>
        </w:rPr>
      </w:pPr>
      <w:r>
        <w:rPr>
          <w:spacing w:val="23"/>
          <w:w w:val="99"/>
          <w:sz w:val="32"/>
          <w:szCs w:val="32"/>
        </w:rPr>
        <w:t>全面贯彻中央民族工作会议和全国宗教工作会议精神，推动新时代民族宗教工作迈上新台阶。坚持民族区域自治制度，促进各民族共同团结进步、共同繁荣发展，守好维护民</w:t>
      </w:r>
      <w:r>
        <w:rPr>
          <w:spacing w:val="10"/>
          <w:w w:val="99"/>
          <w:sz w:val="32"/>
          <w:szCs w:val="32"/>
        </w:rPr>
        <w:t>族团结生命线，巩固提升全国民族团结进步示范区创建成果。</w:t>
      </w:r>
      <w:r>
        <w:rPr>
          <w:spacing w:val="23"/>
          <w:w w:val="99"/>
          <w:sz w:val="32"/>
          <w:szCs w:val="32"/>
        </w:rPr>
        <w:t>深化民族团结进步教育，</w:t>
      </w:r>
      <w:r>
        <w:rPr>
          <w:rFonts w:hint="eastAsia"/>
          <w:spacing w:val="23"/>
          <w:w w:val="99"/>
          <w:sz w:val="32"/>
          <w:szCs w:val="32"/>
          <w:lang w:eastAsia="zh-CN"/>
        </w:rPr>
        <w:t>铸</w:t>
      </w:r>
      <w:r>
        <w:rPr>
          <w:spacing w:val="23"/>
          <w:w w:val="99"/>
          <w:sz w:val="32"/>
          <w:szCs w:val="32"/>
        </w:rPr>
        <w:t>牢中华民族共同体意识，营造守望相助社会氛围，深入开展“民族团结月”“社区邻里节”等活动，创新开展马克思主义民族宗教观“百场万人”大宣</w:t>
      </w:r>
    </w:p>
    <w:p w14:paraId="31D5A5C1">
      <w:pPr>
        <w:spacing w:line="338" w:lineRule="auto"/>
        <w:sectPr>
          <w:pgSz w:w="11910" w:h="16840"/>
          <w:pgMar w:top="1800" w:right="1040" w:bottom="1160" w:left="1360" w:header="0" w:footer="975" w:gutter="0"/>
          <w:cols w:space="720" w:num="1"/>
        </w:sectPr>
      </w:pPr>
    </w:p>
    <w:p w14:paraId="37E0FD67">
      <w:pPr>
        <w:spacing w:before="28" w:line="338" w:lineRule="auto"/>
        <w:ind w:left="113" w:right="282"/>
        <w:rPr>
          <w:sz w:val="32"/>
          <w:szCs w:val="32"/>
        </w:rPr>
      </w:pPr>
      <w:r>
        <w:rPr>
          <w:spacing w:val="23"/>
          <w:w w:val="99"/>
          <w:sz w:val="32"/>
          <w:szCs w:val="32"/>
        </w:rPr>
        <w:t>讲活动。坚持依法保障民族团结，增强各族群众法律意识，妥善处理涉及民族因素的矛盾和问题，坚决依法打击蓄意挑拨民族关系、破坏民族团结的行为。坚持我国宗教中国化方向，纵深推进“五进”宗教场所活动，完善宗教界讲经说法</w:t>
      </w:r>
      <w:r>
        <w:rPr>
          <w:spacing w:val="10"/>
          <w:w w:val="99"/>
          <w:sz w:val="32"/>
          <w:szCs w:val="32"/>
        </w:rPr>
        <w:t>引导机制，完善干部、宗教界代表人士、信教群众培养体系。</w:t>
      </w:r>
      <w:r>
        <w:rPr>
          <w:spacing w:val="11"/>
          <w:w w:val="99"/>
          <w:sz w:val="32"/>
          <w:szCs w:val="32"/>
        </w:rPr>
        <w:t>持续整治“宗教领域突出问题”，实施“宗教领域突出问题”</w:t>
      </w:r>
      <w:r>
        <w:rPr>
          <w:spacing w:val="23"/>
          <w:w w:val="99"/>
          <w:sz w:val="32"/>
          <w:szCs w:val="32"/>
        </w:rPr>
        <w:t>治理动态筛查机制。防范和抵御宗教极端思想渗透，建立宗教领域涉国家政治安全风险隐患防控机制，依法打击非法宗教和邪教组织，深化反暴恐斗争。充分运用新技术、新媒体打造民族团结进步网络宣传载体，适应金凤区经济社会发展新特征，推进民族团结进步创建工作拓展到社区、乡村、学</w:t>
      </w:r>
      <w:r>
        <w:rPr>
          <w:spacing w:val="20"/>
          <w:w w:val="99"/>
          <w:sz w:val="32"/>
          <w:szCs w:val="32"/>
        </w:rPr>
        <w:t>校、企业、商圈、园区等基层单位，覆盖各类人群。</w:t>
      </w:r>
    </w:p>
    <w:p w14:paraId="4D663A0D">
      <w:pPr>
        <w:spacing w:before="162"/>
        <w:ind w:right="341"/>
        <w:jc w:val="center"/>
        <w:outlineLvl w:val="2"/>
        <w:rPr>
          <w:rFonts w:ascii="宋体" w:hAnsi="宋体" w:eastAsia="宋体" w:cs="宋体"/>
          <w:b/>
          <w:bCs/>
          <w:sz w:val="32"/>
          <w:szCs w:val="32"/>
        </w:rPr>
      </w:pPr>
      <w:r>
        <w:rPr>
          <w:rFonts w:ascii="宋体" w:hAnsi="宋体" w:eastAsia="宋体" w:cs="宋体"/>
          <w:b/>
          <w:bCs/>
          <w:spacing w:val="24"/>
          <w:sz w:val="32"/>
          <w:szCs w:val="32"/>
        </w:rPr>
        <w:t>第四</w:t>
      </w:r>
      <w:r>
        <w:rPr>
          <w:rFonts w:ascii="宋体" w:hAnsi="宋体" w:eastAsia="宋体" w:cs="宋体"/>
          <w:b/>
          <w:bCs/>
          <w:spacing w:val="70"/>
          <w:sz w:val="32"/>
          <w:szCs w:val="32"/>
        </w:rPr>
        <w:t>节 构</w:t>
      </w:r>
      <w:r>
        <w:rPr>
          <w:rFonts w:ascii="宋体" w:hAnsi="宋体" w:eastAsia="宋体" w:cs="宋体"/>
          <w:b/>
          <w:bCs/>
          <w:spacing w:val="24"/>
          <w:sz w:val="32"/>
          <w:szCs w:val="32"/>
        </w:rPr>
        <w:t>筑意识形态安全屏</w:t>
      </w:r>
      <w:r>
        <w:rPr>
          <w:rFonts w:ascii="宋体" w:hAnsi="宋体" w:eastAsia="宋体" w:cs="宋体"/>
          <w:b/>
          <w:bCs/>
          <w:spacing w:val="-10"/>
          <w:sz w:val="32"/>
          <w:szCs w:val="32"/>
        </w:rPr>
        <w:t>障</w:t>
      </w:r>
    </w:p>
    <w:p w14:paraId="65CDD232">
      <w:pPr>
        <w:spacing w:before="1"/>
        <w:rPr>
          <w:rFonts w:ascii="宋体"/>
          <w:b/>
          <w:sz w:val="25"/>
          <w:szCs w:val="32"/>
        </w:rPr>
      </w:pPr>
    </w:p>
    <w:p w14:paraId="2405C153">
      <w:pPr>
        <w:spacing w:line="338" w:lineRule="auto"/>
        <w:ind w:left="113" w:right="286" w:firstLine="684"/>
        <w:rPr>
          <w:sz w:val="32"/>
          <w:szCs w:val="32"/>
        </w:rPr>
      </w:pPr>
      <w:r>
        <w:rPr>
          <w:spacing w:val="23"/>
          <w:w w:val="99"/>
          <w:sz w:val="32"/>
          <w:szCs w:val="32"/>
        </w:rPr>
        <w:t>坚持总体国家安全观，加强党对意识形态工作的全面领导，落实各级党组织意识形态工作责任制。加强对网络意识形态领域的阵地管理，在重点部门、重点领域积极开展网络</w:t>
      </w:r>
      <w:r>
        <w:rPr>
          <w:spacing w:val="13"/>
          <w:w w:val="99"/>
          <w:sz w:val="32"/>
          <w:szCs w:val="32"/>
        </w:rPr>
        <w:t>意识形态领域风险点排查和清理工作，加强对属地各类网站、</w:t>
      </w:r>
      <w:r>
        <w:rPr>
          <w:spacing w:val="23"/>
          <w:w w:val="99"/>
          <w:sz w:val="32"/>
          <w:szCs w:val="32"/>
        </w:rPr>
        <w:t>微博、微信的管理。积极妥善做好突发事件和热点问题的舆情应对和舆论引导。加大网络意识形态管理、网络舆情处置</w:t>
      </w:r>
      <w:r>
        <w:rPr>
          <w:spacing w:val="19"/>
          <w:w w:val="99"/>
          <w:sz w:val="32"/>
          <w:szCs w:val="32"/>
        </w:rPr>
        <w:t>引导及网络安全保障力度。</w:t>
      </w:r>
    </w:p>
    <w:p w14:paraId="21794167">
      <w:pPr>
        <w:spacing w:line="338" w:lineRule="auto"/>
        <w:sectPr>
          <w:pgSz w:w="11910" w:h="16840"/>
          <w:pgMar w:top="1800" w:right="1040" w:bottom="1160" w:left="1360" w:header="0" w:footer="975" w:gutter="0"/>
          <w:cols w:space="720" w:num="1"/>
        </w:sectPr>
      </w:pPr>
    </w:p>
    <w:p w14:paraId="399362F5">
      <w:pPr>
        <w:ind w:left="104"/>
        <w:rPr>
          <w:sz w:val="20"/>
          <w:szCs w:val="32"/>
        </w:rPr>
      </w:pPr>
      <w:r>
        <w:rPr>
          <w:sz w:val="20"/>
          <w:szCs w:val="32"/>
        </w:rPr>
        <mc:AlternateContent>
          <mc:Choice Requires="wps">
            <w:drawing>
              <wp:inline distT="0" distB="0" distL="0" distR="0">
                <wp:extent cx="5694680" cy="1266190"/>
                <wp:effectExtent l="9525" t="9525" r="10795" b="10160"/>
                <wp:docPr id="20"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5694680" cy="1266190"/>
                        </a:xfrm>
                        <a:prstGeom prst="rect">
                          <a:avLst/>
                        </a:prstGeom>
                        <a:noFill/>
                        <a:ln w="6096">
                          <a:solidFill>
                            <a:srgbClr val="000000"/>
                          </a:solidFill>
                          <a:prstDash val="solid"/>
                          <a:miter lim="800000"/>
                        </a:ln>
                      </wps:spPr>
                      <wps:txbx>
                        <w:txbxContent>
                          <w:p w14:paraId="0A94E892">
                            <w:pPr>
                              <w:spacing w:before="80"/>
                              <w:ind w:left="2422" w:right="2431"/>
                              <w:jc w:val="center"/>
                              <w:rPr>
                                <w:rFonts w:ascii="黑体" w:eastAsia="黑体"/>
                                <w:sz w:val="24"/>
                              </w:rPr>
                            </w:pPr>
                            <w:r>
                              <w:rPr>
                                <w:rFonts w:ascii="黑体" w:eastAsia="黑体"/>
                                <w:spacing w:val="-7"/>
                                <w:sz w:val="24"/>
                              </w:rPr>
                              <w:t xml:space="preserve">专栏 </w:t>
                            </w:r>
                            <w:r>
                              <w:rPr>
                                <w:rFonts w:ascii="黑体" w:eastAsia="黑体"/>
                                <w:sz w:val="24"/>
                              </w:rPr>
                              <w:t>10</w:t>
                            </w:r>
                            <w:r>
                              <w:rPr>
                                <w:rFonts w:ascii="黑体" w:eastAsia="黑体"/>
                                <w:spacing w:val="78"/>
                                <w:w w:val="150"/>
                                <w:sz w:val="24"/>
                              </w:rPr>
                              <w:t xml:space="preserve"> </w:t>
                            </w:r>
                            <w:r>
                              <w:rPr>
                                <w:rFonts w:ascii="黑体" w:eastAsia="黑体"/>
                                <w:spacing w:val="9"/>
                                <w:sz w:val="24"/>
                              </w:rPr>
                              <w:t>现代治理体系重点建设项目</w:t>
                            </w:r>
                          </w:p>
                          <w:p w14:paraId="0DAAE3DC">
                            <w:pPr>
                              <w:spacing w:before="121" w:line="357" w:lineRule="auto"/>
                              <w:ind w:left="102" w:right="115" w:firstLine="444"/>
                              <w:jc w:val="both"/>
                              <w:rPr>
                                <w:rFonts w:ascii="宋体" w:hAnsi="宋体" w:eastAsia="宋体"/>
                                <w:sz w:val="21"/>
                              </w:rPr>
                            </w:pPr>
                            <w:r>
                              <w:rPr>
                                <w:rFonts w:ascii="宋体" w:hAnsi="宋体" w:eastAsia="宋体"/>
                                <w:spacing w:val="11"/>
                                <w:sz w:val="21"/>
                              </w:rPr>
                              <w:t>金凤区应急指挥管理平台、金凤区救灾物资储备库及物资设备配套、老旧小区消防设施改造、金凤区保供稳价智慧管理系统、金凤区宁安北街消防站、金凤区李银路消防站、</w:t>
                            </w:r>
                            <w:r>
                              <w:rPr>
                                <w:rFonts w:ascii="宋体" w:hAnsi="宋体" w:eastAsia="宋体"/>
                                <w:spacing w:val="10"/>
                                <w:sz w:val="21"/>
                              </w:rPr>
                              <w:t>长城中路“模块化”小（微）</w:t>
                            </w:r>
                            <w:r>
                              <w:rPr>
                                <w:rFonts w:ascii="宋体" w:hAnsi="宋体" w:eastAsia="宋体"/>
                                <w:sz w:val="21"/>
                              </w:rPr>
                              <w:t>型消防站等项目。</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99.7pt;width:448.4pt;" filled="f" stroked="t" coordsize="21600,21600" o:gfxdata="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cWD2tMAAAAFAQAADwAAAAAAAAABACAAAAAiAAAAZHJzL2Rv&#10;d25yZXYueG1sUEsBAhQAFAAAAAgAh07iQBZtfOg/AgAAagQAAA4AAAAAAAAAAQAgAAAAIgEAAGRy&#10;cy9lMm9Eb2MueG1sUEsFBgAAAAAGAAYAWQEAANMFAAAAAA==&#10;">
                <v:fill on="f" focussize="0,0"/>
                <v:stroke weight="0.48pt" color="#000000" miterlimit="8" joinstyle="miter"/>
                <v:imagedata o:title=""/>
                <o:lock v:ext="edit" aspectratio="f"/>
                <v:textbox inset="0mm,0mm,0mm,0mm">
                  <w:txbxContent>
                    <w:p w14:paraId="0A94E892">
                      <w:pPr>
                        <w:spacing w:before="80"/>
                        <w:ind w:left="2422" w:right="2431"/>
                        <w:jc w:val="center"/>
                        <w:rPr>
                          <w:rFonts w:ascii="黑体" w:eastAsia="黑体"/>
                          <w:sz w:val="24"/>
                        </w:rPr>
                      </w:pPr>
                      <w:r>
                        <w:rPr>
                          <w:rFonts w:ascii="黑体" w:eastAsia="黑体"/>
                          <w:spacing w:val="-7"/>
                          <w:sz w:val="24"/>
                        </w:rPr>
                        <w:t xml:space="preserve">专栏 </w:t>
                      </w:r>
                      <w:r>
                        <w:rPr>
                          <w:rFonts w:ascii="黑体" w:eastAsia="黑体"/>
                          <w:sz w:val="24"/>
                        </w:rPr>
                        <w:t>10</w:t>
                      </w:r>
                      <w:r>
                        <w:rPr>
                          <w:rFonts w:ascii="黑体" w:eastAsia="黑体"/>
                          <w:spacing w:val="78"/>
                          <w:w w:val="150"/>
                          <w:sz w:val="24"/>
                        </w:rPr>
                        <w:t xml:space="preserve"> </w:t>
                      </w:r>
                      <w:r>
                        <w:rPr>
                          <w:rFonts w:ascii="黑体" w:eastAsia="黑体"/>
                          <w:spacing w:val="9"/>
                          <w:sz w:val="24"/>
                        </w:rPr>
                        <w:t>现代治理体系重点建设项目</w:t>
                      </w:r>
                    </w:p>
                    <w:p w14:paraId="0DAAE3DC">
                      <w:pPr>
                        <w:spacing w:before="121" w:line="357" w:lineRule="auto"/>
                        <w:ind w:left="102" w:right="115" w:firstLine="444"/>
                        <w:jc w:val="both"/>
                        <w:rPr>
                          <w:rFonts w:ascii="宋体" w:hAnsi="宋体" w:eastAsia="宋体"/>
                          <w:sz w:val="21"/>
                        </w:rPr>
                      </w:pPr>
                      <w:r>
                        <w:rPr>
                          <w:rFonts w:ascii="宋体" w:hAnsi="宋体" w:eastAsia="宋体"/>
                          <w:spacing w:val="11"/>
                          <w:sz w:val="21"/>
                        </w:rPr>
                        <w:t>金凤区应急指挥管理平台、金凤区救灾物资储备库及物资设备配套、老旧小区消防设施改造、金凤区保供稳价智慧管理系统、金凤区宁安北街消防站、金凤区李银路消防站、</w:t>
                      </w:r>
                      <w:r>
                        <w:rPr>
                          <w:rFonts w:ascii="宋体" w:hAnsi="宋体" w:eastAsia="宋体"/>
                          <w:spacing w:val="10"/>
                          <w:sz w:val="21"/>
                        </w:rPr>
                        <w:t>长城中路“模块化”小（微）</w:t>
                      </w:r>
                      <w:r>
                        <w:rPr>
                          <w:rFonts w:ascii="宋体" w:hAnsi="宋体" w:eastAsia="宋体"/>
                          <w:sz w:val="21"/>
                        </w:rPr>
                        <w:t>型消防站等项目。</w:t>
                      </w:r>
                    </w:p>
                  </w:txbxContent>
                </v:textbox>
                <w10:wrap type="none"/>
                <w10:anchorlock/>
              </v:shape>
            </w:pict>
          </mc:Fallback>
        </mc:AlternateContent>
      </w:r>
    </w:p>
    <w:p w14:paraId="7DF4F2FA">
      <w:pPr>
        <w:rPr>
          <w:sz w:val="20"/>
        </w:rPr>
        <w:sectPr>
          <w:pgSz w:w="11910" w:h="16840"/>
          <w:pgMar w:top="1680" w:right="1040" w:bottom="1160" w:left="1360" w:header="0" w:footer="975" w:gutter="0"/>
          <w:cols w:space="720" w:num="1"/>
        </w:sectPr>
      </w:pPr>
    </w:p>
    <w:p w14:paraId="785BA0C0">
      <w:pPr>
        <w:spacing w:before="11"/>
        <w:rPr>
          <w:sz w:val="21"/>
          <w:szCs w:val="32"/>
        </w:rPr>
      </w:pPr>
    </w:p>
    <w:p w14:paraId="6E32EAD2">
      <w:pPr>
        <w:tabs>
          <w:tab w:val="left" w:pos="1444"/>
        </w:tabs>
        <w:spacing w:line="633" w:lineRule="exact"/>
        <w:ind w:right="312"/>
        <w:jc w:val="center"/>
        <w:outlineLvl w:val="1"/>
        <w:rPr>
          <w:rFonts w:ascii="方正小标宋简体" w:hAnsi="方正小标宋简体" w:eastAsia="方正小标宋简体" w:cs="方正小标宋简体"/>
          <w:b/>
          <w:bCs/>
          <w:sz w:val="36"/>
          <w:szCs w:val="36"/>
        </w:rPr>
      </w:pPr>
      <w:r>
        <w:rPr>
          <w:rFonts w:ascii="方正小标宋简体" w:hAnsi="方正小标宋简体" w:eastAsia="方正小标宋简体" w:cs="方正小标宋简体"/>
          <w:b/>
          <w:bCs/>
          <w:w w:val="95"/>
          <w:sz w:val="36"/>
          <w:szCs w:val="36"/>
        </w:rPr>
        <w:t>第九</w:t>
      </w:r>
      <w:r>
        <w:rPr>
          <w:rFonts w:ascii="方正小标宋简体" w:hAnsi="方正小标宋简体" w:eastAsia="方正小标宋简体" w:cs="方正小标宋简体"/>
          <w:b/>
          <w:bCs/>
          <w:spacing w:val="-10"/>
          <w:w w:val="95"/>
          <w:sz w:val="36"/>
          <w:szCs w:val="36"/>
        </w:rPr>
        <w:t>篇</w:t>
      </w:r>
      <w:r>
        <w:rPr>
          <w:rFonts w:ascii="方正小标宋简体" w:hAnsi="方正小标宋简体" w:eastAsia="方正小标宋简体" w:cs="方正小标宋简体"/>
          <w:b/>
          <w:bCs/>
          <w:sz w:val="36"/>
          <w:szCs w:val="36"/>
        </w:rPr>
        <w:tab/>
      </w:r>
      <w:r>
        <w:rPr>
          <w:rFonts w:ascii="方正小标宋简体" w:hAnsi="方正小标宋简体" w:eastAsia="方正小标宋简体" w:cs="方正小标宋简体"/>
          <w:b/>
          <w:bCs/>
          <w:w w:val="95"/>
          <w:sz w:val="36"/>
          <w:szCs w:val="36"/>
        </w:rPr>
        <w:t>广泛凝聚共识，保障有效实施新举</w:t>
      </w:r>
      <w:r>
        <w:rPr>
          <w:rFonts w:ascii="方正小标宋简体" w:hAnsi="方正小标宋简体" w:eastAsia="方正小标宋简体" w:cs="方正小标宋简体"/>
          <w:b/>
          <w:bCs/>
          <w:spacing w:val="-10"/>
          <w:w w:val="95"/>
          <w:sz w:val="36"/>
          <w:szCs w:val="36"/>
        </w:rPr>
        <w:t>措</w:t>
      </w:r>
    </w:p>
    <w:p w14:paraId="32676AE8">
      <w:pPr>
        <w:spacing w:before="15"/>
        <w:rPr>
          <w:rFonts w:ascii="方正小标宋简体"/>
          <w:b/>
          <w:sz w:val="36"/>
          <w:szCs w:val="32"/>
        </w:rPr>
      </w:pPr>
    </w:p>
    <w:p w14:paraId="447D206C">
      <w:pPr>
        <w:spacing w:line="338" w:lineRule="auto"/>
        <w:ind w:left="113" w:right="275" w:firstLine="664"/>
        <w:rPr>
          <w:sz w:val="32"/>
          <w:szCs w:val="32"/>
        </w:rPr>
      </w:pPr>
      <w:r>
        <w:rPr>
          <w:spacing w:val="-2"/>
          <w:w w:val="99"/>
          <w:sz w:val="32"/>
          <w:szCs w:val="32"/>
        </w:rPr>
        <w:t>推进新时代规划体系、规划机制改革，强化规划引导作用，</w:t>
      </w:r>
      <w:r>
        <w:rPr>
          <w:spacing w:val="9"/>
          <w:w w:val="99"/>
          <w:sz w:val="32"/>
          <w:szCs w:val="32"/>
        </w:rPr>
        <w:t>完善规划调控机制，建立规划中期、末期实施效果监督评估机</w:t>
      </w:r>
      <w:r>
        <w:rPr>
          <w:spacing w:val="-1"/>
          <w:w w:val="99"/>
          <w:sz w:val="32"/>
          <w:szCs w:val="32"/>
        </w:rPr>
        <w:t>制，确保金凤区“十四五”规划起到纲领性、基础性、指导性、</w:t>
      </w:r>
      <w:r>
        <w:rPr>
          <w:spacing w:val="11"/>
          <w:w w:val="99"/>
          <w:sz w:val="32"/>
          <w:szCs w:val="32"/>
        </w:rPr>
        <w:t>约束性的规划调控作用目的。</w:t>
      </w:r>
    </w:p>
    <w:p w14:paraId="0F51966B">
      <w:pPr>
        <w:spacing w:before="148"/>
        <w:ind w:right="332"/>
        <w:jc w:val="center"/>
        <w:outlineLvl w:val="2"/>
        <w:rPr>
          <w:rFonts w:ascii="宋体" w:hAnsi="宋体" w:eastAsia="宋体" w:cs="宋体"/>
          <w:b/>
          <w:bCs/>
          <w:sz w:val="32"/>
          <w:szCs w:val="32"/>
        </w:rPr>
      </w:pPr>
      <w:r>
        <w:rPr>
          <w:rFonts w:ascii="宋体" w:hAnsi="宋体" w:eastAsia="宋体" w:cs="宋体"/>
          <w:b/>
          <w:bCs/>
          <w:spacing w:val="14"/>
          <w:sz w:val="32"/>
          <w:szCs w:val="32"/>
        </w:rPr>
        <w:t>第一</w:t>
      </w:r>
      <w:r>
        <w:rPr>
          <w:rFonts w:ascii="宋体" w:hAnsi="宋体" w:eastAsia="宋体" w:cs="宋体"/>
          <w:b/>
          <w:bCs/>
          <w:spacing w:val="58"/>
          <w:sz w:val="32"/>
          <w:szCs w:val="32"/>
        </w:rPr>
        <w:t>节 强</w:t>
      </w:r>
      <w:r>
        <w:rPr>
          <w:rFonts w:ascii="宋体" w:hAnsi="宋体" w:eastAsia="宋体" w:cs="宋体"/>
          <w:b/>
          <w:bCs/>
          <w:spacing w:val="14"/>
          <w:sz w:val="32"/>
          <w:szCs w:val="32"/>
        </w:rPr>
        <w:t>化规</w:t>
      </w:r>
      <w:r>
        <w:rPr>
          <w:rFonts w:ascii="宋体" w:hAnsi="宋体" w:eastAsia="宋体" w:cs="宋体"/>
          <w:b/>
          <w:bCs/>
          <w:spacing w:val="12"/>
          <w:sz w:val="32"/>
          <w:szCs w:val="32"/>
        </w:rPr>
        <w:t>划</w:t>
      </w:r>
      <w:r>
        <w:rPr>
          <w:rFonts w:ascii="宋体" w:hAnsi="宋体" w:eastAsia="宋体" w:cs="宋体"/>
          <w:b/>
          <w:bCs/>
          <w:spacing w:val="14"/>
          <w:sz w:val="32"/>
          <w:szCs w:val="32"/>
        </w:rPr>
        <w:t>引导作</w:t>
      </w:r>
      <w:r>
        <w:rPr>
          <w:rFonts w:ascii="宋体" w:hAnsi="宋体" w:eastAsia="宋体" w:cs="宋体"/>
          <w:b/>
          <w:bCs/>
          <w:spacing w:val="-10"/>
          <w:sz w:val="32"/>
          <w:szCs w:val="32"/>
        </w:rPr>
        <w:t>用</w:t>
      </w:r>
    </w:p>
    <w:p w14:paraId="48044FC7">
      <w:pPr>
        <w:spacing w:before="1"/>
        <w:rPr>
          <w:rFonts w:ascii="宋体"/>
          <w:b/>
          <w:sz w:val="25"/>
          <w:szCs w:val="32"/>
        </w:rPr>
      </w:pPr>
    </w:p>
    <w:p w14:paraId="68755504">
      <w:pPr>
        <w:spacing w:before="1" w:line="338" w:lineRule="auto"/>
        <w:ind w:left="113" w:right="280" w:firstLine="664"/>
        <w:rPr>
          <w:sz w:val="32"/>
          <w:szCs w:val="32"/>
        </w:rPr>
      </w:pPr>
      <w:r>
        <w:rPr>
          <w:b/>
          <w:spacing w:val="13"/>
          <w:w w:val="99"/>
          <w:sz w:val="32"/>
          <w:szCs w:val="32"/>
        </w:rPr>
        <w:t>完善规划体系。</w:t>
      </w:r>
      <w:r>
        <w:rPr>
          <w:spacing w:val="11"/>
          <w:w w:val="99"/>
          <w:sz w:val="32"/>
          <w:szCs w:val="32"/>
        </w:rPr>
        <w:t>以国民经济和社会发展规划纲要为统领，</w:t>
      </w:r>
      <w:r>
        <w:rPr>
          <w:w w:val="99"/>
          <w:sz w:val="32"/>
          <w:szCs w:val="32"/>
        </w:rPr>
        <w:t>以银川市国土空间规划为基础，以专项规划、区域规划为支撑，</w:t>
      </w:r>
      <w:r>
        <w:rPr>
          <w:spacing w:val="11"/>
          <w:w w:val="99"/>
          <w:sz w:val="32"/>
          <w:szCs w:val="32"/>
        </w:rPr>
        <w:t>形成各类规划定位清晰、功能互补、统一衔接的规划体系。</w:t>
      </w:r>
    </w:p>
    <w:p w14:paraId="784B5E7B">
      <w:pPr>
        <w:spacing w:before="5" w:line="340" w:lineRule="auto"/>
        <w:ind w:left="113" w:right="443" w:firstLine="664"/>
        <w:jc w:val="both"/>
        <w:rPr>
          <w:sz w:val="32"/>
          <w:szCs w:val="32"/>
        </w:rPr>
      </w:pPr>
      <w:r>
        <w:rPr>
          <w:b/>
          <w:spacing w:val="11"/>
          <w:w w:val="99"/>
          <w:sz w:val="32"/>
          <w:szCs w:val="32"/>
        </w:rPr>
        <w:t>加强规划衔接。</w:t>
      </w:r>
      <w:r>
        <w:rPr>
          <w:spacing w:val="11"/>
          <w:w w:val="99"/>
          <w:sz w:val="32"/>
          <w:szCs w:val="32"/>
        </w:rPr>
        <w:t>将国民经济和社会发展五年规划作为制定</w:t>
      </w:r>
      <w:r>
        <w:rPr>
          <w:spacing w:val="10"/>
          <w:w w:val="99"/>
          <w:sz w:val="32"/>
          <w:szCs w:val="32"/>
        </w:rPr>
        <w:t>专项规划、年度计划以及相关政策的重要依据，专项规划要切实贯彻五年规划的战略意图和主要任务，特别要加强约束性指标的衔接，确保各级各类规划在总体要求上指向一致、空间配</w:t>
      </w:r>
      <w:r>
        <w:rPr>
          <w:spacing w:val="11"/>
          <w:w w:val="99"/>
          <w:sz w:val="32"/>
          <w:szCs w:val="32"/>
        </w:rPr>
        <w:t>置上相互协调、时序安排上科学有序。</w:t>
      </w:r>
    </w:p>
    <w:p w14:paraId="7E748153">
      <w:pPr>
        <w:spacing w:line="338" w:lineRule="auto"/>
        <w:ind w:left="113" w:right="275" w:firstLine="664"/>
        <w:rPr>
          <w:sz w:val="32"/>
          <w:szCs w:val="32"/>
        </w:rPr>
      </w:pPr>
      <w:r>
        <w:rPr>
          <w:b/>
          <w:w w:val="99"/>
          <w:sz w:val="32"/>
          <w:szCs w:val="32"/>
        </w:rPr>
        <w:t>分解目标任务。</w:t>
      </w:r>
      <w:r>
        <w:rPr>
          <w:spacing w:val="4"/>
          <w:w w:val="99"/>
          <w:sz w:val="32"/>
          <w:szCs w:val="32"/>
        </w:rPr>
        <w:t>分解五年规划确定的发展目标、主要任务，</w:t>
      </w:r>
      <w:r>
        <w:rPr>
          <w:spacing w:val="9"/>
          <w:w w:val="99"/>
          <w:sz w:val="32"/>
          <w:szCs w:val="32"/>
        </w:rPr>
        <w:t>明确牵头单位和工作责任，加大绩效考核力度。国民经济和社</w:t>
      </w:r>
      <w:r>
        <w:rPr>
          <w:spacing w:val="23"/>
          <w:w w:val="99"/>
          <w:sz w:val="32"/>
          <w:szCs w:val="32"/>
        </w:rPr>
        <w:t>会发展年度计划、财政预算要按照五年规划确定的目标和任</w:t>
      </w:r>
      <w:r>
        <w:rPr>
          <w:spacing w:val="11"/>
          <w:w w:val="99"/>
          <w:sz w:val="32"/>
          <w:szCs w:val="32"/>
        </w:rPr>
        <w:t>务，明确年度目标、工作指标和推进措施。</w:t>
      </w:r>
    </w:p>
    <w:p w14:paraId="138DD693">
      <w:pPr>
        <w:spacing w:line="338" w:lineRule="auto"/>
        <w:sectPr>
          <w:pgSz w:w="11910" w:h="16840"/>
          <w:pgMar w:top="1920" w:right="1040" w:bottom="1160" w:left="1360" w:header="0" w:footer="975" w:gutter="0"/>
          <w:cols w:space="720" w:num="1"/>
        </w:sectPr>
      </w:pPr>
    </w:p>
    <w:p w14:paraId="47E1D475">
      <w:pPr>
        <w:spacing w:before="47"/>
        <w:ind w:right="332"/>
        <w:jc w:val="center"/>
        <w:outlineLvl w:val="2"/>
        <w:rPr>
          <w:rFonts w:ascii="宋体" w:hAnsi="宋体" w:eastAsia="宋体" w:cs="宋体"/>
          <w:b/>
          <w:bCs/>
          <w:sz w:val="32"/>
          <w:szCs w:val="32"/>
        </w:rPr>
      </w:pPr>
      <w:r>
        <w:rPr>
          <w:rFonts w:ascii="宋体" w:hAnsi="宋体" w:eastAsia="宋体" w:cs="宋体"/>
          <w:b/>
          <w:bCs/>
          <w:spacing w:val="14"/>
          <w:sz w:val="32"/>
          <w:szCs w:val="32"/>
        </w:rPr>
        <w:t>第二</w:t>
      </w:r>
      <w:r>
        <w:rPr>
          <w:rFonts w:ascii="宋体" w:hAnsi="宋体" w:eastAsia="宋体" w:cs="宋体"/>
          <w:b/>
          <w:bCs/>
          <w:spacing w:val="58"/>
          <w:sz w:val="32"/>
          <w:szCs w:val="32"/>
        </w:rPr>
        <w:t>节 完</w:t>
      </w:r>
      <w:r>
        <w:rPr>
          <w:rFonts w:ascii="宋体" w:hAnsi="宋体" w:eastAsia="宋体" w:cs="宋体"/>
          <w:b/>
          <w:bCs/>
          <w:spacing w:val="14"/>
          <w:sz w:val="32"/>
          <w:szCs w:val="32"/>
        </w:rPr>
        <w:t>善宏</w:t>
      </w:r>
      <w:r>
        <w:rPr>
          <w:rFonts w:ascii="宋体" w:hAnsi="宋体" w:eastAsia="宋体" w:cs="宋体"/>
          <w:b/>
          <w:bCs/>
          <w:spacing w:val="12"/>
          <w:sz w:val="32"/>
          <w:szCs w:val="32"/>
        </w:rPr>
        <w:t>观</w:t>
      </w:r>
      <w:r>
        <w:rPr>
          <w:rFonts w:ascii="宋体" w:hAnsi="宋体" w:eastAsia="宋体" w:cs="宋体"/>
          <w:b/>
          <w:bCs/>
          <w:spacing w:val="14"/>
          <w:sz w:val="32"/>
          <w:szCs w:val="32"/>
        </w:rPr>
        <w:t>调控机</w:t>
      </w:r>
      <w:r>
        <w:rPr>
          <w:rFonts w:ascii="宋体" w:hAnsi="宋体" w:eastAsia="宋体" w:cs="宋体"/>
          <w:b/>
          <w:bCs/>
          <w:spacing w:val="-10"/>
          <w:sz w:val="32"/>
          <w:szCs w:val="32"/>
        </w:rPr>
        <w:t>制</w:t>
      </w:r>
    </w:p>
    <w:p w14:paraId="3DA06AC4">
      <w:pPr>
        <w:spacing w:before="1"/>
        <w:rPr>
          <w:rFonts w:ascii="宋体"/>
          <w:b/>
          <w:sz w:val="25"/>
          <w:szCs w:val="32"/>
        </w:rPr>
      </w:pPr>
    </w:p>
    <w:p w14:paraId="4E2CA803">
      <w:pPr>
        <w:spacing w:line="338" w:lineRule="auto"/>
        <w:ind w:left="113" w:right="438" w:firstLine="664"/>
        <w:jc w:val="both"/>
        <w:rPr>
          <w:sz w:val="32"/>
          <w:szCs w:val="32"/>
        </w:rPr>
      </w:pPr>
      <w:r>
        <w:rPr>
          <w:b/>
          <w:spacing w:val="12"/>
          <w:w w:val="99"/>
          <w:sz w:val="32"/>
          <w:szCs w:val="32"/>
        </w:rPr>
        <w:t>强化政策导向。</w:t>
      </w:r>
      <w:r>
        <w:rPr>
          <w:spacing w:val="10"/>
          <w:w w:val="99"/>
          <w:sz w:val="32"/>
          <w:szCs w:val="32"/>
        </w:rPr>
        <w:t>根据五年规划提出的目标和任务，加强经济社会发展政策的统筹协调，注重短期政策与长期政策的衔接</w:t>
      </w:r>
      <w:r>
        <w:rPr>
          <w:spacing w:val="11"/>
          <w:w w:val="99"/>
          <w:sz w:val="32"/>
          <w:szCs w:val="32"/>
        </w:rPr>
        <w:t>配合。围绕经济社会发展重点领域，研究制定配套政策体系。密切联系宏观环境变化和发展实际，加强政策储备。</w:t>
      </w:r>
    </w:p>
    <w:p w14:paraId="22364785">
      <w:pPr>
        <w:spacing w:before="9" w:line="340" w:lineRule="auto"/>
        <w:ind w:left="113" w:right="280" w:firstLine="664"/>
        <w:rPr>
          <w:sz w:val="32"/>
          <w:szCs w:val="32"/>
        </w:rPr>
      </w:pPr>
      <w:r>
        <w:rPr>
          <w:b/>
          <w:spacing w:val="12"/>
          <w:sz w:val="32"/>
          <w:szCs w:val="32"/>
        </w:rPr>
        <w:t>加强项目支撑。</w:t>
      </w:r>
      <w:r>
        <w:rPr>
          <w:spacing w:val="12"/>
          <w:sz w:val="32"/>
          <w:szCs w:val="32"/>
        </w:rPr>
        <w:t>坚持以规划确定项目、以项目落实规划</w:t>
      </w:r>
      <w:r>
        <w:rPr>
          <w:sz w:val="32"/>
          <w:szCs w:val="32"/>
        </w:rPr>
        <w:t>，</w:t>
      </w:r>
      <w:r>
        <w:rPr>
          <w:spacing w:val="12"/>
          <w:sz w:val="32"/>
          <w:szCs w:val="32"/>
        </w:rPr>
        <w:t>发挥重大项目对转变经济发展方式的带动作用，在科技创</w:t>
      </w:r>
      <w:r>
        <w:rPr>
          <w:spacing w:val="6"/>
          <w:sz w:val="32"/>
          <w:szCs w:val="32"/>
        </w:rPr>
        <w:t>新、</w:t>
      </w:r>
      <w:r>
        <w:rPr>
          <w:spacing w:val="12"/>
          <w:w w:val="95"/>
          <w:sz w:val="32"/>
          <w:szCs w:val="32"/>
        </w:rPr>
        <w:t>产业发展</w:t>
      </w:r>
      <w:r>
        <w:rPr>
          <w:spacing w:val="7"/>
          <w:w w:val="95"/>
          <w:sz w:val="32"/>
          <w:szCs w:val="32"/>
        </w:rPr>
        <w:t>、生态</w:t>
      </w:r>
      <w:r>
        <w:rPr>
          <w:spacing w:val="12"/>
          <w:w w:val="95"/>
          <w:sz w:val="32"/>
          <w:szCs w:val="32"/>
        </w:rPr>
        <w:t>环保</w:t>
      </w:r>
      <w:r>
        <w:rPr>
          <w:spacing w:val="8"/>
          <w:w w:val="95"/>
          <w:sz w:val="32"/>
          <w:szCs w:val="32"/>
        </w:rPr>
        <w:t>、基础</w:t>
      </w:r>
      <w:r>
        <w:rPr>
          <w:spacing w:val="12"/>
          <w:w w:val="95"/>
          <w:sz w:val="32"/>
          <w:szCs w:val="32"/>
        </w:rPr>
        <w:t>设施</w:t>
      </w:r>
      <w:r>
        <w:rPr>
          <w:spacing w:val="7"/>
          <w:w w:val="95"/>
          <w:sz w:val="32"/>
          <w:szCs w:val="32"/>
        </w:rPr>
        <w:t>、社会民生、农村</w:t>
      </w:r>
      <w:r>
        <w:rPr>
          <w:spacing w:val="12"/>
          <w:w w:val="95"/>
          <w:sz w:val="32"/>
          <w:szCs w:val="32"/>
        </w:rPr>
        <w:t>农业等领域</w:t>
      </w:r>
      <w:r>
        <w:rPr>
          <w:w w:val="95"/>
          <w:sz w:val="32"/>
          <w:szCs w:val="32"/>
        </w:rPr>
        <w:t>，</w:t>
      </w:r>
      <w:r>
        <w:rPr>
          <w:spacing w:val="12"/>
          <w:sz w:val="32"/>
          <w:szCs w:val="32"/>
        </w:rPr>
        <w:t>谋划实施一批关系全局和长远发展的重大项</w:t>
      </w:r>
      <w:r>
        <w:rPr>
          <w:spacing w:val="8"/>
          <w:sz w:val="32"/>
          <w:szCs w:val="32"/>
        </w:rPr>
        <w:t>目。优化</w:t>
      </w:r>
      <w:r>
        <w:rPr>
          <w:spacing w:val="12"/>
          <w:sz w:val="32"/>
          <w:szCs w:val="32"/>
        </w:rPr>
        <w:t>重大</w:t>
      </w:r>
      <w:r>
        <w:rPr>
          <w:spacing w:val="6"/>
          <w:sz w:val="32"/>
          <w:szCs w:val="32"/>
        </w:rPr>
        <w:t>项目</w:t>
      </w:r>
      <w:r>
        <w:rPr>
          <w:spacing w:val="12"/>
          <w:sz w:val="32"/>
          <w:szCs w:val="32"/>
        </w:rPr>
        <w:t>布局，加强项目实施管理，建立项目库滚动实施机</w:t>
      </w:r>
      <w:r>
        <w:rPr>
          <w:spacing w:val="6"/>
          <w:sz w:val="32"/>
          <w:szCs w:val="32"/>
        </w:rPr>
        <w:t>制。</w:t>
      </w:r>
    </w:p>
    <w:p w14:paraId="17627749">
      <w:pPr>
        <w:spacing w:line="338" w:lineRule="auto"/>
        <w:ind w:left="113" w:right="443" w:firstLine="664"/>
        <w:jc w:val="both"/>
        <w:rPr>
          <w:sz w:val="32"/>
          <w:szCs w:val="32"/>
        </w:rPr>
      </w:pPr>
      <w:r>
        <w:rPr>
          <w:b/>
          <w:spacing w:val="12"/>
          <w:w w:val="99"/>
          <w:sz w:val="32"/>
          <w:szCs w:val="32"/>
        </w:rPr>
        <w:t>统筹资金投入。</w:t>
      </w:r>
      <w:r>
        <w:rPr>
          <w:spacing w:val="10"/>
          <w:w w:val="99"/>
          <w:sz w:val="32"/>
          <w:szCs w:val="32"/>
        </w:rPr>
        <w:t>优化财政支出结构和政府投资结构，优先安排涉及民生、公共服务和城乡一体化等领域的财政支出和项</w:t>
      </w:r>
      <w:r>
        <w:rPr>
          <w:spacing w:val="9"/>
          <w:w w:val="99"/>
          <w:sz w:val="32"/>
          <w:szCs w:val="32"/>
        </w:rPr>
        <w:t>目投入。进一步统筹、规范、透明使用财政资金，提高政府投</w:t>
      </w:r>
      <w:r>
        <w:rPr>
          <w:spacing w:val="11"/>
          <w:w w:val="99"/>
          <w:sz w:val="32"/>
          <w:szCs w:val="32"/>
        </w:rPr>
        <w:t>资的引导力和带动力，鼓励社会投资。</w:t>
      </w:r>
    </w:p>
    <w:p w14:paraId="3786E750">
      <w:pPr>
        <w:spacing w:before="136"/>
        <w:ind w:right="332"/>
        <w:jc w:val="center"/>
        <w:outlineLvl w:val="2"/>
        <w:rPr>
          <w:rFonts w:ascii="宋体" w:hAnsi="宋体" w:eastAsia="宋体" w:cs="宋体"/>
          <w:b/>
          <w:bCs/>
          <w:sz w:val="32"/>
          <w:szCs w:val="32"/>
        </w:rPr>
      </w:pPr>
      <w:r>
        <w:rPr>
          <w:rFonts w:ascii="宋体" w:hAnsi="宋体" w:eastAsia="宋体" w:cs="宋体"/>
          <w:b/>
          <w:bCs/>
          <w:spacing w:val="14"/>
          <w:sz w:val="32"/>
          <w:szCs w:val="32"/>
        </w:rPr>
        <w:t>第三</w:t>
      </w:r>
      <w:r>
        <w:rPr>
          <w:rFonts w:ascii="宋体" w:hAnsi="宋体" w:eastAsia="宋体" w:cs="宋体"/>
          <w:b/>
          <w:bCs/>
          <w:spacing w:val="58"/>
          <w:sz w:val="32"/>
          <w:szCs w:val="32"/>
        </w:rPr>
        <w:t>节 健</w:t>
      </w:r>
      <w:r>
        <w:rPr>
          <w:rFonts w:ascii="宋体" w:hAnsi="宋体" w:eastAsia="宋体" w:cs="宋体"/>
          <w:b/>
          <w:bCs/>
          <w:spacing w:val="14"/>
          <w:sz w:val="32"/>
          <w:szCs w:val="32"/>
        </w:rPr>
        <w:t>全规</w:t>
      </w:r>
      <w:r>
        <w:rPr>
          <w:rFonts w:ascii="宋体" w:hAnsi="宋体" w:eastAsia="宋体" w:cs="宋体"/>
          <w:b/>
          <w:bCs/>
          <w:spacing w:val="12"/>
          <w:sz w:val="32"/>
          <w:szCs w:val="32"/>
        </w:rPr>
        <w:t>划</w:t>
      </w:r>
      <w:r>
        <w:rPr>
          <w:rFonts w:ascii="宋体" w:hAnsi="宋体" w:eastAsia="宋体" w:cs="宋体"/>
          <w:b/>
          <w:bCs/>
          <w:spacing w:val="14"/>
          <w:sz w:val="32"/>
          <w:szCs w:val="32"/>
        </w:rPr>
        <w:t>实施评</w:t>
      </w:r>
      <w:r>
        <w:rPr>
          <w:rFonts w:ascii="宋体" w:hAnsi="宋体" w:eastAsia="宋体" w:cs="宋体"/>
          <w:b/>
          <w:bCs/>
          <w:spacing w:val="-10"/>
          <w:sz w:val="32"/>
          <w:szCs w:val="32"/>
        </w:rPr>
        <w:t>估</w:t>
      </w:r>
    </w:p>
    <w:p w14:paraId="4D64BFF4">
      <w:pPr>
        <w:spacing w:before="1"/>
        <w:rPr>
          <w:rFonts w:ascii="宋体"/>
          <w:b/>
          <w:sz w:val="25"/>
          <w:szCs w:val="32"/>
        </w:rPr>
      </w:pPr>
    </w:p>
    <w:p w14:paraId="2D24CFF4">
      <w:pPr>
        <w:spacing w:line="340" w:lineRule="auto"/>
        <w:ind w:left="113" w:right="274" w:firstLine="664"/>
        <w:rPr>
          <w:sz w:val="32"/>
          <w:szCs w:val="32"/>
        </w:rPr>
      </w:pPr>
      <w:r>
        <w:rPr>
          <w:b/>
          <w:spacing w:val="12"/>
          <w:w w:val="95"/>
          <w:sz w:val="32"/>
          <w:szCs w:val="32"/>
        </w:rPr>
        <w:t>加强组织领</w:t>
      </w:r>
      <w:r>
        <w:rPr>
          <w:b/>
          <w:spacing w:val="6"/>
          <w:w w:val="95"/>
          <w:sz w:val="32"/>
          <w:szCs w:val="32"/>
        </w:rPr>
        <w:t>导。</w:t>
      </w:r>
      <w:r>
        <w:rPr>
          <w:spacing w:val="12"/>
          <w:w w:val="95"/>
          <w:sz w:val="32"/>
          <w:szCs w:val="32"/>
        </w:rPr>
        <w:t>在区委</w:t>
      </w:r>
      <w:r>
        <w:rPr>
          <w:spacing w:val="6"/>
          <w:w w:val="95"/>
          <w:sz w:val="32"/>
          <w:szCs w:val="32"/>
        </w:rPr>
        <w:t>、</w:t>
      </w:r>
      <w:r>
        <w:rPr>
          <w:rFonts w:hint="eastAsia"/>
          <w:spacing w:val="6"/>
          <w:w w:val="95"/>
          <w:sz w:val="32"/>
          <w:szCs w:val="32"/>
          <w:lang w:eastAsia="zh-CN"/>
        </w:rPr>
        <w:t>区</w:t>
      </w:r>
      <w:bookmarkStart w:id="0" w:name="_GoBack"/>
      <w:bookmarkEnd w:id="0"/>
      <w:r>
        <w:rPr>
          <w:spacing w:val="6"/>
          <w:w w:val="95"/>
          <w:sz w:val="32"/>
          <w:szCs w:val="32"/>
        </w:rPr>
        <w:t>政府领导下，</w:t>
      </w:r>
      <w:r>
        <w:rPr>
          <w:spacing w:val="12"/>
          <w:w w:val="95"/>
          <w:sz w:val="32"/>
          <w:szCs w:val="32"/>
        </w:rPr>
        <w:t>成立</w:t>
      </w:r>
      <w:r>
        <w:rPr>
          <w:spacing w:val="8"/>
          <w:w w:val="95"/>
          <w:sz w:val="32"/>
          <w:szCs w:val="32"/>
        </w:rPr>
        <w:t>全区“</w:t>
      </w:r>
      <w:r>
        <w:rPr>
          <w:spacing w:val="12"/>
          <w:w w:val="95"/>
          <w:sz w:val="32"/>
          <w:szCs w:val="32"/>
        </w:rPr>
        <w:t>十四五</w:t>
      </w:r>
      <w:r>
        <w:rPr>
          <w:w w:val="95"/>
          <w:sz w:val="32"/>
          <w:szCs w:val="32"/>
        </w:rPr>
        <w:t>”</w:t>
      </w:r>
      <w:r>
        <w:rPr>
          <w:spacing w:val="12"/>
          <w:sz w:val="32"/>
          <w:szCs w:val="32"/>
        </w:rPr>
        <w:t>规划实施领导小组及办</w:t>
      </w:r>
      <w:r>
        <w:rPr>
          <w:spacing w:val="8"/>
          <w:sz w:val="32"/>
          <w:szCs w:val="32"/>
        </w:rPr>
        <w:t>公室，领导</w:t>
      </w:r>
      <w:r>
        <w:rPr>
          <w:spacing w:val="12"/>
          <w:sz w:val="32"/>
          <w:szCs w:val="32"/>
        </w:rPr>
        <w:t>小组办公室设在发</w:t>
      </w:r>
      <w:r>
        <w:rPr>
          <w:spacing w:val="6"/>
          <w:sz w:val="32"/>
          <w:szCs w:val="32"/>
        </w:rPr>
        <w:t>改局，统</w:t>
      </w:r>
      <w:r>
        <w:rPr>
          <w:spacing w:val="12"/>
          <w:sz w:val="32"/>
          <w:szCs w:val="32"/>
        </w:rPr>
        <w:t>筹负责“十四</w:t>
      </w:r>
      <w:r>
        <w:rPr>
          <w:spacing w:val="8"/>
          <w:sz w:val="32"/>
          <w:szCs w:val="32"/>
        </w:rPr>
        <w:t>五”规划</w:t>
      </w:r>
      <w:r>
        <w:rPr>
          <w:spacing w:val="12"/>
          <w:sz w:val="32"/>
          <w:szCs w:val="32"/>
        </w:rPr>
        <w:t>的组织实施。各部门要成立相应的工</w:t>
      </w:r>
      <w:r>
        <w:rPr>
          <w:sz w:val="32"/>
          <w:szCs w:val="32"/>
        </w:rPr>
        <w:t>作</w:t>
      </w:r>
      <w:r>
        <w:rPr>
          <w:spacing w:val="12"/>
          <w:sz w:val="32"/>
          <w:szCs w:val="32"/>
        </w:rPr>
        <w:t>机构，分年度，分领域、分阶段落实规划提出的目标</w:t>
      </w:r>
      <w:r>
        <w:rPr>
          <w:spacing w:val="8"/>
          <w:sz w:val="32"/>
          <w:szCs w:val="32"/>
        </w:rPr>
        <w:t>和任务，</w:t>
      </w:r>
      <w:r>
        <w:rPr>
          <w:spacing w:val="10"/>
          <w:sz w:val="32"/>
          <w:szCs w:val="32"/>
        </w:rPr>
        <w:t>保障规划有效实</w:t>
      </w:r>
      <w:r>
        <w:rPr>
          <w:spacing w:val="5"/>
          <w:sz w:val="32"/>
          <w:szCs w:val="32"/>
        </w:rPr>
        <w:t>施。</w:t>
      </w:r>
    </w:p>
    <w:p w14:paraId="784A9516">
      <w:pPr>
        <w:spacing w:line="338" w:lineRule="auto"/>
        <w:ind w:left="113" w:right="443" w:firstLine="664"/>
        <w:rPr>
          <w:sz w:val="32"/>
          <w:szCs w:val="32"/>
        </w:rPr>
      </w:pPr>
      <w:r>
        <w:rPr>
          <w:b/>
          <w:spacing w:val="12"/>
          <w:w w:val="99"/>
          <w:sz w:val="32"/>
          <w:szCs w:val="32"/>
        </w:rPr>
        <w:t>落实目标任务。</w:t>
      </w:r>
      <w:r>
        <w:rPr>
          <w:spacing w:val="10"/>
          <w:w w:val="99"/>
          <w:sz w:val="32"/>
          <w:szCs w:val="32"/>
        </w:rPr>
        <w:t>本规划确定的约束性和改革创新、公共服务领域的任务，要纳入相关职能部门综合评价和目标责任考核</w:t>
      </w:r>
    </w:p>
    <w:p w14:paraId="7C3BD419">
      <w:pPr>
        <w:spacing w:line="338" w:lineRule="auto"/>
        <w:sectPr>
          <w:pgSz w:w="11910" w:h="16840"/>
          <w:pgMar w:top="1920" w:right="1040" w:bottom="1160" w:left="1360" w:header="0" w:footer="975" w:gutter="0"/>
          <w:cols w:space="720" w:num="1"/>
        </w:sectPr>
      </w:pPr>
    </w:p>
    <w:p w14:paraId="05A4ADD9">
      <w:pPr>
        <w:spacing w:before="28" w:line="340" w:lineRule="auto"/>
        <w:ind w:left="113" w:right="274"/>
        <w:rPr>
          <w:sz w:val="32"/>
          <w:szCs w:val="32"/>
        </w:rPr>
      </w:pPr>
      <w:r>
        <w:rPr>
          <w:spacing w:val="2"/>
          <w:w w:val="99"/>
          <w:sz w:val="32"/>
          <w:szCs w:val="32"/>
        </w:rPr>
        <w:t>体系。各项指标和重点任务要分解落实到各部门、镇</w:t>
      </w:r>
      <w:r>
        <w:rPr>
          <w:spacing w:val="12"/>
          <w:w w:val="99"/>
          <w:sz w:val="32"/>
          <w:szCs w:val="32"/>
        </w:rPr>
        <w:t>（</w:t>
      </w:r>
      <w:r>
        <w:rPr>
          <w:spacing w:val="13"/>
          <w:w w:val="99"/>
          <w:sz w:val="32"/>
          <w:szCs w:val="32"/>
        </w:rPr>
        <w:t>街道</w:t>
      </w:r>
      <w:r>
        <w:rPr>
          <w:spacing w:val="-29"/>
          <w:w w:val="99"/>
          <w:sz w:val="32"/>
          <w:szCs w:val="32"/>
        </w:rPr>
        <w:t>）</w:t>
      </w:r>
      <w:r>
        <w:rPr>
          <w:w w:val="99"/>
          <w:sz w:val="32"/>
          <w:szCs w:val="32"/>
        </w:rPr>
        <w:t>、</w:t>
      </w:r>
      <w:r>
        <w:rPr>
          <w:spacing w:val="-1"/>
          <w:w w:val="99"/>
          <w:sz w:val="32"/>
          <w:szCs w:val="32"/>
        </w:rPr>
        <w:t>相关重点企业，明确工作责任。健全监督评估与动态调整机制。</w:t>
      </w:r>
    </w:p>
    <w:p w14:paraId="19AE1009">
      <w:pPr>
        <w:spacing w:line="340" w:lineRule="auto"/>
        <w:ind w:left="113" w:right="441" w:firstLine="664"/>
        <w:jc w:val="both"/>
        <w:rPr>
          <w:sz w:val="32"/>
          <w:szCs w:val="32"/>
        </w:rPr>
      </w:pPr>
      <w:r>
        <w:rPr>
          <w:b/>
          <w:spacing w:val="12"/>
          <w:w w:val="99"/>
          <w:sz w:val="32"/>
          <w:szCs w:val="32"/>
        </w:rPr>
        <w:t>强化跟踪分析。</w:t>
      </w:r>
      <w:r>
        <w:rPr>
          <w:spacing w:val="10"/>
          <w:w w:val="99"/>
          <w:sz w:val="32"/>
          <w:szCs w:val="32"/>
        </w:rPr>
        <w:t>引入第三方评估机制，区政府有关部门要加强对规划相关领域实施情况的评估，接受监督检查。在规划实施的中期阶段，由区人民政府组织开展全面评估，根据评估结果对规划进行调整修订。当经济运行环境发生重大变化或由于其他重要原因使经济运行偏离规划目标太大时，应及时提出</w:t>
      </w:r>
      <w:r>
        <w:rPr>
          <w:spacing w:val="11"/>
          <w:w w:val="99"/>
          <w:sz w:val="32"/>
          <w:szCs w:val="32"/>
        </w:rPr>
        <w:t>调整方案，经人大审议批准实施。</w:t>
      </w:r>
    </w:p>
    <w:p w14:paraId="45A9F792">
      <w:pPr>
        <w:spacing w:before="123"/>
        <w:ind w:right="332"/>
        <w:jc w:val="center"/>
        <w:outlineLvl w:val="2"/>
        <w:rPr>
          <w:rFonts w:ascii="宋体" w:hAnsi="宋体" w:eastAsia="宋体" w:cs="宋体"/>
          <w:b/>
          <w:bCs/>
          <w:sz w:val="32"/>
          <w:szCs w:val="32"/>
        </w:rPr>
      </w:pPr>
      <w:r>
        <w:rPr>
          <w:rFonts w:ascii="宋体" w:hAnsi="宋体" w:eastAsia="宋体" w:cs="宋体"/>
          <w:b/>
          <w:bCs/>
          <w:spacing w:val="14"/>
          <w:sz w:val="32"/>
          <w:szCs w:val="32"/>
        </w:rPr>
        <w:t>第四</w:t>
      </w:r>
      <w:r>
        <w:rPr>
          <w:rFonts w:ascii="宋体" w:hAnsi="宋体" w:eastAsia="宋体" w:cs="宋体"/>
          <w:b/>
          <w:bCs/>
          <w:spacing w:val="58"/>
          <w:sz w:val="32"/>
          <w:szCs w:val="32"/>
        </w:rPr>
        <w:t>节 优</w:t>
      </w:r>
      <w:r>
        <w:rPr>
          <w:rFonts w:ascii="宋体" w:hAnsi="宋体" w:eastAsia="宋体" w:cs="宋体"/>
          <w:b/>
          <w:bCs/>
          <w:spacing w:val="14"/>
          <w:sz w:val="32"/>
          <w:szCs w:val="32"/>
        </w:rPr>
        <w:t>化规</w:t>
      </w:r>
      <w:r>
        <w:rPr>
          <w:rFonts w:ascii="宋体" w:hAnsi="宋体" w:eastAsia="宋体" w:cs="宋体"/>
          <w:b/>
          <w:bCs/>
          <w:spacing w:val="12"/>
          <w:sz w:val="32"/>
          <w:szCs w:val="32"/>
        </w:rPr>
        <w:t>划</w:t>
      </w:r>
      <w:r>
        <w:rPr>
          <w:rFonts w:ascii="宋体" w:hAnsi="宋体" w:eastAsia="宋体" w:cs="宋体"/>
          <w:b/>
          <w:bCs/>
          <w:spacing w:val="14"/>
          <w:sz w:val="32"/>
          <w:szCs w:val="32"/>
        </w:rPr>
        <w:t>实施环</w:t>
      </w:r>
      <w:r>
        <w:rPr>
          <w:rFonts w:ascii="宋体" w:hAnsi="宋体" w:eastAsia="宋体" w:cs="宋体"/>
          <w:b/>
          <w:bCs/>
          <w:spacing w:val="-10"/>
          <w:sz w:val="32"/>
          <w:szCs w:val="32"/>
        </w:rPr>
        <w:t>境</w:t>
      </w:r>
    </w:p>
    <w:p w14:paraId="248B6EC3">
      <w:pPr>
        <w:spacing w:before="1"/>
        <w:rPr>
          <w:rFonts w:ascii="宋体"/>
          <w:b/>
          <w:sz w:val="25"/>
          <w:szCs w:val="32"/>
        </w:rPr>
      </w:pPr>
    </w:p>
    <w:p w14:paraId="1424F6B3">
      <w:pPr>
        <w:spacing w:line="338" w:lineRule="auto"/>
        <w:ind w:left="113" w:right="277" w:firstLine="664"/>
        <w:rPr>
          <w:sz w:val="32"/>
          <w:szCs w:val="32"/>
        </w:rPr>
      </w:pPr>
      <w:r>
        <w:rPr>
          <w:spacing w:val="12"/>
          <w:sz w:val="32"/>
          <w:szCs w:val="32"/>
        </w:rPr>
        <w:t>高度重视宣传和舆论引导工作</w:t>
      </w:r>
      <w:r>
        <w:rPr>
          <w:spacing w:val="7"/>
          <w:sz w:val="32"/>
          <w:szCs w:val="32"/>
        </w:rPr>
        <w:t>，正确</w:t>
      </w:r>
      <w:r>
        <w:rPr>
          <w:spacing w:val="12"/>
          <w:sz w:val="32"/>
          <w:szCs w:val="32"/>
        </w:rPr>
        <w:t>引导社会预</w:t>
      </w:r>
      <w:r>
        <w:rPr>
          <w:spacing w:val="6"/>
          <w:sz w:val="32"/>
          <w:szCs w:val="32"/>
        </w:rPr>
        <w:t>期。着力</w:t>
      </w:r>
      <w:r>
        <w:rPr>
          <w:spacing w:val="12"/>
          <w:sz w:val="32"/>
          <w:szCs w:val="32"/>
        </w:rPr>
        <w:t>推进规划实施的信息公</w:t>
      </w:r>
      <w:r>
        <w:rPr>
          <w:spacing w:val="8"/>
          <w:sz w:val="32"/>
          <w:szCs w:val="32"/>
        </w:rPr>
        <w:t>开，健全</w:t>
      </w:r>
      <w:r>
        <w:rPr>
          <w:spacing w:val="12"/>
          <w:sz w:val="32"/>
          <w:szCs w:val="32"/>
        </w:rPr>
        <w:t>政府与企业</w:t>
      </w:r>
      <w:r>
        <w:rPr>
          <w:spacing w:val="8"/>
          <w:sz w:val="32"/>
          <w:szCs w:val="32"/>
        </w:rPr>
        <w:t>、市民</w:t>
      </w:r>
      <w:r>
        <w:rPr>
          <w:spacing w:val="12"/>
          <w:sz w:val="32"/>
          <w:szCs w:val="32"/>
        </w:rPr>
        <w:t>的信</w:t>
      </w:r>
      <w:r>
        <w:rPr>
          <w:spacing w:val="8"/>
          <w:sz w:val="32"/>
          <w:szCs w:val="32"/>
        </w:rPr>
        <w:t>息沟通</w:t>
      </w:r>
      <w:r>
        <w:rPr>
          <w:spacing w:val="12"/>
          <w:sz w:val="32"/>
          <w:szCs w:val="32"/>
        </w:rPr>
        <w:t>和交流机</w:t>
      </w:r>
      <w:r>
        <w:rPr>
          <w:spacing w:val="8"/>
          <w:sz w:val="32"/>
          <w:szCs w:val="32"/>
        </w:rPr>
        <w:t>制，提高</w:t>
      </w:r>
      <w:r>
        <w:rPr>
          <w:spacing w:val="12"/>
          <w:sz w:val="32"/>
          <w:szCs w:val="32"/>
        </w:rPr>
        <w:t>规划实施的民主化程度和透明度</w:t>
      </w:r>
      <w:r>
        <w:rPr>
          <w:spacing w:val="7"/>
          <w:sz w:val="32"/>
          <w:szCs w:val="32"/>
        </w:rPr>
        <w:t>。发挥金凤</w:t>
      </w:r>
      <w:r>
        <w:rPr>
          <w:spacing w:val="12"/>
          <w:sz w:val="32"/>
          <w:szCs w:val="32"/>
        </w:rPr>
        <w:t>区融媒体、群众社团的桥梁和监督</w:t>
      </w:r>
      <w:r>
        <w:rPr>
          <w:spacing w:val="8"/>
          <w:sz w:val="32"/>
          <w:szCs w:val="32"/>
        </w:rPr>
        <w:t>作用，侧重</w:t>
      </w:r>
      <w:r>
        <w:rPr>
          <w:spacing w:val="12"/>
          <w:sz w:val="32"/>
          <w:szCs w:val="32"/>
        </w:rPr>
        <w:t>对金凤区</w:t>
      </w:r>
      <w:r>
        <w:rPr>
          <w:spacing w:val="8"/>
          <w:sz w:val="32"/>
          <w:szCs w:val="32"/>
        </w:rPr>
        <w:t>经济发</w:t>
      </w:r>
      <w:r>
        <w:rPr>
          <w:spacing w:val="12"/>
          <w:sz w:val="32"/>
          <w:szCs w:val="32"/>
        </w:rPr>
        <w:t>展、创新驱动、乡村振兴、结构升级、生态文明、民</w:t>
      </w:r>
      <w:r>
        <w:rPr>
          <w:spacing w:val="8"/>
          <w:sz w:val="32"/>
          <w:szCs w:val="32"/>
        </w:rPr>
        <w:t>生福祉及</w:t>
      </w:r>
      <w:r>
        <w:rPr>
          <w:spacing w:val="12"/>
          <w:sz w:val="32"/>
          <w:szCs w:val="32"/>
        </w:rPr>
        <w:t>重点领域改革等方面典型事例进行宣传，突出报道项目建</w:t>
      </w:r>
      <w:r>
        <w:rPr>
          <w:spacing w:val="6"/>
          <w:sz w:val="32"/>
          <w:szCs w:val="32"/>
        </w:rPr>
        <w:t>设、</w:t>
      </w:r>
      <w:r>
        <w:rPr>
          <w:spacing w:val="12"/>
          <w:w w:val="95"/>
          <w:sz w:val="32"/>
          <w:szCs w:val="32"/>
        </w:rPr>
        <w:t>企业管理</w:t>
      </w:r>
      <w:r>
        <w:rPr>
          <w:spacing w:val="7"/>
          <w:w w:val="95"/>
          <w:sz w:val="32"/>
          <w:szCs w:val="32"/>
        </w:rPr>
        <w:t>、创新</w:t>
      </w:r>
      <w:r>
        <w:rPr>
          <w:spacing w:val="12"/>
          <w:w w:val="95"/>
          <w:sz w:val="32"/>
          <w:szCs w:val="32"/>
        </w:rPr>
        <w:t>创业等专题内容</w:t>
      </w:r>
      <w:r>
        <w:rPr>
          <w:spacing w:val="8"/>
          <w:w w:val="95"/>
          <w:sz w:val="32"/>
          <w:szCs w:val="32"/>
        </w:rPr>
        <w:t>，营造</w:t>
      </w:r>
      <w:r>
        <w:rPr>
          <w:spacing w:val="12"/>
          <w:w w:val="95"/>
          <w:sz w:val="32"/>
          <w:szCs w:val="32"/>
        </w:rPr>
        <w:t>理性</w:t>
      </w:r>
      <w:r>
        <w:rPr>
          <w:spacing w:val="8"/>
          <w:w w:val="95"/>
          <w:sz w:val="32"/>
          <w:szCs w:val="32"/>
        </w:rPr>
        <w:t>、积极</w:t>
      </w:r>
      <w:r>
        <w:rPr>
          <w:spacing w:val="12"/>
          <w:w w:val="95"/>
          <w:sz w:val="32"/>
          <w:szCs w:val="32"/>
        </w:rPr>
        <w:t>的舆论氛围</w:t>
      </w:r>
      <w:r>
        <w:rPr>
          <w:w w:val="95"/>
          <w:sz w:val="32"/>
          <w:szCs w:val="32"/>
        </w:rPr>
        <w:t>，</w:t>
      </w:r>
      <w:r>
        <w:rPr>
          <w:spacing w:val="12"/>
          <w:sz w:val="32"/>
          <w:szCs w:val="32"/>
        </w:rPr>
        <w:t>及时回应社会关切，凝聚发展共识，增强信心、鼓舞士气</w:t>
      </w:r>
      <w:r>
        <w:rPr>
          <w:sz w:val="32"/>
          <w:szCs w:val="32"/>
        </w:rPr>
        <w:t>。</w:t>
      </w:r>
    </w:p>
    <w:p w14:paraId="1ADE226D">
      <w:pPr>
        <w:spacing w:line="338" w:lineRule="auto"/>
        <w:sectPr>
          <w:pgSz w:w="11910" w:h="16840"/>
          <w:pgMar w:top="1800" w:right="1040" w:bottom="1160" w:left="1360" w:header="0" w:footer="975" w:gutter="0"/>
          <w:cols w:space="720" w:num="1"/>
        </w:sectPr>
      </w:pPr>
    </w:p>
    <w:p w14:paraId="7C1F8DBB">
      <w:pPr>
        <w:spacing w:before="44"/>
        <w:ind w:left="284"/>
        <w:rPr>
          <w:sz w:val="32"/>
          <w:szCs w:val="32"/>
        </w:rPr>
      </w:pPr>
      <w:r>
        <w:rPr>
          <w:spacing w:val="-6"/>
          <w:w w:val="95"/>
          <w:sz w:val="32"/>
          <w:szCs w:val="32"/>
        </w:rPr>
        <w:t>附图</w:t>
      </w:r>
      <w:r>
        <w:rPr>
          <w:spacing w:val="-12"/>
          <w:w w:val="95"/>
          <w:sz w:val="32"/>
          <w:szCs w:val="32"/>
        </w:rPr>
        <w:t>：</w:t>
      </w:r>
    </w:p>
    <w:p w14:paraId="618D2655">
      <w:pPr>
        <w:spacing w:before="11"/>
        <w:rPr>
          <w:sz w:val="37"/>
        </w:rPr>
      </w:pPr>
      <w:r>
        <w:br w:type="column"/>
      </w:r>
    </w:p>
    <w:p w14:paraId="7F047E31">
      <w:pPr>
        <w:ind w:left="89"/>
        <w:outlineLvl w:val="0"/>
        <w:rPr>
          <w:rFonts w:ascii="宋体" w:hAnsi="宋体" w:eastAsia="宋体" w:cs="宋体"/>
          <w:b/>
          <w:bCs/>
          <w:sz w:val="44"/>
          <w:szCs w:val="44"/>
        </w:rPr>
      </w:pPr>
      <w:r>
        <w:rPr>
          <w:rFonts w:ascii="宋体" w:hAnsi="宋体" w:eastAsia="宋体" w:cs="宋体"/>
          <w:b/>
          <w:bCs/>
          <w:w w:val="95"/>
          <w:sz w:val="44"/>
          <w:szCs w:val="44"/>
        </w:rPr>
        <w:t>金凤区“十四五”发展空间布</w:t>
      </w:r>
      <w:r>
        <w:rPr>
          <w:rFonts w:ascii="宋体" w:hAnsi="宋体" w:eastAsia="宋体" w:cs="宋体"/>
          <w:b/>
          <w:bCs/>
          <w:spacing w:val="-5"/>
          <w:w w:val="95"/>
          <w:sz w:val="44"/>
          <w:szCs w:val="44"/>
        </w:rPr>
        <w:t>局图</w:t>
      </w:r>
    </w:p>
    <w:p w14:paraId="0021B590">
      <w:pPr>
        <w:sectPr>
          <w:footerReference r:id="rId43" w:type="even"/>
          <w:pgSz w:w="11910" w:h="16840"/>
          <w:pgMar w:top="1880" w:right="1040" w:bottom="280" w:left="1360" w:header="0" w:footer="0" w:gutter="0"/>
          <w:cols w:equalWidth="0" w:num="2">
            <w:col w:w="1208" w:space="40"/>
            <w:col w:w="8262"/>
          </w:cols>
        </w:sectPr>
      </w:pPr>
    </w:p>
    <w:p w14:paraId="01701C52">
      <w:pPr>
        <w:spacing w:before="1"/>
        <w:rPr>
          <w:rFonts w:ascii="宋体"/>
          <w:b/>
          <w:sz w:val="11"/>
          <w:szCs w:val="32"/>
        </w:rPr>
      </w:pPr>
    </w:p>
    <w:p w14:paraId="44FB37E0">
      <w:pPr>
        <w:ind w:left="284"/>
        <w:rPr>
          <w:rFonts w:ascii="宋体"/>
          <w:sz w:val="20"/>
          <w:szCs w:val="32"/>
        </w:rPr>
      </w:pPr>
      <w:r>
        <w:rPr>
          <w:rFonts w:ascii="宋体"/>
          <w:sz w:val="20"/>
          <w:szCs w:val="32"/>
        </w:rPr>
        <w:drawing>
          <wp:inline distT="0" distB="0" distL="0" distR="0">
            <wp:extent cx="5739765" cy="6976745"/>
            <wp:effectExtent l="0" t="0" r="0" b="0"/>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jpeg"/>
                    <pic:cNvPicPr>
                      <a:picLocks noChangeAspect="1"/>
                    </pic:cNvPicPr>
                  </pic:nvPicPr>
                  <pic:blipFill>
                    <a:blip r:embed="rId51" cstate="print"/>
                    <a:stretch>
                      <a:fillRect/>
                    </a:stretch>
                  </pic:blipFill>
                  <pic:spPr>
                    <a:xfrm>
                      <a:off x="0" y="0"/>
                      <a:ext cx="5740030" cy="6977157"/>
                    </a:xfrm>
                    <a:prstGeom prst="rect">
                      <a:avLst/>
                    </a:prstGeom>
                  </pic:spPr>
                </pic:pic>
              </a:graphicData>
            </a:graphic>
          </wp:inline>
        </w:drawing>
      </w:r>
    </w:p>
    <w:p w14:paraId="567E3CDD">
      <w:pPr>
        <w:rPr>
          <w:rFonts w:ascii="宋体"/>
          <w:sz w:val="20"/>
        </w:rPr>
        <w:sectPr>
          <w:type w:val="continuous"/>
          <w:pgSz w:w="11910" w:h="16840"/>
          <w:pgMar w:top="1800" w:right="1040" w:bottom="1160" w:left="1360" w:header="0" w:footer="0" w:gutter="0"/>
          <w:cols w:space="720" w:num="1"/>
        </w:sectPr>
      </w:pPr>
    </w:p>
    <w:p w14:paraId="09DDDB69">
      <w:pPr>
        <w:spacing w:before="44"/>
        <w:ind w:left="284"/>
        <w:rPr>
          <w:sz w:val="32"/>
          <w:szCs w:val="32"/>
        </w:rPr>
      </w:pPr>
      <w:r>
        <w:rPr>
          <w:spacing w:val="-6"/>
          <w:w w:val="95"/>
          <w:sz w:val="32"/>
          <w:szCs w:val="32"/>
        </w:rPr>
        <w:t>附件</w:t>
      </w:r>
      <w:r>
        <w:rPr>
          <w:spacing w:val="-12"/>
          <w:w w:val="95"/>
          <w:sz w:val="32"/>
          <w:szCs w:val="32"/>
        </w:rPr>
        <w:t>：</w:t>
      </w:r>
    </w:p>
    <w:p w14:paraId="1F370DC2">
      <w:pPr>
        <w:rPr>
          <w:sz w:val="20"/>
          <w:szCs w:val="32"/>
        </w:rPr>
      </w:pPr>
    </w:p>
    <w:p w14:paraId="1E179150">
      <w:pPr>
        <w:spacing w:before="2"/>
        <w:rPr>
          <w:sz w:val="23"/>
          <w:szCs w:val="32"/>
        </w:rPr>
      </w:pPr>
    </w:p>
    <w:p w14:paraId="092E68A2">
      <w:pPr>
        <w:spacing w:before="37"/>
        <w:ind w:right="457"/>
        <w:jc w:val="center"/>
        <w:outlineLvl w:val="0"/>
        <w:rPr>
          <w:rFonts w:ascii="宋体" w:hAnsi="宋体" w:eastAsia="宋体" w:cs="宋体"/>
          <w:b/>
          <w:bCs/>
          <w:sz w:val="44"/>
          <w:szCs w:val="44"/>
        </w:rPr>
      </w:pPr>
      <w:r>
        <w:rPr>
          <w:rFonts w:ascii="宋体" w:hAnsi="宋体" w:eastAsia="宋体" w:cs="宋体"/>
          <w:b/>
          <w:bCs/>
          <w:spacing w:val="-3"/>
          <w:w w:val="95"/>
          <w:sz w:val="44"/>
          <w:szCs w:val="44"/>
        </w:rPr>
        <w:t>名词注解</w:t>
      </w:r>
    </w:p>
    <w:p w14:paraId="5470B5AA">
      <w:pPr>
        <w:spacing w:before="6"/>
        <w:rPr>
          <w:rFonts w:ascii="宋体"/>
          <w:b/>
          <w:sz w:val="58"/>
          <w:szCs w:val="32"/>
        </w:rPr>
      </w:pPr>
    </w:p>
    <w:p w14:paraId="02F6180C">
      <w:pPr>
        <w:spacing w:line="350" w:lineRule="auto"/>
        <w:ind w:left="284" w:right="750" w:firstLine="648"/>
        <w:jc w:val="both"/>
        <w:rPr>
          <w:sz w:val="32"/>
          <w:szCs w:val="32"/>
        </w:rPr>
      </w:pPr>
      <w:r>
        <w:rPr>
          <w:b/>
          <w:spacing w:val="12"/>
          <w:w w:val="99"/>
          <w:sz w:val="32"/>
          <w:szCs w:val="32"/>
        </w:rPr>
        <w:t>新基建：</w:t>
      </w:r>
      <w:r>
        <w:rPr>
          <w:spacing w:val="7"/>
          <w:w w:val="99"/>
          <w:sz w:val="32"/>
          <w:szCs w:val="32"/>
        </w:rPr>
        <w:t>主要包括</w:t>
      </w:r>
      <w:r>
        <w:rPr>
          <w:spacing w:val="-69"/>
          <w:sz w:val="32"/>
          <w:szCs w:val="32"/>
        </w:rPr>
        <w:t xml:space="preserve"> </w:t>
      </w:r>
      <w:r>
        <w:fldChar w:fldCharType="begin"/>
      </w:r>
      <w:r>
        <w:instrText xml:space="preserve"> HYPERLINK "https://baike.baidu.com/item/5G%E5%9F%BA%E7%AB%99/22462659" \h </w:instrText>
      </w:r>
      <w:r>
        <w:fldChar w:fldCharType="separate"/>
      </w:r>
      <w:r>
        <w:rPr>
          <w:rFonts w:ascii="Times New Roman" w:eastAsia="Times New Roman"/>
          <w:spacing w:val="1"/>
          <w:w w:val="99"/>
          <w:sz w:val="32"/>
          <w:szCs w:val="32"/>
        </w:rPr>
        <w:t>5</w:t>
      </w:r>
      <w:r>
        <w:rPr>
          <w:rFonts w:ascii="Times New Roman" w:eastAsia="Times New Roman"/>
          <w:w w:val="99"/>
          <w:sz w:val="32"/>
          <w:szCs w:val="32"/>
        </w:rPr>
        <w:t>G</w:t>
      </w:r>
      <w:r>
        <w:rPr>
          <w:rFonts w:ascii="Times New Roman" w:eastAsia="Times New Roman"/>
          <w:spacing w:val="13"/>
          <w:sz w:val="32"/>
          <w:szCs w:val="32"/>
        </w:rPr>
        <w:t xml:space="preserve"> </w:t>
      </w:r>
      <w:r>
        <w:rPr>
          <w:spacing w:val="10"/>
          <w:w w:val="99"/>
          <w:sz w:val="32"/>
          <w:szCs w:val="32"/>
        </w:rPr>
        <w:t>基站</w:t>
      </w:r>
      <w:r>
        <w:rPr>
          <w:spacing w:val="10"/>
          <w:w w:val="99"/>
          <w:sz w:val="32"/>
          <w:szCs w:val="32"/>
        </w:rPr>
        <w:fldChar w:fldCharType="end"/>
      </w:r>
      <w:r>
        <w:rPr>
          <w:spacing w:val="10"/>
          <w:w w:val="99"/>
          <w:sz w:val="32"/>
          <w:szCs w:val="32"/>
        </w:rPr>
        <w:t>建设、</w:t>
      </w:r>
      <w:r>
        <w:fldChar w:fldCharType="begin"/>
      </w:r>
      <w:r>
        <w:instrText xml:space="preserve"> HYPERLINK "https://baike.baidu.com/item/%E7%89%B9%E9%AB%98%E5%8E%8B/10879188" \h </w:instrText>
      </w:r>
      <w:r>
        <w:fldChar w:fldCharType="separate"/>
      </w:r>
      <w:r>
        <w:rPr>
          <w:spacing w:val="9"/>
          <w:w w:val="99"/>
          <w:sz w:val="32"/>
          <w:szCs w:val="32"/>
        </w:rPr>
        <w:t>特高压</w:t>
      </w:r>
      <w:r>
        <w:rPr>
          <w:spacing w:val="9"/>
          <w:w w:val="99"/>
          <w:sz w:val="32"/>
          <w:szCs w:val="32"/>
        </w:rPr>
        <w:fldChar w:fldCharType="end"/>
      </w:r>
      <w:r>
        <w:rPr>
          <w:spacing w:val="12"/>
          <w:w w:val="99"/>
          <w:sz w:val="32"/>
          <w:szCs w:val="32"/>
        </w:rPr>
        <w:t>、</w:t>
      </w:r>
      <w:r>
        <w:fldChar w:fldCharType="begin"/>
      </w:r>
      <w:r>
        <w:instrText xml:space="preserve"> HYPERLINK "https://baike.baidu.com/item/%E5%9F%8E%E9%99%85%E9%AB%98%E9%80%9F%E9%93%81%E8%B7%AF/49887057" \h </w:instrText>
      </w:r>
      <w:r>
        <w:fldChar w:fldCharType="separate"/>
      </w:r>
      <w:r>
        <w:rPr>
          <w:spacing w:val="7"/>
          <w:w w:val="99"/>
          <w:sz w:val="32"/>
          <w:szCs w:val="32"/>
        </w:rPr>
        <w:t>城际高速铁</w:t>
      </w:r>
      <w:r>
        <w:rPr>
          <w:spacing w:val="7"/>
          <w:w w:val="99"/>
          <w:sz w:val="32"/>
          <w:szCs w:val="32"/>
        </w:rPr>
        <w:fldChar w:fldCharType="end"/>
      </w:r>
      <w:r>
        <w:rPr>
          <w:spacing w:val="7"/>
          <w:w w:val="99"/>
          <w:sz w:val="32"/>
          <w:szCs w:val="32"/>
        </w:rPr>
        <w:t>路和</w:t>
      </w:r>
      <w:r>
        <w:fldChar w:fldCharType="begin"/>
      </w:r>
      <w:r>
        <w:instrText xml:space="preserve"> HYPERLINK "https://baike.baidu.com/item/%E5%9F%8E%E5%B8%82%E8%BD%A8%E9%81%93%E4%BA%A4%E9%80%9A/3523541" \h </w:instrText>
      </w:r>
      <w:r>
        <w:fldChar w:fldCharType="separate"/>
      </w:r>
      <w:r>
        <w:rPr>
          <w:spacing w:val="6"/>
          <w:w w:val="99"/>
          <w:sz w:val="32"/>
          <w:szCs w:val="32"/>
        </w:rPr>
        <w:t>城市轨道交通</w:t>
      </w:r>
      <w:r>
        <w:rPr>
          <w:spacing w:val="6"/>
          <w:w w:val="99"/>
          <w:sz w:val="32"/>
          <w:szCs w:val="32"/>
        </w:rPr>
        <w:fldChar w:fldCharType="end"/>
      </w:r>
      <w:r>
        <w:rPr>
          <w:spacing w:val="6"/>
          <w:w w:val="99"/>
          <w:sz w:val="32"/>
          <w:szCs w:val="32"/>
        </w:rPr>
        <w:t>、新能源汽车</w:t>
      </w:r>
      <w:r>
        <w:fldChar w:fldCharType="begin"/>
      </w:r>
      <w:r>
        <w:instrText xml:space="preserve"> HYPERLINK "https://baike.baidu.com/item/%E5%85%85%E7%94%B5%E6%A1%A9/10788650" \h </w:instrText>
      </w:r>
      <w:r>
        <w:fldChar w:fldCharType="separate"/>
      </w:r>
      <w:r>
        <w:rPr>
          <w:spacing w:val="7"/>
          <w:w w:val="99"/>
          <w:sz w:val="32"/>
          <w:szCs w:val="32"/>
        </w:rPr>
        <w:t>充电桩</w:t>
      </w:r>
      <w:r>
        <w:rPr>
          <w:spacing w:val="7"/>
          <w:w w:val="99"/>
          <w:sz w:val="32"/>
          <w:szCs w:val="32"/>
        </w:rPr>
        <w:fldChar w:fldCharType="end"/>
      </w:r>
      <w:r>
        <w:rPr>
          <w:spacing w:val="5"/>
          <w:w w:val="99"/>
          <w:sz w:val="32"/>
          <w:szCs w:val="32"/>
        </w:rPr>
        <w:t>、</w:t>
      </w:r>
      <w:r>
        <w:fldChar w:fldCharType="begin"/>
      </w:r>
      <w:r>
        <w:instrText xml:space="preserve"> HYPERLINK "https://baike.baidu.com/item/%E5%A4%A7%E6%95%B0%E6%8D%AE/1356941" \h </w:instrText>
      </w:r>
      <w:r>
        <w:fldChar w:fldCharType="separate"/>
      </w:r>
      <w:r>
        <w:rPr>
          <w:spacing w:val="7"/>
          <w:w w:val="99"/>
          <w:sz w:val="32"/>
          <w:szCs w:val="32"/>
        </w:rPr>
        <w:t>大数据</w:t>
      </w:r>
      <w:r>
        <w:rPr>
          <w:spacing w:val="7"/>
          <w:w w:val="99"/>
          <w:sz w:val="32"/>
          <w:szCs w:val="32"/>
        </w:rPr>
        <w:fldChar w:fldCharType="end"/>
      </w:r>
      <w:r>
        <w:rPr>
          <w:spacing w:val="6"/>
          <w:w w:val="99"/>
          <w:sz w:val="32"/>
          <w:szCs w:val="32"/>
        </w:rPr>
        <w:t>中心、</w:t>
      </w:r>
      <w:r>
        <w:fldChar w:fldCharType="begin"/>
      </w:r>
      <w:r>
        <w:instrText xml:space="preserve"> HYPERLINK "https://baike.baidu.com/item/%E4%BA%BA%E5%B7%A5%E6%99%BA%E8%83%BD/9180" \h </w:instrText>
      </w:r>
      <w:r>
        <w:fldChar w:fldCharType="separate"/>
      </w:r>
      <w:r>
        <w:rPr>
          <w:spacing w:val="3"/>
          <w:w w:val="99"/>
          <w:sz w:val="32"/>
          <w:szCs w:val="32"/>
        </w:rPr>
        <w:t>人工</w:t>
      </w:r>
      <w:r>
        <w:rPr>
          <w:spacing w:val="3"/>
          <w:w w:val="99"/>
          <w:sz w:val="32"/>
          <w:szCs w:val="32"/>
        </w:rPr>
        <w:fldChar w:fldCharType="end"/>
      </w:r>
      <w:r>
        <w:rPr>
          <w:spacing w:val="5"/>
          <w:w w:val="99"/>
          <w:sz w:val="32"/>
          <w:szCs w:val="32"/>
        </w:rPr>
        <w:t>智能、</w:t>
      </w:r>
      <w:r>
        <w:fldChar w:fldCharType="begin"/>
      </w:r>
      <w:r>
        <w:instrText xml:space="preserve"> HYPERLINK "https://baike.baidu.com/item/%E5%B7%A5%E4%B8%9A%E4%BA%92%E8%81%94%E7%BD%91/8413475" \h </w:instrText>
      </w:r>
      <w:r>
        <w:fldChar w:fldCharType="separate"/>
      </w:r>
      <w:r>
        <w:rPr>
          <w:spacing w:val="5"/>
          <w:w w:val="99"/>
          <w:sz w:val="32"/>
          <w:szCs w:val="32"/>
        </w:rPr>
        <w:t>工业互联网</w:t>
      </w:r>
      <w:r>
        <w:rPr>
          <w:spacing w:val="5"/>
          <w:w w:val="99"/>
          <w:sz w:val="32"/>
          <w:szCs w:val="32"/>
        </w:rPr>
        <w:fldChar w:fldCharType="end"/>
      </w:r>
      <w:r>
        <w:rPr>
          <w:spacing w:val="4"/>
          <w:w w:val="99"/>
          <w:sz w:val="32"/>
          <w:szCs w:val="32"/>
        </w:rPr>
        <w:t>七大领域，涉及诸多产业链。</w:t>
      </w:r>
    </w:p>
    <w:p w14:paraId="36053D4E">
      <w:pPr>
        <w:spacing w:before="4" w:line="350" w:lineRule="auto"/>
        <w:ind w:left="284" w:right="750" w:firstLine="648"/>
        <w:rPr>
          <w:sz w:val="32"/>
          <w:szCs w:val="32"/>
        </w:rPr>
      </w:pPr>
      <w:r>
        <w:rPr>
          <w:b/>
          <w:spacing w:val="7"/>
          <w:w w:val="99"/>
          <w:sz w:val="32"/>
          <w:szCs w:val="32"/>
        </w:rPr>
        <w:t>私募基金：</w:t>
      </w:r>
      <w:r>
        <w:rPr>
          <w:spacing w:val="4"/>
          <w:w w:val="99"/>
          <w:sz w:val="32"/>
          <w:szCs w:val="32"/>
        </w:rPr>
        <w:t>以非公开方式向特定投资者募集资金并以特定目标为投资对象的证券投资基金。</w:t>
      </w:r>
    </w:p>
    <w:p w14:paraId="020DB4FB">
      <w:pPr>
        <w:spacing w:before="3" w:line="350" w:lineRule="auto"/>
        <w:ind w:left="284" w:right="750" w:firstLine="648"/>
        <w:jc w:val="both"/>
        <w:rPr>
          <w:sz w:val="32"/>
          <w:szCs w:val="32"/>
        </w:rPr>
      </w:pPr>
      <w:r>
        <w:rPr>
          <w:b/>
          <w:spacing w:val="7"/>
          <w:w w:val="99"/>
          <w:sz w:val="32"/>
          <w:szCs w:val="32"/>
        </w:rPr>
        <w:t>六个精准：</w:t>
      </w:r>
      <w:r>
        <w:rPr>
          <w:spacing w:val="4"/>
          <w:w w:val="99"/>
          <w:sz w:val="32"/>
          <w:szCs w:val="32"/>
        </w:rPr>
        <w:t>扶贫对象精准、措施到户精准、项目安排精</w:t>
      </w:r>
      <w:r>
        <w:rPr>
          <w:spacing w:val="5"/>
          <w:w w:val="99"/>
          <w:sz w:val="32"/>
          <w:szCs w:val="32"/>
        </w:rPr>
        <w:t>准、资金使用精准、因村派人</w:t>
      </w:r>
      <w:r>
        <w:rPr>
          <w:spacing w:val="7"/>
          <w:w w:val="99"/>
          <w:sz w:val="32"/>
          <w:szCs w:val="32"/>
        </w:rPr>
        <w:t>（</w:t>
      </w:r>
      <w:r>
        <w:rPr>
          <w:spacing w:val="6"/>
          <w:w w:val="99"/>
          <w:sz w:val="32"/>
          <w:szCs w:val="32"/>
        </w:rPr>
        <w:t>第一书记</w:t>
      </w:r>
      <w:r>
        <w:rPr>
          <w:spacing w:val="7"/>
          <w:w w:val="99"/>
          <w:sz w:val="32"/>
          <w:szCs w:val="32"/>
        </w:rPr>
        <w:t>）</w:t>
      </w:r>
      <w:r>
        <w:rPr>
          <w:spacing w:val="5"/>
          <w:w w:val="99"/>
          <w:sz w:val="32"/>
          <w:szCs w:val="32"/>
        </w:rPr>
        <w:t>精准、脱贫成效</w:t>
      </w:r>
      <w:r>
        <w:rPr>
          <w:spacing w:val="3"/>
          <w:w w:val="99"/>
          <w:sz w:val="32"/>
          <w:szCs w:val="32"/>
        </w:rPr>
        <w:t>精准。</w:t>
      </w:r>
    </w:p>
    <w:p w14:paraId="62E4AAEB">
      <w:pPr>
        <w:spacing w:before="4" w:line="350" w:lineRule="auto"/>
        <w:ind w:left="284" w:right="750" w:firstLine="648"/>
        <w:jc w:val="right"/>
        <w:rPr>
          <w:sz w:val="32"/>
          <w:szCs w:val="32"/>
        </w:rPr>
      </w:pPr>
      <w:r>
        <w:rPr>
          <w:b/>
          <w:spacing w:val="7"/>
          <w:w w:val="99"/>
          <w:sz w:val="32"/>
          <w:szCs w:val="32"/>
        </w:rPr>
        <w:t>五个一批：</w:t>
      </w:r>
      <w:r>
        <w:rPr>
          <w:spacing w:val="4"/>
          <w:w w:val="99"/>
          <w:sz w:val="32"/>
          <w:szCs w:val="32"/>
        </w:rPr>
        <w:t xml:space="preserve">发展生产脱贫一批、易地搬迁脱贫一批、生态补偿脱贫一批、发展教育脱贫一批、社会保障兜底一批。 </w:t>
      </w:r>
      <w:r>
        <w:rPr>
          <w:rFonts w:ascii="Times New Roman" w:eastAsia="Times New Roman"/>
          <w:b/>
          <w:spacing w:val="1"/>
          <w:w w:val="99"/>
          <w:sz w:val="32"/>
          <w:szCs w:val="32"/>
        </w:rPr>
        <w:t>5</w:t>
      </w:r>
      <w:r>
        <w:rPr>
          <w:rFonts w:ascii="Times New Roman" w:eastAsia="Times New Roman"/>
          <w:b/>
          <w:spacing w:val="3"/>
          <w:w w:val="99"/>
          <w:sz w:val="32"/>
          <w:szCs w:val="32"/>
        </w:rPr>
        <w:t>G</w:t>
      </w:r>
      <w:r>
        <w:rPr>
          <w:b/>
          <w:spacing w:val="-22"/>
          <w:w w:val="99"/>
          <w:sz w:val="32"/>
          <w:szCs w:val="32"/>
        </w:rPr>
        <w:t>：</w:t>
      </w:r>
      <w:r>
        <w:rPr>
          <w:spacing w:val="2"/>
          <w:w w:val="99"/>
          <w:sz w:val="32"/>
          <w:szCs w:val="32"/>
        </w:rPr>
        <w:t>第五代移动通信技术，即最新一代</w:t>
      </w:r>
      <w:r>
        <w:fldChar w:fldCharType="begin"/>
      </w:r>
      <w:r>
        <w:instrText xml:space="preserve"> HYPERLINK "https://baike.baidu.com/item/%E8%9C%82%E7%AA%9D%E7%A7%BB%E5%8A%A8%E9%80%9A%E4%BF%A1/106306" \h </w:instrText>
      </w:r>
      <w:r>
        <w:fldChar w:fldCharType="separate"/>
      </w:r>
      <w:r>
        <w:rPr>
          <w:spacing w:val="5"/>
          <w:w w:val="99"/>
          <w:sz w:val="32"/>
          <w:szCs w:val="32"/>
        </w:rPr>
        <w:t>蜂窝移动通信</w:t>
      </w:r>
      <w:r>
        <w:rPr>
          <w:spacing w:val="5"/>
          <w:w w:val="99"/>
          <w:sz w:val="32"/>
          <w:szCs w:val="32"/>
        </w:rPr>
        <w:fldChar w:fldCharType="end"/>
      </w:r>
      <w:r>
        <w:rPr>
          <w:w w:val="99"/>
          <w:sz w:val="32"/>
          <w:szCs w:val="32"/>
        </w:rPr>
        <w:t>技</w:t>
      </w:r>
    </w:p>
    <w:p w14:paraId="797DD9E1">
      <w:pPr>
        <w:spacing w:before="5"/>
        <w:ind w:left="284"/>
        <w:rPr>
          <w:sz w:val="32"/>
          <w:szCs w:val="32"/>
        </w:rPr>
      </w:pPr>
      <w:r>
        <w:rPr>
          <w:w w:val="95"/>
          <w:sz w:val="32"/>
          <w:szCs w:val="32"/>
        </w:rPr>
        <w:t>术</w:t>
      </w:r>
      <w:r>
        <w:rPr>
          <w:spacing w:val="-10"/>
          <w:sz w:val="32"/>
          <w:szCs w:val="32"/>
        </w:rPr>
        <w:t>。</w:t>
      </w:r>
    </w:p>
    <w:p w14:paraId="6C1C7BC8">
      <w:pPr>
        <w:spacing w:before="190"/>
        <w:ind w:left="931"/>
        <w:rPr>
          <w:sz w:val="32"/>
        </w:rPr>
      </w:pPr>
      <w:r>
        <w:rPr>
          <w:b/>
          <w:w w:val="95"/>
          <w:sz w:val="32"/>
        </w:rPr>
        <w:t>十大数字化应用场景：</w:t>
      </w:r>
      <w:r>
        <w:rPr>
          <w:w w:val="95"/>
          <w:sz w:val="32"/>
        </w:rPr>
        <w:t>智能交通、智慧文旅、智慧社会</w:t>
      </w:r>
      <w:r>
        <w:rPr>
          <w:spacing w:val="-10"/>
          <w:w w:val="95"/>
          <w:sz w:val="32"/>
        </w:rPr>
        <w:t>、</w:t>
      </w:r>
    </w:p>
    <w:p w14:paraId="1BC588FE">
      <w:pPr>
        <w:spacing w:before="7"/>
        <w:rPr>
          <w:sz w:val="10"/>
          <w:szCs w:val="32"/>
        </w:rPr>
      </w:pPr>
    </w:p>
    <w:p w14:paraId="042529F4">
      <w:pPr>
        <w:spacing w:before="55" w:line="350" w:lineRule="auto"/>
        <w:ind w:left="284" w:right="750"/>
        <w:rPr>
          <w:sz w:val="32"/>
          <w:szCs w:val="32"/>
        </w:rPr>
      </w:pPr>
      <w:r>
        <w:rPr>
          <w:spacing w:val="4"/>
          <w:w w:val="99"/>
          <w:sz w:val="32"/>
          <w:szCs w:val="32"/>
        </w:rPr>
        <w:t>智慧能源、智能制造、智慧家居、智慧政务、智慧教育、智慧医疗、智慧农业及水利。</w:t>
      </w:r>
    </w:p>
    <w:p w14:paraId="20C73987">
      <w:pPr>
        <w:spacing w:before="2" w:line="350" w:lineRule="auto"/>
        <w:ind w:left="284" w:right="587" w:firstLine="648"/>
        <w:rPr>
          <w:sz w:val="32"/>
          <w:szCs w:val="32"/>
        </w:rPr>
      </w:pPr>
      <w:r>
        <w:rPr>
          <w:b/>
          <w:spacing w:val="-3"/>
          <w:w w:val="99"/>
          <w:sz w:val="32"/>
          <w:szCs w:val="32"/>
        </w:rPr>
        <w:t>两新一重：</w:t>
      </w:r>
      <w:r>
        <w:fldChar w:fldCharType="begin"/>
      </w:r>
      <w:r>
        <w:instrText xml:space="preserve"> HYPERLINK "https://baike.baidu.com/item/%E6%96%B0%E5%9E%8B%E5%9F%BA%E7%A1%80%E8%AE%BE%E6%96%BD%E5%BB%BA%E8%AE%BE/24528423" \h </w:instrText>
      </w:r>
      <w:r>
        <w:fldChar w:fldCharType="separate"/>
      </w:r>
      <w:r>
        <w:rPr>
          <w:spacing w:val="5"/>
          <w:w w:val="99"/>
          <w:sz w:val="32"/>
          <w:szCs w:val="32"/>
        </w:rPr>
        <w:t>新型基础设施建设</w:t>
      </w:r>
      <w:r>
        <w:rPr>
          <w:spacing w:val="5"/>
          <w:w w:val="99"/>
          <w:sz w:val="32"/>
          <w:szCs w:val="32"/>
        </w:rPr>
        <w:fldChar w:fldCharType="end"/>
      </w:r>
      <w:r>
        <w:rPr>
          <w:spacing w:val="-39"/>
          <w:w w:val="99"/>
          <w:sz w:val="32"/>
          <w:szCs w:val="32"/>
        </w:rPr>
        <w:t>，</w:t>
      </w:r>
      <w:r>
        <w:fldChar w:fldCharType="begin"/>
      </w:r>
      <w:r>
        <w:instrText xml:space="preserve"> HYPERLINK "https://baike.baidu.com/item/%E6%96%B0%E5%9E%8B%E5%9F%8E%E9%95%87%E5%8C%96%E5%BB%BA%E8%AE%BE/6470424" \h </w:instrText>
      </w:r>
      <w:r>
        <w:fldChar w:fldCharType="separate"/>
      </w:r>
      <w:r>
        <w:rPr>
          <w:spacing w:val="5"/>
          <w:w w:val="99"/>
          <w:sz w:val="32"/>
          <w:szCs w:val="32"/>
        </w:rPr>
        <w:t>新型城镇化建设</w:t>
      </w:r>
      <w:r>
        <w:rPr>
          <w:spacing w:val="5"/>
          <w:w w:val="99"/>
          <w:sz w:val="32"/>
          <w:szCs w:val="32"/>
        </w:rPr>
        <w:fldChar w:fldCharType="end"/>
      </w:r>
      <w:r>
        <w:rPr>
          <w:spacing w:val="-41"/>
          <w:w w:val="99"/>
          <w:sz w:val="32"/>
          <w:szCs w:val="32"/>
        </w:rPr>
        <w:t>，</w:t>
      </w:r>
      <w:r>
        <w:fldChar w:fldCharType="begin"/>
      </w:r>
      <w:r>
        <w:instrText xml:space="preserve"> HYPERLINK "https://baike.baidu.com/item/%E4%BA%A4%E9%80%9A%E3%80%81%E6%B0%B4%E5%88%A9%E7%AD%89%E9%87%8D%E5%A4%A7%E5%B7%A5%E7%A8%8B%E5%BB%BA%E8%AE%BE/50155270" \h </w:instrText>
      </w:r>
      <w:r>
        <w:fldChar w:fldCharType="separate"/>
      </w:r>
      <w:r>
        <w:rPr>
          <w:spacing w:val="6"/>
          <w:w w:val="99"/>
          <w:sz w:val="32"/>
          <w:szCs w:val="32"/>
        </w:rPr>
        <w:t>交通</w:t>
      </w:r>
      <w:r>
        <w:rPr>
          <w:spacing w:val="6"/>
          <w:w w:val="99"/>
          <w:sz w:val="32"/>
          <w:szCs w:val="32"/>
        </w:rPr>
        <w:fldChar w:fldCharType="end"/>
      </w:r>
      <w:r>
        <w:rPr>
          <w:spacing w:val="-13"/>
          <w:w w:val="99"/>
          <w:sz w:val="32"/>
          <w:szCs w:val="32"/>
        </w:rPr>
        <w:t>、</w:t>
      </w:r>
      <w:r>
        <w:rPr>
          <w:spacing w:val="4"/>
          <w:w w:val="99"/>
          <w:sz w:val="32"/>
          <w:szCs w:val="32"/>
        </w:rPr>
        <w:t>水利等重大工程建设。</w:t>
      </w:r>
    </w:p>
    <w:p w14:paraId="15F6B940">
      <w:pPr>
        <w:spacing w:before="3"/>
        <w:ind w:left="931"/>
        <w:rPr>
          <w:sz w:val="32"/>
        </w:rPr>
      </w:pPr>
      <w:r>
        <w:rPr>
          <w:b/>
          <w:w w:val="95"/>
          <w:sz w:val="32"/>
        </w:rPr>
        <w:t>R&amp;D</w:t>
      </w:r>
      <w:r>
        <w:rPr>
          <w:b/>
          <w:spacing w:val="3"/>
          <w:w w:val="150"/>
          <w:sz w:val="32"/>
        </w:rPr>
        <w:t xml:space="preserve">  </w:t>
      </w:r>
      <w:r>
        <w:rPr>
          <w:b/>
          <w:spacing w:val="12"/>
          <w:w w:val="95"/>
          <w:sz w:val="32"/>
        </w:rPr>
        <w:t>投入</w:t>
      </w:r>
      <w:r>
        <w:rPr>
          <w:b/>
          <w:w w:val="95"/>
          <w:sz w:val="32"/>
        </w:rPr>
        <w:t>强</w:t>
      </w:r>
      <w:r>
        <w:rPr>
          <w:b/>
          <w:spacing w:val="12"/>
          <w:w w:val="95"/>
          <w:sz w:val="32"/>
        </w:rPr>
        <w:t>度：</w:t>
      </w:r>
      <w:r>
        <w:fldChar w:fldCharType="begin"/>
      </w:r>
      <w:r>
        <w:instrText xml:space="preserve"> HYPERLINK "https://www.baidu.com/s?wd=R&amp;D%E7%BB%8F%E8%B4%B9%E6%94%AF%E5%87%BA&amp;tn=SE_PcZhidaonwhc_ngpagmjz&amp;rsv_dl=gh_pc_zhidao" \h </w:instrText>
      </w:r>
      <w:r>
        <w:fldChar w:fldCharType="separate"/>
      </w:r>
      <w:r>
        <w:rPr>
          <w:spacing w:val="6"/>
          <w:w w:val="95"/>
          <w:sz w:val="32"/>
        </w:rPr>
        <w:t>科学</w:t>
      </w:r>
      <w:r>
        <w:rPr>
          <w:w w:val="95"/>
          <w:sz w:val="32"/>
        </w:rPr>
        <w:t>研究和</w:t>
      </w:r>
      <w:r>
        <w:rPr>
          <w:spacing w:val="12"/>
          <w:w w:val="95"/>
          <w:sz w:val="32"/>
        </w:rPr>
        <w:t>试</w:t>
      </w:r>
      <w:r>
        <w:rPr>
          <w:w w:val="95"/>
          <w:sz w:val="32"/>
        </w:rPr>
        <w:t>验发展</w:t>
      </w:r>
      <w:r>
        <w:rPr>
          <w:spacing w:val="12"/>
          <w:w w:val="95"/>
          <w:sz w:val="32"/>
        </w:rPr>
        <w:t>经</w:t>
      </w:r>
      <w:r>
        <w:rPr>
          <w:w w:val="95"/>
          <w:sz w:val="32"/>
        </w:rPr>
        <w:t>费支</w:t>
      </w:r>
      <w:r>
        <w:rPr>
          <w:spacing w:val="12"/>
          <w:w w:val="95"/>
          <w:sz w:val="32"/>
        </w:rPr>
        <w:t>出</w:t>
      </w:r>
      <w:r>
        <w:rPr>
          <w:spacing w:val="12"/>
          <w:w w:val="95"/>
          <w:sz w:val="32"/>
        </w:rPr>
        <w:fldChar w:fldCharType="end"/>
      </w:r>
      <w:r>
        <w:rPr>
          <w:w w:val="95"/>
          <w:sz w:val="32"/>
        </w:rPr>
        <w:t>与</w:t>
      </w:r>
      <w:r>
        <w:fldChar w:fldCharType="begin"/>
      </w:r>
      <w:r>
        <w:instrText xml:space="preserve"> HYPERLINK "https://www.baidu.com/s?wd=%E5%9C%B0%E5%8C%BA%E7%94%9F%E4%BA%A7%E6%80%BB%E5%80%BC&amp;tn=SE_PcZhidaonwhc_ngpagmjz&amp;rsv_dl=gh_pc_zhidao" \h </w:instrText>
      </w:r>
      <w:r>
        <w:fldChar w:fldCharType="separate"/>
      </w:r>
      <w:r>
        <w:rPr>
          <w:w w:val="95"/>
          <w:sz w:val="32"/>
        </w:rPr>
        <w:t>地区生</w:t>
      </w:r>
      <w:r>
        <w:rPr>
          <w:w w:val="95"/>
          <w:sz w:val="32"/>
        </w:rPr>
        <w:fldChar w:fldCharType="end"/>
      </w:r>
    </w:p>
    <w:p w14:paraId="352D917C">
      <w:pPr>
        <w:spacing w:before="10"/>
        <w:rPr>
          <w:sz w:val="7"/>
          <w:szCs w:val="32"/>
        </w:rPr>
      </w:pPr>
    </w:p>
    <w:p w14:paraId="30331598">
      <w:pPr>
        <w:spacing w:before="64"/>
        <w:ind w:right="468"/>
        <w:jc w:val="center"/>
        <w:rPr>
          <w:rFonts w:ascii="Calibri"/>
          <w:sz w:val="18"/>
        </w:rPr>
      </w:pPr>
      <w:r>
        <w:rPr>
          <w:rFonts w:ascii="Calibri"/>
          <w:spacing w:val="-5"/>
          <w:sz w:val="18"/>
        </w:rPr>
        <w:t>151</w:t>
      </w:r>
    </w:p>
    <w:p w14:paraId="220BB56C">
      <w:pPr>
        <w:jc w:val="center"/>
        <w:rPr>
          <w:rFonts w:ascii="Calibri"/>
          <w:sz w:val="18"/>
        </w:rPr>
        <w:sectPr>
          <w:footerReference r:id="rId44" w:type="default"/>
          <w:pgSz w:w="11910" w:h="16840"/>
          <w:pgMar w:top="1880" w:right="1040" w:bottom="280" w:left="1360" w:header="0" w:footer="0" w:gutter="0"/>
          <w:cols w:space="720" w:num="1"/>
        </w:sectPr>
      </w:pPr>
    </w:p>
    <w:p w14:paraId="77CE4A49">
      <w:pPr>
        <w:spacing w:before="37"/>
        <w:ind w:left="284"/>
        <w:rPr>
          <w:sz w:val="32"/>
          <w:szCs w:val="32"/>
        </w:rPr>
      </w:pPr>
      <w:r>
        <w:fldChar w:fldCharType="begin"/>
      </w:r>
      <w:r>
        <w:instrText xml:space="preserve"> HYPERLINK "https://www.baidu.com/s?wd=%E5%9C%B0%E5%8C%BA%E7%94%9F%E4%BA%A7%E6%80%BB%E5%80%BC&amp;tn=SE_PcZhidaonwhc_ngpagmjz&amp;rsv_dl=gh_pc_zhidao" \h </w:instrText>
      </w:r>
      <w:r>
        <w:fldChar w:fldCharType="separate"/>
      </w:r>
      <w:r>
        <w:rPr>
          <w:w w:val="95"/>
          <w:sz w:val="32"/>
          <w:szCs w:val="32"/>
        </w:rPr>
        <w:t>产总值</w:t>
      </w:r>
      <w:r>
        <w:rPr>
          <w:w w:val="95"/>
          <w:sz w:val="32"/>
          <w:szCs w:val="32"/>
        </w:rPr>
        <w:fldChar w:fldCharType="end"/>
      </w:r>
      <w:r>
        <w:rPr>
          <w:w w:val="95"/>
          <w:sz w:val="32"/>
          <w:szCs w:val="32"/>
        </w:rPr>
        <w:t>之比</w:t>
      </w:r>
      <w:r>
        <w:rPr>
          <w:spacing w:val="-10"/>
          <w:w w:val="95"/>
          <w:sz w:val="32"/>
          <w:szCs w:val="32"/>
        </w:rPr>
        <w:t>。</w:t>
      </w:r>
    </w:p>
    <w:p w14:paraId="4004CE00">
      <w:pPr>
        <w:spacing w:before="190" w:line="350" w:lineRule="auto"/>
        <w:ind w:left="931" w:right="750"/>
        <w:rPr>
          <w:sz w:val="32"/>
        </w:rPr>
      </w:pPr>
      <w:r>
        <w:rPr>
          <w:b/>
          <w:spacing w:val="-2"/>
          <w:sz w:val="32"/>
        </w:rPr>
        <w:t>贫困发生率：</w:t>
      </w:r>
      <w:r>
        <w:rPr>
          <w:spacing w:val="-2"/>
          <w:sz w:val="32"/>
        </w:rPr>
        <w:t>低于贫困线的人口占全部人口的比例。</w:t>
      </w:r>
      <w:r>
        <w:rPr>
          <w:spacing w:val="80"/>
          <w:sz w:val="32"/>
        </w:rPr>
        <w:t xml:space="preserve"> </w:t>
      </w:r>
      <w:r>
        <w:rPr>
          <w:b/>
          <w:spacing w:val="-2"/>
          <w:sz w:val="32"/>
        </w:rPr>
        <w:t>三绿指标：</w:t>
      </w:r>
      <w:r>
        <w:rPr>
          <w:spacing w:val="-2"/>
          <w:sz w:val="32"/>
        </w:rPr>
        <w:t>绿地率、绿化覆盖率、人均公共绿地面积。</w:t>
      </w:r>
      <w:r>
        <w:rPr>
          <w:b/>
          <w:w w:val="95"/>
          <w:sz w:val="32"/>
        </w:rPr>
        <w:t>三通指标：</w:t>
      </w:r>
      <w:r>
        <w:rPr>
          <w:w w:val="95"/>
          <w:sz w:val="32"/>
        </w:rPr>
        <w:t>宽带网络校校通、优质资源班班通、</w:t>
      </w:r>
      <w:r>
        <w:rPr>
          <w:spacing w:val="-4"/>
          <w:w w:val="95"/>
          <w:sz w:val="32"/>
        </w:rPr>
        <w:t>网络学</w:t>
      </w:r>
    </w:p>
    <w:p w14:paraId="135FBD08">
      <w:pPr>
        <w:spacing w:before="4"/>
        <w:ind w:left="284"/>
        <w:rPr>
          <w:sz w:val="32"/>
          <w:szCs w:val="32"/>
        </w:rPr>
      </w:pPr>
      <w:r>
        <w:rPr>
          <w:w w:val="95"/>
          <w:sz w:val="32"/>
          <w:szCs w:val="32"/>
        </w:rPr>
        <w:t>习空间人人通</w:t>
      </w:r>
      <w:r>
        <w:rPr>
          <w:spacing w:val="-10"/>
          <w:w w:val="95"/>
          <w:sz w:val="32"/>
          <w:szCs w:val="32"/>
        </w:rPr>
        <w:t>。</w:t>
      </w:r>
    </w:p>
    <w:p w14:paraId="5AE38604">
      <w:pPr>
        <w:spacing w:before="190" w:line="350" w:lineRule="auto"/>
        <w:ind w:left="284" w:right="750" w:firstLine="648"/>
        <w:jc w:val="both"/>
        <w:rPr>
          <w:sz w:val="32"/>
          <w:szCs w:val="32"/>
        </w:rPr>
      </w:pPr>
      <w:r>
        <w:rPr>
          <w:b/>
          <w:spacing w:val="7"/>
          <w:w w:val="99"/>
          <w:sz w:val="32"/>
          <w:szCs w:val="32"/>
        </w:rPr>
        <w:t>三禁三减：</w:t>
      </w:r>
      <w:r>
        <w:rPr>
          <w:spacing w:val="4"/>
          <w:w w:val="99"/>
          <w:sz w:val="32"/>
          <w:szCs w:val="32"/>
        </w:rPr>
        <w:t>三禁指在银川市绕城高速范围内开展农业种植活动过程中严禁使用化肥、农药、除草剂，三减指农业减化肥、减化学农药和减化学除草剂。</w:t>
      </w:r>
    </w:p>
    <w:p w14:paraId="65992470">
      <w:pPr>
        <w:spacing w:before="4" w:line="350" w:lineRule="auto"/>
        <w:ind w:left="284" w:right="587" w:firstLine="648"/>
        <w:rPr>
          <w:sz w:val="32"/>
          <w:szCs w:val="32"/>
        </w:rPr>
      </w:pPr>
      <w:r>
        <w:rPr>
          <w:rFonts w:ascii="Times New Roman" w:eastAsia="Times New Roman"/>
          <w:b/>
          <w:spacing w:val="3"/>
          <w:w w:val="99"/>
          <w:sz w:val="32"/>
          <w:szCs w:val="32"/>
        </w:rPr>
        <w:t>4</w:t>
      </w:r>
      <w:r>
        <w:rPr>
          <w:b/>
          <w:spacing w:val="3"/>
          <w:w w:val="98"/>
          <w:sz w:val="32"/>
          <w:szCs w:val="32"/>
        </w:rPr>
        <w:t>+</w:t>
      </w:r>
      <w:r>
        <w:rPr>
          <w:rFonts w:ascii="Times New Roman" w:eastAsia="Times New Roman"/>
          <w:b/>
          <w:spacing w:val="1"/>
          <w:w w:val="99"/>
          <w:sz w:val="32"/>
          <w:szCs w:val="32"/>
        </w:rPr>
        <w:t>5</w:t>
      </w:r>
      <w:r>
        <w:rPr>
          <w:b/>
          <w:spacing w:val="3"/>
          <w:w w:val="98"/>
          <w:sz w:val="32"/>
          <w:szCs w:val="32"/>
        </w:rPr>
        <w:t>+</w:t>
      </w:r>
      <w:r>
        <w:rPr>
          <w:b/>
          <w:w w:val="98"/>
          <w:sz w:val="32"/>
          <w:szCs w:val="32"/>
        </w:rPr>
        <w:t>x</w:t>
      </w:r>
      <w:r>
        <w:rPr>
          <w:b/>
          <w:spacing w:val="-72"/>
          <w:sz w:val="32"/>
          <w:szCs w:val="32"/>
        </w:rPr>
        <w:t xml:space="preserve"> </w:t>
      </w:r>
      <w:r>
        <w:rPr>
          <w:b/>
          <w:spacing w:val="1"/>
          <w:w w:val="99"/>
          <w:sz w:val="32"/>
          <w:szCs w:val="32"/>
        </w:rPr>
        <w:t>现代服务业体系：</w:t>
      </w:r>
      <w:r>
        <w:rPr>
          <w:w w:val="99"/>
          <w:sz w:val="32"/>
          <w:szCs w:val="32"/>
        </w:rPr>
        <w:t>重点发展数字经济、现代商贸、</w:t>
      </w:r>
      <w:r>
        <w:rPr>
          <w:spacing w:val="4"/>
          <w:w w:val="99"/>
          <w:sz w:val="32"/>
          <w:szCs w:val="32"/>
        </w:rPr>
        <w:t>现代金融、总部经济四大支撑产业，加快发展科技服务、人力资源服务、健康养老、文化旅游、家政服务五大成长型产业，培育发展多种新型经济形态。</w:t>
      </w:r>
    </w:p>
    <w:p w14:paraId="3F17C67D">
      <w:pPr>
        <w:spacing w:before="6" w:line="350" w:lineRule="auto"/>
        <w:ind w:left="284" w:right="750" w:firstLine="648"/>
        <w:rPr>
          <w:sz w:val="32"/>
          <w:szCs w:val="32"/>
        </w:rPr>
      </w:pPr>
      <w:r>
        <w:rPr>
          <w:b/>
          <w:spacing w:val="7"/>
          <w:w w:val="99"/>
          <w:sz w:val="32"/>
          <w:szCs w:val="32"/>
        </w:rPr>
        <w:t>“老小”中心：</w:t>
      </w:r>
      <w:r>
        <w:rPr>
          <w:spacing w:val="4"/>
          <w:w w:val="99"/>
          <w:sz w:val="32"/>
          <w:szCs w:val="32"/>
        </w:rPr>
        <w:t>指的是人口中老年人、儿童比例高于平均水平，聚集度较高区域。</w:t>
      </w:r>
    </w:p>
    <w:p w14:paraId="0E266F2C">
      <w:pPr>
        <w:spacing w:before="3" w:line="350" w:lineRule="auto"/>
        <w:ind w:left="284" w:right="750" w:firstLine="648"/>
        <w:jc w:val="both"/>
        <w:rPr>
          <w:sz w:val="32"/>
          <w:szCs w:val="32"/>
        </w:rPr>
      </w:pPr>
      <w:r>
        <w:rPr>
          <w:b/>
          <w:spacing w:val="7"/>
          <w:w w:val="99"/>
          <w:sz w:val="32"/>
          <w:szCs w:val="32"/>
        </w:rPr>
        <w:t>都市型楼宇工业：</w:t>
      </w:r>
      <w:r>
        <w:rPr>
          <w:spacing w:val="4"/>
          <w:w w:val="99"/>
          <w:sz w:val="32"/>
          <w:szCs w:val="32"/>
        </w:rPr>
        <w:t>以工业园区、工业小区、商用楼宇为活动载体，适宜在都市繁华地段和中心区域内生存和发展，增值快、就业广、适应强，有税收、有环保、有形象的现代工业体系。</w:t>
      </w:r>
    </w:p>
    <w:p w14:paraId="7383A294">
      <w:pPr>
        <w:spacing w:before="5" w:line="350" w:lineRule="auto"/>
        <w:ind w:left="284" w:right="748" w:firstLine="648"/>
        <w:jc w:val="both"/>
        <w:rPr>
          <w:sz w:val="32"/>
        </w:rPr>
      </w:pPr>
      <w:r>
        <w:rPr>
          <w:b/>
          <w:spacing w:val="7"/>
          <w:w w:val="99"/>
          <w:sz w:val="32"/>
        </w:rPr>
        <w:t>“四好”园区和“五优”蔬菜基地：</w:t>
      </w:r>
      <w:r>
        <w:rPr>
          <w:spacing w:val="4"/>
          <w:w w:val="99"/>
          <w:sz w:val="32"/>
        </w:rPr>
        <w:t>打造环境、管理、品质、效益“四好”设施农业园区；露地瓜菜开展品种优、技术优、管理优、品质优、价格优“五优”基地。</w:t>
      </w:r>
    </w:p>
    <w:p w14:paraId="1C00FF6E">
      <w:pPr>
        <w:spacing w:line="381" w:lineRule="exact"/>
        <w:ind w:left="931"/>
        <w:jc w:val="both"/>
        <w:rPr>
          <w:sz w:val="32"/>
          <w:szCs w:val="32"/>
        </w:rPr>
      </w:pPr>
      <w:r>
        <w:rPr>
          <w:b/>
          <w:w w:val="95"/>
          <w:sz w:val="32"/>
          <w:szCs w:val="32"/>
        </w:rPr>
        <w:t>IP：</w:t>
      </w:r>
      <w:r>
        <w:rPr>
          <w:spacing w:val="-23"/>
          <w:w w:val="95"/>
          <w:sz w:val="32"/>
          <w:szCs w:val="32"/>
        </w:rPr>
        <w:t>英文“</w:t>
      </w:r>
      <w:r>
        <w:rPr>
          <w:w w:val="95"/>
          <w:sz w:val="32"/>
          <w:szCs w:val="32"/>
        </w:rPr>
        <w:t>Intellectual</w:t>
      </w:r>
      <w:r>
        <w:rPr>
          <w:spacing w:val="9"/>
          <w:sz w:val="32"/>
          <w:szCs w:val="32"/>
        </w:rPr>
        <w:t xml:space="preserve">  </w:t>
      </w:r>
      <w:r>
        <w:rPr>
          <w:w w:val="95"/>
          <w:sz w:val="32"/>
          <w:szCs w:val="32"/>
        </w:rPr>
        <w:t>Property</w:t>
      </w:r>
      <w:r>
        <w:rPr>
          <w:spacing w:val="-17"/>
          <w:w w:val="95"/>
          <w:sz w:val="32"/>
          <w:szCs w:val="32"/>
        </w:rPr>
        <w:t>”的缩写，直译为“知</w:t>
      </w:r>
    </w:p>
    <w:p w14:paraId="6D53D595">
      <w:pPr>
        <w:spacing w:before="77"/>
        <w:ind w:right="468"/>
        <w:jc w:val="center"/>
        <w:rPr>
          <w:rFonts w:ascii="Calibri"/>
          <w:sz w:val="18"/>
        </w:rPr>
      </w:pPr>
      <w:r>
        <w:rPr>
          <w:rFonts w:ascii="Calibri"/>
          <w:spacing w:val="-5"/>
          <w:sz w:val="18"/>
        </w:rPr>
        <w:t>152</w:t>
      </w:r>
    </w:p>
    <w:p w14:paraId="44359EED">
      <w:pPr>
        <w:spacing w:before="166" w:line="338" w:lineRule="auto"/>
        <w:ind w:left="213" w:right="117" w:firstLine="664"/>
        <w:rPr>
          <w:sz w:val="32"/>
          <w:szCs w:val="32"/>
        </w:rPr>
      </w:pPr>
    </w:p>
    <w:p w14:paraId="5F69F773">
      <w:pPr>
        <w:pStyle w:val="5"/>
        <w:spacing w:before="44" w:line="328" w:lineRule="auto"/>
        <w:ind w:left="104" w:right="268"/>
        <w:jc w:val="both"/>
      </w:pPr>
      <w:r>
        <w:rPr>
          <w:spacing w:val="-14"/>
          <w:w w:val="99"/>
        </w:rPr>
        <w:t>识产权”，可以理解为所有成名文创作品的统称。进一步引申</w:t>
      </w:r>
      <w:r>
        <w:rPr>
          <w:spacing w:val="4"/>
          <w:w w:val="99"/>
        </w:rPr>
        <w:t>指，能够仅凭自身吸引力，挣脱单一平台的束缚，在多个平</w:t>
      </w:r>
      <w:r>
        <w:rPr>
          <w:w w:val="99"/>
        </w:rPr>
        <w:t>台上获得流量，进行分发的内容，就是一个</w:t>
      </w:r>
      <w:r>
        <w:rPr>
          <w:spacing w:val="-74"/>
        </w:rPr>
        <w:t xml:space="preserve"> </w:t>
      </w:r>
      <w:r>
        <w:rPr>
          <w:spacing w:val="1"/>
          <w:w w:val="99"/>
        </w:rPr>
        <w:t>I</w:t>
      </w:r>
      <w:r>
        <w:rPr>
          <w:spacing w:val="6"/>
          <w:w w:val="99"/>
        </w:rPr>
        <w:t>P</w:t>
      </w:r>
      <w:r>
        <w:rPr>
          <w:spacing w:val="-1"/>
          <w:w w:val="99"/>
        </w:rPr>
        <w:t>，它是能带来</w:t>
      </w:r>
      <w:r>
        <w:rPr>
          <w:spacing w:val="-13"/>
          <w:w w:val="99"/>
        </w:rPr>
        <w:t>效应的“梗”或者“现象”，这个“梗”可以在各种平台发挥</w:t>
      </w:r>
      <w:r>
        <w:rPr>
          <w:spacing w:val="4"/>
          <w:w w:val="99"/>
        </w:rPr>
        <w:t>效应，因此</w:t>
      </w:r>
      <w:r>
        <w:rPr>
          <w:spacing w:val="-74"/>
        </w:rPr>
        <w:t xml:space="preserve"> </w:t>
      </w:r>
      <w:r>
        <w:rPr>
          <w:spacing w:val="1"/>
          <w:w w:val="99"/>
        </w:rPr>
        <w:t>I</w:t>
      </w:r>
      <w:r>
        <w:rPr>
          <w:w w:val="99"/>
        </w:rPr>
        <w:t>P</w:t>
      </w:r>
      <w:r>
        <w:rPr>
          <w:spacing w:val="-75"/>
        </w:rPr>
        <w:t xml:space="preserve"> </w:t>
      </w:r>
      <w:r>
        <w:rPr>
          <w:spacing w:val="4"/>
          <w:w w:val="99"/>
        </w:rPr>
        <w:t>也可以说是一款产品，能带来效应的产品。</w:t>
      </w:r>
    </w:p>
    <w:p w14:paraId="7F46EB70">
      <w:pPr>
        <w:pStyle w:val="5"/>
        <w:spacing w:line="326" w:lineRule="auto"/>
        <w:ind w:left="104" w:right="270" w:firstLine="648"/>
      </w:pPr>
      <w:r>
        <w:rPr>
          <w:b/>
          <w:spacing w:val="7"/>
          <w:w w:val="99"/>
        </w:rPr>
        <w:t>一带三区：</w:t>
      </w:r>
      <w:r>
        <w:rPr>
          <w:spacing w:val="4"/>
          <w:w w:val="99"/>
        </w:rPr>
        <w:t>黄河生态经济带，北部绿色发展区、中部封育保护区、南部水源涵养区。</w:t>
      </w:r>
    </w:p>
    <w:p w14:paraId="5EC320C5">
      <w:pPr>
        <w:pStyle w:val="5"/>
        <w:spacing w:line="326" w:lineRule="auto"/>
        <w:ind w:left="104" w:right="270" w:firstLine="648"/>
        <w:jc w:val="both"/>
      </w:pPr>
      <w:r>
        <w:rPr>
          <w:b/>
          <w:spacing w:val="7"/>
          <w:w w:val="99"/>
        </w:rPr>
        <w:t>三廊三区：</w:t>
      </w:r>
      <w:r>
        <w:rPr>
          <w:spacing w:val="4"/>
          <w:w w:val="99"/>
        </w:rPr>
        <w:t>贺兰山生态廊道、黄河生态廊道、典农河—阅海生态廊道；首府功能核心区、城乡融合发展示范区、东部生态经济先导区。</w:t>
      </w:r>
    </w:p>
    <w:p w14:paraId="7ECD13C8">
      <w:pPr>
        <w:pStyle w:val="5"/>
        <w:spacing w:before="5" w:line="326" w:lineRule="auto"/>
        <w:ind w:left="104" w:right="268" w:firstLine="636"/>
      </w:pPr>
      <w:r>
        <w:rPr>
          <w:b/>
          <w:spacing w:val="1"/>
          <w:w w:val="99"/>
        </w:rPr>
        <w:t>三区三线：</w:t>
      </w:r>
      <w:r>
        <w:rPr>
          <w:spacing w:val="-1"/>
          <w:w w:val="99"/>
        </w:rPr>
        <w:t>三区是指城镇、农业、生态空间</w:t>
      </w:r>
      <w:r>
        <w:rPr>
          <w:spacing w:val="-33"/>
          <w:w w:val="99"/>
        </w:rPr>
        <w:t>；“三线”指</w:t>
      </w:r>
      <w:r>
        <w:rPr>
          <w:spacing w:val="4"/>
          <w:w w:val="99"/>
        </w:rPr>
        <w:t>生态保护红线、永久基本农田保护红线和城镇开发边界。</w:t>
      </w:r>
    </w:p>
    <w:p w14:paraId="1C7CE747">
      <w:pPr>
        <w:pStyle w:val="5"/>
        <w:spacing w:before="3" w:line="328" w:lineRule="auto"/>
        <w:ind w:left="104" w:right="270" w:firstLine="604"/>
      </w:pPr>
      <w:r>
        <w:fldChar w:fldCharType="begin"/>
      </w:r>
      <w:r>
        <w:instrText xml:space="preserve"> HYPERLINK "https://www.baidu.com/s?rsv_idx=1&amp;tn=44004473_4_oem_dg&amp;wd=%E4%B8%89%E7%BA%BF%E4%B8%80%E5%8D%95&amp;fenlei=256&amp;usm=1&amp;ie=utf-8&amp;rsv_cq=%E4%B8%89%E7%BA%BF%E4%B8%80%E5%8D%95%E5%90%AB%E4%B9%89&amp;rsv_dl=0_left_exactqa_28290&amp;rsv_lt8=1" \h </w:instrText>
      </w:r>
      <w:r>
        <w:fldChar w:fldCharType="separate"/>
      </w:r>
      <w:r>
        <w:rPr>
          <w:b/>
          <w:spacing w:val="9"/>
          <w:w w:val="99"/>
        </w:rPr>
        <w:t>三线一单</w:t>
      </w:r>
      <w:r>
        <w:rPr>
          <w:b/>
          <w:spacing w:val="9"/>
          <w:w w:val="99"/>
        </w:rPr>
        <w:fldChar w:fldCharType="end"/>
      </w:r>
      <w:r>
        <w:rPr>
          <w:b/>
          <w:spacing w:val="9"/>
          <w:w w:val="99"/>
        </w:rPr>
        <w:t>：</w:t>
      </w:r>
      <w:r>
        <w:rPr>
          <w:spacing w:val="6"/>
          <w:w w:val="99"/>
        </w:rPr>
        <w:t>生态保护红线、环境质量底线、资源利用上</w:t>
      </w:r>
      <w:r>
        <w:rPr>
          <w:spacing w:val="4"/>
          <w:w w:val="99"/>
        </w:rPr>
        <w:t>线和生态环境准入清单。</w:t>
      </w:r>
    </w:p>
    <w:p w14:paraId="7EC15FF0">
      <w:pPr>
        <w:pStyle w:val="5"/>
        <w:spacing w:line="328" w:lineRule="auto"/>
        <w:ind w:left="104" w:right="270" w:firstLine="648"/>
        <w:jc w:val="right"/>
      </w:pPr>
      <w:r>
        <w:rPr>
          <w:b/>
          <w:spacing w:val="7"/>
          <w:w w:val="99"/>
        </w:rPr>
        <w:t>十大生态工程：</w:t>
      </w:r>
      <w:r>
        <w:rPr>
          <w:spacing w:val="4"/>
          <w:w w:val="99"/>
        </w:rPr>
        <w:t>黄河支流源头水源涵养林建设、黄河支流两岸水土保持林建设、黄河干流绿色长廊建设、黄河两岸沙化土地治理、沿黄湿地保护修复建设、以国家公园为主体的自然保护地体系建设、天然林保护修复、退化草原保护修复、特色经济林提质增效、森林质量精准提升建设等工程。</w:t>
      </w:r>
      <w:r>
        <w:rPr>
          <w:b/>
          <w:spacing w:val="7"/>
          <w:w w:val="99"/>
        </w:rPr>
        <w:t>一海一湖三个生态廊道：</w:t>
      </w:r>
      <w:r>
        <w:rPr>
          <w:spacing w:val="4"/>
          <w:w w:val="99"/>
        </w:rPr>
        <w:t>指阅海、宝湖和唐徕渠生态廊</w:t>
      </w:r>
    </w:p>
    <w:p w14:paraId="5B8A6F86">
      <w:pPr>
        <w:pStyle w:val="5"/>
        <w:spacing w:line="400" w:lineRule="exact"/>
        <w:ind w:left="104"/>
      </w:pPr>
      <w:r>
        <w:rPr>
          <w:w w:val="95"/>
        </w:rPr>
        <w:t>道、典农河生态廊道、铁路沿线生态廊道</w:t>
      </w:r>
      <w:r>
        <w:rPr>
          <w:spacing w:val="-10"/>
          <w:w w:val="95"/>
        </w:rPr>
        <w:t>。</w:t>
      </w:r>
    </w:p>
    <w:p w14:paraId="68E552E6">
      <w:pPr>
        <w:pStyle w:val="5"/>
        <w:spacing w:before="146" w:line="328" w:lineRule="auto"/>
        <w:ind w:left="104" w:right="270" w:firstLine="636"/>
      </w:pPr>
      <w:r>
        <w:rPr>
          <w:b/>
          <w:spacing w:val="7"/>
          <w:w w:val="99"/>
        </w:rPr>
        <w:t>悦书房：</w:t>
      </w:r>
      <w:r>
        <w:rPr>
          <w:spacing w:val="6"/>
          <w:w w:val="99"/>
        </w:rPr>
        <w:t>由金凤区政府投资建设，面向市民免费开放，</w:t>
      </w:r>
      <w:r>
        <w:rPr>
          <w:spacing w:val="4"/>
          <w:w w:val="99"/>
        </w:rPr>
        <w:t>融合读书、看报、学习、借阅、便民服务为一体的现代化小</w:t>
      </w:r>
    </w:p>
    <w:p w14:paraId="170F978B">
      <w:pPr>
        <w:spacing w:line="328" w:lineRule="auto"/>
        <w:sectPr>
          <w:footerReference r:id="rId45" w:type="default"/>
          <w:pgSz w:w="11910" w:h="16840"/>
          <w:pgMar w:top="1880" w:right="1520" w:bottom="1760" w:left="1540" w:header="0" w:footer="1573" w:gutter="0"/>
          <w:pgNumType w:start="153"/>
          <w:cols w:space="720" w:num="1"/>
        </w:sectPr>
      </w:pPr>
    </w:p>
    <w:p w14:paraId="5E3F25EF">
      <w:pPr>
        <w:pStyle w:val="5"/>
        <w:spacing w:before="44"/>
        <w:ind w:left="104"/>
      </w:pPr>
      <w:r>
        <w:rPr>
          <w:w w:val="95"/>
        </w:rPr>
        <w:t>微自助公益性图书馆</w:t>
      </w:r>
      <w:r>
        <w:rPr>
          <w:spacing w:val="-10"/>
          <w:w w:val="95"/>
        </w:rPr>
        <w:t>。</w:t>
      </w:r>
    </w:p>
    <w:p w14:paraId="379F1A3E">
      <w:pPr>
        <w:pStyle w:val="5"/>
        <w:spacing w:before="151" w:line="326" w:lineRule="auto"/>
        <w:ind w:left="104" w:right="119" w:firstLine="636"/>
      </w:pPr>
      <w:r>
        <w:rPr>
          <w:b/>
          <w:spacing w:val="7"/>
          <w:w w:val="99"/>
        </w:rPr>
        <w:t>三中心一平台：</w:t>
      </w:r>
      <w:r>
        <w:rPr>
          <w:spacing w:val="6"/>
          <w:w w:val="99"/>
        </w:rPr>
        <w:t>农商网数字农业检测中心、农商网电商</w:t>
      </w:r>
      <w:r>
        <w:rPr>
          <w:spacing w:val="-8"/>
          <w:w w:val="99"/>
        </w:rPr>
        <w:t>调度中心、物流配送体系和展示中心，农业物联网应用平台。</w:t>
      </w:r>
    </w:p>
    <w:p w14:paraId="6DBE7CE2">
      <w:pPr>
        <w:spacing w:before="3" w:line="328" w:lineRule="auto"/>
        <w:ind w:left="104" w:right="106" w:firstLine="636"/>
        <w:rPr>
          <w:sz w:val="32"/>
        </w:rPr>
      </w:pPr>
      <w:r>
        <w:rPr>
          <w:b/>
          <w:spacing w:val="-14"/>
          <w:w w:val="99"/>
          <w:sz w:val="32"/>
        </w:rPr>
        <w:t>社区警务“</w:t>
      </w:r>
      <w:r>
        <w:rPr>
          <w:rFonts w:ascii="Times New Roman" w:hAnsi="Times New Roman" w:eastAsia="Times New Roman"/>
          <w:b/>
          <w:spacing w:val="1"/>
          <w:w w:val="99"/>
          <w:sz w:val="32"/>
        </w:rPr>
        <w:t>1</w:t>
      </w:r>
      <w:r>
        <w:rPr>
          <w:b/>
          <w:spacing w:val="3"/>
          <w:w w:val="98"/>
          <w:sz w:val="32"/>
        </w:rPr>
        <w:t>+X+</w:t>
      </w:r>
      <w:r>
        <w:rPr>
          <w:b/>
          <w:spacing w:val="6"/>
          <w:w w:val="98"/>
          <w:sz w:val="32"/>
        </w:rPr>
        <w:t>N</w:t>
      </w:r>
      <w:r>
        <w:rPr>
          <w:b/>
          <w:spacing w:val="-26"/>
          <w:w w:val="99"/>
          <w:sz w:val="32"/>
        </w:rPr>
        <w:t>”联勤模式：</w:t>
      </w:r>
      <w:r>
        <w:rPr>
          <w:w w:val="99"/>
          <w:sz w:val="32"/>
        </w:rPr>
        <w:t>即</w:t>
      </w:r>
      <w:r>
        <w:rPr>
          <w:spacing w:val="-74"/>
          <w:sz w:val="32"/>
        </w:rPr>
        <w:t xml:space="preserve"> </w:t>
      </w:r>
      <w:r>
        <w:rPr>
          <w:rFonts w:ascii="Times New Roman" w:hAnsi="Times New Roman" w:eastAsia="Times New Roman"/>
          <w:w w:val="99"/>
          <w:sz w:val="32"/>
        </w:rPr>
        <w:t>1</w:t>
      </w:r>
      <w:r>
        <w:rPr>
          <w:rFonts w:ascii="Times New Roman" w:hAnsi="Times New Roman" w:eastAsia="Times New Roman"/>
          <w:spacing w:val="7"/>
          <w:sz w:val="32"/>
        </w:rPr>
        <w:t xml:space="preserve"> </w:t>
      </w:r>
      <w:r>
        <w:rPr>
          <w:spacing w:val="-18"/>
          <w:w w:val="99"/>
          <w:sz w:val="32"/>
        </w:rPr>
        <w:t>名民警、若干辅警</w:t>
      </w:r>
      <w:r>
        <w:rPr>
          <w:spacing w:val="5"/>
          <w:w w:val="99"/>
          <w:sz w:val="32"/>
        </w:rPr>
        <w:t>（</w:t>
      </w:r>
      <w:r>
        <w:rPr>
          <w:spacing w:val="3"/>
          <w:w w:val="99"/>
          <w:sz w:val="32"/>
        </w:rPr>
        <w:t>X</w:t>
      </w:r>
      <w:r>
        <w:rPr>
          <w:w w:val="99"/>
          <w:sz w:val="32"/>
        </w:rPr>
        <w:t>）</w:t>
      </w:r>
      <w:r>
        <w:rPr>
          <w:spacing w:val="4"/>
          <w:w w:val="99"/>
          <w:sz w:val="32"/>
        </w:rPr>
        <w:t>加网格员、禁毒专干、司法调解员、物业、保安等若干相关</w:t>
      </w:r>
      <w:r>
        <w:rPr>
          <w:spacing w:val="5"/>
          <w:w w:val="99"/>
          <w:sz w:val="32"/>
        </w:rPr>
        <w:t>人员（</w:t>
      </w:r>
      <w:r>
        <w:rPr>
          <w:spacing w:val="3"/>
          <w:w w:val="99"/>
          <w:sz w:val="32"/>
        </w:rPr>
        <w:t>N</w:t>
      </w:r>
      <w:r>
        <w:rPr>
          <w:spacing w:val="5"/>
          <w:w w:val="99"/>
          <w:sz w:val="32"/>
        </w:rPr>
        <w:t>）</w:t>
      </w:r>
      <w:r>
        <w:rPr>
          <w:spacing w:val="4"/>
          <w:w w:val="99"/>
          <w:sz w:val="32"/>
        </w:rPr>
        <w:t>组成的社区警务力量。</w:t>
      </w:r>
    </w:p>
    <w:p w14:paraId="3FC9EB6E">
      <w:pPr>
        <w:pStyle w:val="5"/>
        <w:spacing w:line="328" w:lineRule="auto"/>
        <w:ind w:left="104" w:right="268" w:firstLine="636"/>
        <w:jc w:val="both"/>
      </w:pPr>
      <w:r>
        <w:rPr>
          <w:b/>
          <w:spacing w:val="7"/>
          <w:w w:val="99"/>
        </w:rPr>
        <w:t>一核三联五治五化：</w:t>
      </w:r>
      <w:r>
        <w:rPr>
          <w:spacing w:val="6"/>
          <w:w w:val="99"/>
        </w:rPr>
        <w:t>以党建为核心引领，以基层组织、</w:t>
      </w:r>
      <w:r>
        <w:rPr>
          <w:spacing w:val="4"/>
          <w:w w:val="99"/>
        </w:rPr>
        <w:t>物业公司、业主委员会三方联管居民小区为抓手，完善社区共治、自治、法治、德治、智治“五治”并举的治理体系，实现治理主体社会化、治理单元精细化、治理流程规范化、</w:t>
      </w:r>
      <w:r>
        <w:rPr>
          <w:spacing w:val="-3"/>
          <w:w w:val="99"/>
        </w:rPr>
        <w:t>治理模式人性化、治理载体数字化“五化驱动”。</w:t>
      </w:r>
    </w:p>
    <w:p w14:paraId="4059A238">
      <w:pPr>
        <w:pStyle w:val="5"/>
        <w:spacing w:line="326" w:lineRule="auto"/>
        <w:ind w:left="104" w:right="270" w:firstLine="636"/>
      </w:pPr>
      <w:r>
        <w:rPr>
          <w:b/>
          <w:spacing w:val="7"/>
          <w:w w:val="99"/>
        </w:rPr>
        <w:t>一约四会制度：</w:t>
      </w:r>
      <w:r>
        <w:rPr>
          <w:spacing w:val="6"/>
          <w:w w:val="99"/>
        </w:rPr>
        <w:t>村规民约、红白理事会、道德评议会、</w:t>
      </w:r>
      <w:r>
        <w:rPr>
          <w:spacing w:val="4"/>
          <w:w w:val="99"/>
        </w:rPr>
        <w:t>村民议事会、禁毒禁赌会制度。</w:t>
      </w:r>
    </w:p>
    <w:p w14:paraId="49B10E38">
      <w:pPr>
        <w:pStyle w:val="5"/>
        <w:spacing w:line="326" w:lineRule="auto"/>
        <w:ind w:left="104" w:right="270" w:firstLine="636"/>
        <w:jc w:val="both"/>
      </w:pPr>
      <w:r>
        <w:rPr>
          <w:b/>
          <w:spacing w:val="12"/>
          <w:w w:val="99"/>
        </w:rPr>
        <w:t>枫桥经验：</w:t>
      </w:r>
      <w:r>
        <w:rPr>
          <w:rFonts w:ascii="Times New Roman" w:hAnsi="Times New Roman" w:eastAsia="Times New Roman"/>
          <w:spacing w:val="1"/>
          <w:w w:val="99"/>
        </w:rPr>
        <w:t>2</w:t>
      </w:r>
      <w:r>
        <w:rPr>
          <w:rFonts w:ascii="Times New Roman" w:hAnsi="Times New Roman" w:eastAsia="Times New Roman"/>
          <w:w w:val="99"/>
        </w:rPr>
        <w:t>0</w:t>
      </w:r>
      <w:r>
        <w:rPr>
          <w:rFonts w:ascii="Times New Roman" w:hAnsi="Times New Roman" w:eastAsia="Times New Roman"/>
          <w:spacing w:val="12"/>
        </w:rPr>
        <w:t xml:space="preserve"> </w:t>
      </w:r>
      <w:r>
        <w:rPr>
          <w:spacing w:val="6"/>
          <w:w w:val="99"/>
        </w:rPr>
        <w:t>世纪</w:t>
      </w:r>
      <w:r>
        <w:rPr>
          <w:spacing w:val="-69"/>
        </w:rPr>
        <w:t xml:space="preserve"> </w:t>
      </w:r>
      <w:r>
        <w:rPr>
          <w:rFonts w:ascii="Times New Roman" w:hAnsi="Times New Roman" w:eastAsia="Times New Roman"/>
          <w:spacing w:val="1"/>
          <w:w w:val="99"/>
        </w:rPr>
        <w:t>6</w:t>
      </w:r>
      <w:r>
        <w:rPr>
          <w:rFonts w:ascii="Times New Roman" w:hAnsi="Times New Roman" w:eastAsia="Times New Roman"/>
          <w:w w:val="99"/>
        </w:rPr>
        <w:t>0</w:t>
      </w:r>
      <w:r>
        <w:rPr>
          <w:rFonts w:ascii="Times New Roman" w:hAnsi="Times New Roman" w:eastAsia="Times New Roman"/>
          <w:spacing w:val="12"/>
        </w:rPr>
        <w:t xml:space="preserve"> </w:t>
      </w:r>
      <w:r>
        <w:rPr>
          <w:spacing w:val="9"/>
          <w:w w:val="99"/>
        </w:rPr>
        <w:t>年代初，浙江省绍兴市诸暨县</w:t>
      </w:r>
      <w:r>
        <w:fldChar w:fldCharType="begin"/>
      </w:r>
      <w:r>
        <w:instrText xml:space="preserve"> HYPERLINK "https://baike.baidu.com/item/%E6%9E%AB%E6%A1%A5%E9%95%87" \h </w:instrText>
      </w:r>
      <w:r>
        <w:fldChar w:fldCharType="separate"/>
      </w:r>
      <w:r>
        <w:rPr>
          <w:w w:val="99"/>
        </w:rPr>
        <w:t>枫</w:t>
      </w:r>
      <w:r>
        <w:rPr>
          <w:w w:val="99"/>
        </w:rPr>
        <w:fldChar w:fldCharType="end"/>
      </w:r>
      <w:r>
        <w:rPr>
          <w:spacing w:val="4"/>
          <w:w w:val="99"/>
        </w:rPr>
        <w:t>桥镇干部群众创造了“发动和依靠群众，坚持矛盾不上交，</w:t>
      </w:r>
      <w:r>
        <w:rPr>
          <w:spacing w:val="5"/>
          <w:w w:val="99"/>
        </w:rPr>
        <w:t>就地解决，实现捕人少、治安好”的“</w:t>
      </w:r>
      <w:r>
        <w:fldChar w:fldCharType="begin"/>
      </w:r>
      <w:r>
        <w:instrText xml:space="preserve"> HYPERLINK "https://baike.baidu.com/item/%E6%9E%AB%E6%A1%A5" \h </w:instrText>
      </w:r>
      <w:r>
        <w:fldChar w:fldCharType="separate"/>
      </w:r>
      <w:r>
        <w:rPr>
          <w:spacing w:val="6"/>
          <w:w w:val="99"/>
        </w:rPr>
        <w:t>枫桥</w:t>
      </w:r>
      <w:r>
        <w:rPr>
          <w:spacing w:val="6"/>
          <w:w w:val="99"/>
        </w:rPr>
        <w:fldChar w:fldCharType="end"/>
      </w:r>
      <w:r>
        <w:rPr>
          <w:spacing w:val="-37"/>
          <w:w w:val="99"/>
        </w:rPr>
        <w:t>经验”。</w:t>
      </w:r>
    </w:p>
    <w:p w14:paraId="287B45F3">
      <w:pPr>
        <w:pStyle w:val="5"/>
        <w:spacing w:line="326" w:lineRule="auto"/>
        <w:ind w:left="104" w:right="119" w:firstLine="636"/>
      </w:pPr>
      <w:r>
        <w:rPr>
          <w:b/>
          <w:spacing w:val="7"/>
          <w:w w:val="99"/>
        </w:rPr>
        <w:t>双随机、一公开：</w:t>
      </w:r>
      <w:r>
        <w:rPr>
          <w:spacing w:val="6"/>
          <w:w w:val="99"/>
        </w:rPr>
        <w:t>在监管过程中随机抽取检查对象，随</w:t>
      </w:r>
      <w:r>
        <w:rPr>
          <w:spacing w:val="-7"/>
          <w:w w:val="99"/>
        </w:rPr>
        <w:t>机选派执法检查人员，抽查情况及查处结果及时向社会公开。</w:t>
      </w:r>
    </w:p>
    <w:p w14:paraId="1C373952">
      <w:pPr>
        <w:spacing w:before="4" w:line="328" w:lineRule="auto"/>
        <w:ind w:left="104" w:right="270" w:firstLine="636"/>
        <w:rPr>
          <w:sz w:val="32"/>
        </w:rPr>
      </w:pPr>
      <w:r>
        <w:rPr>
          <w:b/>
          <w:w w:val="95"/>
          <w:sz w:val="32"/>
        </w:rPr>
        <w:t>“</w:t>
      </w:r>
      <w:r>
        <w:rPr>
          <w:rFonts w:ascii="Times New Roman" w:hAnsi="Times New Roman" w:eastAsia="Times New Roman"/>
          <w:b/>
          <w:w w:val="95"/>
          <w:sz w:val="32"/>
        </w:rPr>
        <w:t>5080</w:t>
      </w:r>
      <w:r>
        <w:rPr>
          <w:b/>
          <w:spacing w:val="9"/>
          <w:w w:val="95"/>
          <w:sz w:val="32"/>
        </w:rPr>
        <w:t>”目标：</w:t>
      </w:r>
      <w:r>
        <w:rPr>
          <w:spacing w:val="6"/>
          <w:w w:val="95"/>
          <w:sz w:val="32"/>
        </w:rPr>
        <w:t>公办</w:t>
      </w:r>
      <w:r>
        <w:rPr>
          <w:spacing w:val="12"/>
          <w:w w:val="95"/>
          <w:sz w:val="32"/>
        </w:rPr>
        <w:t>园在园</w:t>
      </w:r>
      <w:r>
        <w:rPr>
          <w:w w:val="95"/>
          <w:sz w:val="32"/>
        </w:rPr>
        <w:t>学</w:t>
      </w:r>
      <w:r>
        <w:rPr>
          <w:spacing w:val="12"/>
          <w:w w:val="95"/>
          <w:sz w:val="32"/>
        </w:rPr>
        <w:t>生比例</w:t>
      </w:r>
      <w:r>
        <w:rPr>
          <w:w w:val="95"/>
          <w:sz w:val="32"/>
        </w:rPr>
        <w:t>达到</w:t>
      </w:r>
      <w:r>
        <w:rPr>
          <w:spacing w:val="8"/>
          <w:sz w:val="32"/>
        </w:rPr>
        <w:t xml:space="preserve">  </w:t>
      </w:r>
      <w:r>
        <w:rPr>
          <w:rFonts w:ascii="Times New Roman" w:hAnsi="Times New Roman" w:eastAsia="Times New Roman"/>
          <w:w w:val="95"/>
          <w:sz w:val="32"/>
        </w:rPr>
        <w:t>50</w:t>
      </w:r>
      <w:r>
        <w:rPr>
          <w:spacing w:val="2"/>
          <w:w w:val="95"/>
          <w:sz w:val="32"/>
        </w:rPr>
        <w:t>%，普惠幼</w:t>
      </w:r>
      <w:r>
        <w:rPr>
          <w:sz w:val="32"/>
        </w:rPr>
        <w:t>儿园占</w:t>
      </w:r>
      <w:r>
        <w:rPr>
          <w:spacing w:val="-8"/>
          <w:sz w:val="32"/>
        </w:rPr>
        <w:t xml:space="preserve">比达到 </w:t>
      </w:r>
      <w:r>
        <w:rPr>
          <w:rFonts w:ascii="Times New Roman" w:hAnsi="Times New Roman" w:eastAsia="Times New Roman"/>
          <w:sz w:val="32"/>
        </w:rPr>
        <w:t>80</w:t>
      </w:r>
      <w:r>
        <w:rPr>
          <w:sz w:val="32"/>
        </w:rPr>
        <w:t>%。</w:t>
      </w:r>
    </w:p>
    <w:p w14:paraId="0D9EC18E">
      <w:pPr>
        <w:spacing w:line="326" w:lineRule="auto"/>
        <w:ind w:left="740" w:right="157"/>
        <w:rPr>
          <w:sz w:val="32"/>
        </w:rPr>
      </w:pPr>
      <w:r>
        <w:rPr>
          <w:b/>
          <w:spacing w:val="5"/>
          <w:w w:val="99"/>
          <w:sz w:val="32"/>
        </w:rPr>
        <w:t>四尘共治：</w:t>
      </w:r>
      <w:r>
        <w:rPr>
          <w:spacing w:val="-5"/>
          <w:w w:val="99"/>
          <w:sz w:val="32"/>
        </w:rPr>
        <w:t>坚持扬尘、煤尘、汽尘、烟尘“四尘共治”。</w:t>
      </w:r>
      <w:r>
        <w:rPr>
          <w:b/>
          <w:spacing w:val="7"/>
          <w:w w:val="99"/>
          <w:sz w:val="32"/>
        </w:rPr>
        <w:t>五水同治：</w:t>
      </w:r>
      <w:r>
        <w:rPr>
          <w:spacing w:val="6"/>
          <w:w w:val="99"/>
          <w:sz w:val="32"/>
        </w:rPr>
        <w:t>统筹推进饮用水源、黑臭水体、工业废水、</w:t>
      </w:r>
    </w:p>
    <w:p w14:paraId="1E7411FF">
      <w:pPr>
        <w:pStyle w:val="5"/>
        <w:spacing w:before="2"/>
        <w:ind w:left="104"/>
      </w:pPr>
      <w:r>
        <w:rPr>
          <w:w w:val="95"/>
        </w:rPr>
        <w:t>城镇污水、农村排水“五水同</w:t>
      </w:r>
      <w:r>
        <w:rPr>
          <w:spacing w:val="-56"/>
          <w:w w:val="95"/>
        </w:rPr>
        <w:t>治”。</w:t>
      </w:r>
    </w:p>
    <w:p w14:paraId="1E5BEB9E">
      <w:pPr>
        <w:sectPr>
          <w:pgSz w:w="11910" w:h="16840"/>
          <w:pgMar w:top="1880" w:right="1520" w:bottom="1760" w:left="1540" w:header="0" w:footer="1573" w:gutter="0"/>
          <w:cols w:space="720" w:num="1"/>
        </w:sectPr>
      </w:pPr>
    </w:p>
    <w:p w14:paraId="5467C04B">
      <w:pPr>
        <w:pStyle w:val="5"/>
        <w:spacing w:before="44" w:line="328" w:lineRule="auto"/>
        <w:ind w:left="104" w:right="270" w:firstLine="636"/>
      </w:pPr>
      <w:r>
        <w:rPr>
          <w:b/>
          <w:spacing w:val="7"/>
          <w:w w:val="99"/>
        </w:rPr>
        <w:t>六废联治：</w:t>
      </w:r>
      <w:r>
        <w:rPr>
          <w:spacing w:val="6"/>
          <w:w w:val="99"/>
        </w:rPr>
        <w:t>统筹推进建筑垃圾、生活垃圾、危险废物、</w:t>
      </w:r>
      <w:r>
        <w:rPr>
          <w:spacing w:val="-4"/>
          <w:w w:val="99"/>
        </w:rPr>
        <w:t>畜禽粪便、工业固废、电子废物“六废联治”。</w:t>
      </w:r>
    </w:p>
    <w:p w14:paraId="2B48D37D">
      <w:pPr>
        <w:pStyle w:val="5"/>
        <w:spacing w:line="328" w:lineRule="auto"/>
        <w:ind w:left="104" w:right="270" w:firstLine="636"/>
        <w:jc w:val="both"/>
      </w:pPr>
      <w:r>
        <w:rPr>
          <w:b/>
          <w:spacing w:val="7"/>
          <w:w w:val="99"/>
        </w:rPr>
        <w:t>“五个一”系列活动：</w:t>
      </w:r>
      <w:r>
        <w:rPr>
          <w:spacing w:val="5"/>
          <w:w w:val="99"/>
        </w:rPr>
        <w:t>组织一次警示教育活动、一次先</w:t>
      </w:r>
      <w:r>
        <w:rPr>
          <w:spacing w:val="4"/>
          <w:w w:val="99"/>
        </w:rPr>
        <w:t>进典型教育活动、主要领导上一次党课、一次专题报告会、开展一次廉政文化活动。</w:t>
      </w:r>
    </w:p>
    <w:p w14:paraId="37B74A90">
      <w:pPr>
        <w:spacing w:line="328" w:lineRule="auto"/>
        <w:jc w:val="both"/>
        <w:sectPr>
          <w:pgSz w:w="11910" w:h="16840"/>
          <w:pgMar w:top="1880" w:right="1520" w:bottom="1760" w:left="1540" w:header="0" w:footer="1573" w:gutter="0"/>
          <w:cols w:space="720" w:num="1"/>
        </w:sectPr>
      </w:pPr>
    </w:p>
    <w:p w14:paraId="5306D065">
      <w:pPr>
        <w:pStyle w:val="5"/>
        <w:rPr>
          <w:sz w:val="20"/>
        </w:rPr>
      </w:pPr>
    </w:p>
    <w:p w14:paraId="4775954C">
      <w:pPr>
        <w:pStyle w:val="5"/>
        <w:rPr>
          <w:sz w:val="20"/>
        </w:rPr>
      </w:pPr>
    </w:p>
    <w:p w14:paraId="04ED5FF3">
      <w:pPr>
        <w:pStyle w:val="5"/>
        <w:rPr>
          <w:sz w:val="20"/>
        </w:rPr>
      </w:pPr>
    </w:p>
    <w:p w14:paraId="2186B0DD">
      <w:pPr>
        <w:pStyle w:val="5"/>
        <w:rPr>
          <w:sz w:val="20"/>
        </w:rPr>
      </w:pPr>
    </w:p>
    <w:p w14:paraId="473BE1FB">
      <w:pPr>
        <w:pStyle w:val="5"/>
        <w:rPr>
          <w:sz w:val="20"/>
        </w:rPr>
      </w:pPr>
    </w:p>
    <w:p w14:paraId="5F592FE6">
      <w:pPr>
        <w:pStyle w:val="5"/>
        <w:rPr>
          <w:sz w:val="20"/>
        </w:rPr>
      </w:pPr>
    </w:p>
    <w:p w14:paraId="7B8F82F6">
      <w:pPr>
        <w:pStyle w:val="5"/>
        <w:rPr>
          <w:sz w:val="20"/>
        </w:rPr>
      </w:pPr>
    </w:p>
    <w:p w14:paraId="4BA01399">
      <w:pPr>
        <w:pStyle w:val="5"/>
        <w:rPr>
          <w:sz w:val="20"/>
        </w:rPr>
      </w:pPr>
    </w:p>
    <w:p w14:paraId="571CB4B7">
      <w:pPr>
        <w:pStyle w:val="5"/>
        <w:rPr>
          <w:sz w:val="20"/>
        </w:rPr>
      </w:pPr>
    </w:p>
    <w:p w14:paraId="034DAC0C">
      <w:pPr>
        <w:pStyle w:val="5"/>
        <w:rPr>
          <w:sz w:val="20"/>
        </w:rPr>
      </w:pPr>
    </w:p>
    <w:p w14:paraId="55CDFA7C">
      <w:pPr>
        <w:pStyle w:val="5"/>
        <w:rPr>
          <w:sz w:val="20"/>
        </w:rPr>
      </w:pPr>
    </w:p>
    <w:p w14:paraId="5A0F54BE">
      <w:pPr>
        <w:pStyle w:val="5"/>
        <w:rPr>
          <w:sz w:val="20"/>
        </w:rPr>
      </w:pPr>
    </w:p>
    <w:p w14:paraId="1932EADF">
      <w:pPr>
        <w:pStyle w:val="5"/>
        <w:rPr>
          <w:sz w:val="20"/>
        </w:rPr>
      </w:pPr>
    </w:p>
    <w:p w14:paraId="51692B6D">
      <w:pPr>
        <w:pStyle w:val="5"/>
        <w:rPr>
          <w:sz w:val="20"/>
        </w:rPr>
      </w:pPr>
    </w:p>
    <w:p w14:paraId="4AB3DA33">
      <w:pPr>
        <w:pStyle w:val="5"/>
        <w:rPr>
          <w:sz w:val="20"/>
        </w:rPr>
      </w:pPr>
    </w:p>
    <w:p w14:paraId="70C6BC0D">
      <w:pPr>
        <w:pStyle w:val="5"/>
        <w:rPr>
          <w:sz w:val="20"/>
        </w:rPr>
      </w:pPr>
    </w:p>
    <w:p w14:paraId="132943A6">
      <w:pPr>
        <w:pStyle w:val="5"/>
        <w:rPr>
          <w:sz w:val="20"/>
        </w:rPr>
      </w:pPr>
    </w:p>
    <w:p w14:paraId="3114F3C6">
      <w:pPr>
        <w:pStyle w:val="5"/>
        <w:rPr>
          <w:sz w:val="20"/>
        </w:rPr>
      </w:pPr>
    </w:p>
    <w:p w14:paraId="0BD8BCD0">
      <w:pPr>
        <w:pStyle w:val="5"/>
        <w:rPr>
          <w:sz w:val="20"/>
        </w:rPr>
      </w:pPr>
    </w:p>
    <w:p w14:paraId="14D02ECA">
      <w:pPr>
        <w:pStyle w:val="5"/>
        <w:rPr>
          <w:sz w:val="20"/>
        </w:rPr>
      </w:pPr>
    </w:p>
    <w:p w14:paraId="119FA9D7">
      <w:pPr>
        <w:pStyle w:val="5"/>
        <w:rPr>
          <w:sz w:val="20"/>
        </w:rPr>
      </w:pPr>
    </w:p>
    <w:p w14:paraId="35436842">
      <w:pPr>
        <w:pStyle w:val="5"/>
        <w:rPr>
          <w:sz w:val="20"/>
        </w:rPr>
      </w:pPr>
    </w:p>
    <w:p w14:paraId="76038CEE">
      <w:pPr>
        <w:pStyle w:val="5"/>
        <w:rPr>
          <w:sz w:val="20"/>
        </w:rPr>
      </w:pPr>
    </w:p>
    <w:p w14:paraId="01428851">
      <w:pPr>
        <w:pStyle w:val="5"/>
        <w:rPr>
          <w:sz w:val="20"/>
        </w:rPr>
      </w:pPr>
    </w:p>
    <w:p w14:paraId="707436A8">
      <w:pPr>
        <w:pStyle w:val="5"/>
        <w:rPr>
          <w:sz w:val="20"/>
        </w:rPr>
      </w:pPr>
    </w:p>
    <w:p w14:paraId="3561C3D1">
      <w:pPr>
        <w:pStyle w:val="5"/>
        <w:rPr>
          <w:sz w:val="20"/>
        </w:rPr>
      </w:pPr>
    </w:p>
    <w:p w14:paraId="02A206D1">
      <w:pPr>
        <w:pStyle w:val="5"/>
        <w:rPr>
          <w:sz w:val="20"/>
        </w:rPr>
      </w:pPr>
    </w:p>
    <w:p w14:paraId="1CEC23E5">
      <w:pPr>
        <w:pStyle w:val="5"/>
        <w:rPr>
          <w:sz w:val="20"/>
        </w:rPr>
      </w:pPr>
    </w:p>
    <w:p w14:paraId="2A29C2DD">
      <w:pPr>
        <w:pStyle w:val="5"/>
        <w:rPr>
          <w:sz w:val="20"/>
        </w:rPr>
      </w:pPr>
    </w:p>
    <w:p w14:paraId="1F256B62">
      <w:pPr>
        <w:pStyle w:val="5"/>
        <w:rPr>
          <w:sz w:val="20"/>
        </w:rPr>
      </w:pPr>
    </w:p>
    <w:p w14:paraId="799552EF">
      <w:pPr>
        <w:pStyle w:val="5"/>
        <w:rPr>
          <w:sz w:val="20"/>
        </w:rPr>
      </w:pPr>
    </w:p>
    <w:p w14:paraId="709B8DD6">
      <w:pPr>
        <w:pStyle w:val="5"/>
        <w:rPr>
          <w:sz w:val="20"/>
        </w:rPr>
      </w:pPr>
    </w:p>
    <w:p w14:paraId="1A9D440E">
      <w:pPr>
        <w:pStyle w:val="5"/>
        <w:rPr>
          <w:sz w:val="20"/>
        </w:rPr>
      </w:pPr>
    </w:p>
    <w:p w14:paraId="1E488390">
      <w:pPr>
        <w:pStyle w:val="5"/>
        <w:rPr>
          <w:sz w:val="20"/>
        </w:rPr>
      </w:pPr>
    </w:p>
    <w:p w14:paraId="5EEBE0CF">
      <w:pPr>
        <w:pStyle w:val="5"/>
        <w:rPr>
          <w:sz w:val="20"/>
        </w:rPr>
      </w:pPr>
    </w:p>
    <w:p w14:paraId="1A1C5991">
      <w:pPr>
        <w:pStyle w:val="5"/>
        <w:rPr>
          <w:sz w:val="20"/>
        </w:rPr>
      </w:pPr>
    </w:p>
    <w:p w14:paraId="4CA4C686">
      <w:pPr>
        <w:pStyle w:val="5"/>
        <w:rPr>
          <w:sz w:val="20"/>
        </w:rPr>
      </w:pPr>
    </w:p>
    <w:p w14:paraId="6860DB05">
      <w:pPr>
        <w:pStyle w:val="5"/>
        <w:rPr>
          <w:sz w:val="20"/>
        </w:rPr>
      </w:pPr>
    </w:p>
    <w:p w14:paraId="66BF2E93">
      <w:pPr>
        <w:pStyle w:val="5"/>
        <w:rPr>
          <w:sz w:val="20"/>
        </w:rPr>
      </w:pPr>
    </w:p>
    <w:p w14:paraId="4F6A9C7C">
      <w:pPr>
        <w:pStyle w:val="5"/>
        <w:rPr>
          <w:sz w:val="20"/>
        </w:rPr>
      </w:pPr>
    </w:p>
    <w:p w14:paraId="48022E24">
      <w:pPr>
        <w:pStyle w:val="5"/>
        <w:rPr>
          <w:sz w:val="20"/>
        </w:rPr>
      </w:pPr>
    </w:p>
    <w:p w14:paraId="16B106E7">
      <w:pPr>
        <w:pStyle w:val="5"/>
        <w:rPr>
          <w:sz w:val="20"/>
        </w:rPr>
      </w:pPr>
    </w:p>
    <w:p w14:paraId="20628E02">
      <w:pPr>
        <w:pStyle w:val="5"/>
        <w:rPr>
          <w:sz w:val="20"/>
        </w:rPr>
      </w:pPr>
    </w:p>
    <w:p w14:paraId="7FEE9E24">
      <w:pPr>
        <w:pStyle w:val="5"/>
        <w:rPr>
          <w:sz w:val="20"/>
        </w:rPr>
      </w:pPr>
    </w:p>
    <w:p w14:paraId="0035CCDC">
      <w:pPr>
        <w:pStyle w:val="5"/>
        <w:rPr>
          <w:sz w:val="20"/>
        </w:rPr>
      </w:pPr>
    </w:p>
    <w:p w14:paraId="2B00B81D">
      <w:pPr>
        <w:pStyle w:val="5"/>
        <w:spacing w:before="6"/>
        <w:rPr>
          <w:sz w:val="20"/>
        </w:rPr>
      </w:pPr>
    </w:p>
    <w:p w14:paraId="55A4001C">
      <w:pPr>
        <w:pStyle w:val="5"/>
        <w:spacing w:line="25" w:lineRule="exact"/>
        <w:ind w:left="200"/>
        <w:rPr>
          <w:sz w:val="2"/>
        </w:rPr>
      </w:pPr>
      <w:r>
        <w:rPr>
          <w:sz w:val="2"/>
        </w:rPr>
        <mc:AlternateContent>
          <mc:Choice Requires="wpg">
            <w:drawing>
              <wp:inline distT="0" distB="0" distL="0" distR="0">
                <wp:extent cx="5200650" cy="15875"/>
                <wp:effectExtent l="0" t="0" r="0" b="3175"/>
                <wp:docPr id="42" name="组合 42"/>
                <wp:cNvGraphicFramePr/>
                <a:graphic xmlns:a="http://schemas.openxmlformats.org/drawingml/2006/main">
                  <a:graphicData uri="http://schemas.microsoft.com/office/word/2010/wordprocessingGroup">
                    <wpg:wgp>
                      <wpg:cNvGrpSpPr/>
                      <wpg:grpSpPr>
                        <a:xfrm>
                          <a:off x="0" y="0"/>
                          <a:ext cx="5200650" cy="15875"/>
                          <a:chOff x="0" y="0"/>
                          <a:chExt cx="8190" cy="25"/>
                        </a:xfrm>
                      </wpg:grpSpPr>
                      <wps:wsp>
                        <wps:cNvPr id="43" name="docshape3"/>
                        <wps:cNvSpPr>
                          <a:spLocks noChangeArrowheads="1"/>
                        </wps:cNvSpPr>
                        <wps:spPr bwMode="auto">
                          <a:xfrm>
                            <a:off x="0" y="0"/>
                            <a:ext cx="8190" cy="25"/>
                          </a:xfrm>
                          <a:prstGeom prst="rect">
                            <a:avLst/>
                          </a:prstGeom>
                          <a:solidFill>
                            <a:srgbClr val="000000"/>
                          </a:solidFill>
                          <a:ln>
                            <a:noFill/>
                          </a:ln>
                        </wps:spPr>
                        <wps:bodyPr rot="0" vert="horz" wrap="square" lIns="91440" tIns="45720" rIns="91440" bIns="45720" anchor="t" anchorCtr="0" upright="1">
                          <a:noAutofit/>
                        </wps:bodyPr>
                      </wps:wsp>
                    </wpg:wgp>
                  </a:graphicData>
                </a:graphic>
              </wp:inline>
            </w:drawing>
          </mc:Choice>
          <mc:Fallback>
            <w:pict>
              <v:group id="_x0000_s1026" o:spid="_x0000_s1026" o:spt="203" style="height:1.25pt;width:409.5pt;" coordsize="8190,25" o:gfxdata="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ERkBHUAAAAAwEAAA8AAAAAAAAAAQAgAAAAIgAAAGRycy9kb3ducmV2LnhtbFBLAQIU&#10;ABQAAAAIAIdO4kB/7ZmpaQIAAEoFAAAOAAAAAAAAAAEAIAAAACMBAABkcnMvZTJvRG9jLnhtbFBL&#10;BQYAAAAABgAGAFkBAAD+BQAAAAA=&#10;">
                <o:lock v:ext="edit" aspectratio="f"/>
                <v:rect id="docshape3" o:spid="_x0000_s1026" o:spt="1" style="position:absolute;left:0;top:0;height:25;width:8190;" fillcolor="#000000" filled="t" stroked="f" coordsize="21600,21600" o:gfxdata="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3MB74A&#10;AADbAAAADwAAAAAAAAABACAAAAAiAAAAZHJzL2Rvd25yZXYueG1sUEsBAhQAFAAAAAgAh07iQDMv&#10;BZ47AAAAOQAAABAAAAAAAAAAAQAgAAAADQEAAGRycy9zaGFwZXhtbC54bWxQSwUGAAAAAAYABgBb&#10;AQAAtwMAAAAA&#10;">
                  <v:fill on="t" focussize="0,0"/>
                  <v:stroke on="f"/>
                  <v:imagedata o:title=""/>
                  <o:lock v:ext="edit" aspectratio="f"/>
                </v:rect>
                <w10:wrap type="none"/>
                <w10:anchorlock/>
              </v:group>
            </w:pict>
          </mc:Fallback>
        </mc:AlternateContent>
      </w:r>
    </w:p>
    <w:p w14:paraId="0FA516A7">
      <w:pPr>
        <w:tabs>
          <w:tab w:val="left" w:pos="5482"/>
        </w:tabs>
        <w:spacing w:before="52"/>
        <w:ind w:left="365"/>
        <w:rPr>
          <w:sz w:val="28"/>
        </w:rPr>
      </w:pPr>
      <w:r>
        <w:rPr>
          <w:spacing w:val="-20"/>
          <w:sz w:val="28"/>
        </w:rPr>
        <w:t>银川市金凤区人民政府办公室</w:t>
      </w:r>
      <w:r>
        <w:rPr>
          <w:sz w:val="28"/>
        </w:rPr>
        <w:tab/>
      </w:r>
      <w:r>
        <w:rPr>
          <w:sz w:val="28"/>
        </w:rPr>
        <w:t>2021</w:t>
      </w:r>
      <w:r>
        <w:rPr>
          <w:spacing w:val="-86"/>
          <w:sz w:val="28"/>
        </w:rPr>
        <w:t xml:space="preserve"> </w:t>
      </w:r>
      <w:r>
        <w:rPr>
          <w:spacing w:val="13"/>
          <w:sz w:val="28"/>
        </w:rPr>
        <w:t>年</w:t>
      </w:r>
      <w:r>
        <w:rPr>
          <w:sz w:val="28"/>
        </w:rPr>
        <w:t>3</w:t>
      </w:r>
      <w:r>
        <w:rPr>
          <w:spacing w:val="-83"/>
          <w:sz w:val="28"/>
        </w:rPr>
        <w:t xml:space="preserve"> </w:t>
      </w:r>
      <w:r>
        <w:rPr>
          <w:spacing w:val="13"/>
          <w:sz w:val="28"/>
        </w:rPr>
        <w:t>月</w:t>
      </w:r>
      <w:r>
        <w:rPr>
          <w:sz w:val="28"/>
        </w:rPr>
        <w:t>8</w:t>
      </w:r>
      <w:r>
        <w:rPr>
          <w:spacing w:val="-80"/>
          <w:sz w:val="28"/>
        </w:rPr>
        <w:t xml:space="preserve"> </w:t>
      </w:r>
      <w:r>
        <w:rPr>
          <w:sz w:val="28"/>
        </w:rPr>
        <w:t>日印</w:t>
      </w:r>
      <w:r>
        <w:rPr>
          <w:spacing w:val="-10"/>
          <w:sz w:val="28"/>
        </w:rPr>
        <w:t>发</w:t>
      </w:r>
    </w:p>
    <w:p w14:paraId="4B62CE66">
      <w:pPr>
        <w:pStyle w:val="5"/>
        <w:spacing w:before="7"/>
        <w:rPr>
          <w:sz w:val="3"/>
        </w:rPr>
      </w:pPr>
      <w:r>
        <mc:AlternateContent>
          <mc:Choice Requires="wps">
            <w:drawing>
              <wp:anchor distT="0" distB="0" distL="0" distR="0" simplePos="0" relativeHeight="251710464" behindDoc="1" locked="0" layoutInCell="1" allowOverlap="1">
                <wp:simplePos x="0" y="0"/>
                <wp:positionH relativeFrom="page">
                  <wp:posOffset>1109345</wp:posOffset>
                </wp:positionH>
                <wp:positionV relativeFrom="paragraph">
                  <wp:posOffset>43815</wp:posOffset>
                </wp:positionV>
                <wp:extent cx="5201920" cy="15875"/>
                <wp:effectExtent l="0" t="0" r="0" b="0"/>
                <wp:wrapTopAndBottom/>
                <wp:docPr id="41" name="矩形 41"/>
                <wp:cNvGraphicFramePr/>
                <a:graphic xmlns:a="http://schemas.openxmlformats.org/drawingml/2006/main">
                  <a:graphicData uri="http://schemas.microsoft.com/office/word/2010/wordprocessingShape">
                    <wps:wsp>
                      <wps:cNvSpPr>
                        <a:spLocks noChangeArrowheads="1"/>
                      </wps:cNvSpPr>
                      <wps:spPr bwMode="auto">
                        <a:xfrm>
                          <a:off x="0" y="0"/>
                          <a:ext cx="5201920" cy="15875"/>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7.35pt;margin-top:3.45pt;height:1.25pt;width:409.6pt;mso-position-horizontal-relative:page;mso-wrap-distance-bottom:0pt;mso-wrap-distance-top:0pt;z-index:-251606016;mso-width-relative:page;mso-height-relative:page;" fillcolor="#000000" filled="t" stroked="f" coordsize="21600,21600" o:gfxdata="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E6/KO1QAAAAcBAAAPAAAA&#10;AAAAAAEAIAAAACIAAABkcnMvZG93bnJldi54bWxQSwECFAAUAAAACACHTuJANYdRwhgCAAAnBAAA&#10;DgAAAAAAAAABACAAAAAkAQAAZHJzL2Uyb0RvYy54bWxQSwUGAAAAAAYABgBZAQAArgUAAAAA&#10;">
                <v:fill on="t" focussize="0,0"/>
                <v:stroke on="f"/>
                <v:imagedata o:title=""/>
                <o:lock v:ext="edit" aspectratio="f"/>
                <w10:wrap type="topAndBottom"/>
              </v:rect>
            </w:pict>
          </mc:Fallback>
        </mc:AlternateContent>
      </w:r>
    </w:p>
    <w:p w14:paraId="0B3345F5">
      <w:pPr>
        <w:spacing w:before="63"/>
        <w:ind w:left="153"/>
        <w:rPr>
          <w:rFonts w:ascii="Calibri"/>
          <w:sz w:val="18"/>
        </w:rPr>
      </w:pPr>
    </w:p>
    <w:sectPr>
      <w:pgSz w:w="11910" w:h="16840"/>
      <w:pgMar w:top="1760" w:right="1200" w:bottom="1160" w:left="1260" w:header="0" w:footer="975"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方正小标宋简体">
    <w:panose1 w:val="02010601030101010101"/>
    <w:charset w:val="86"/>
    <w:family w:val="auto"/>
    <w:pitch w:val="default"/>
    <w:sig w:usb0="00000001" w:usb1="080E0000" w:usb2="00000000" w:usb3="00000000" w:csb0="00040000" w:csb1="00000000"/>
  </w:font>
  <w:font w:name="Microsoft JhengHei">
    <w:panose1 w:val="020B0604030504040204"/>
    <w:charset w:val="88"/>
    <w:family w:val="swiss"/>
    <w:pitch w:val="default"/>
    <w:sig w:usb0="00000087" w:usb1="28AF4000" w:usb2="00000016" w:usb3="00000000" w:csb0="00100009"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B142C">
    <w:pPr>
      <w:pStyle w:val="5"/>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ECF8F">
    <w:pPr>
      <w:pStyle w:val="5"/>
      <w:spacing w:line="14" w:lineRule="auto"/>
      <w:rPr>
        <w:i/>
        <w:sz w:val="20"/>
      </w:rPr>
    </w:pPr>
    <w:r>
      <w:rPr>
        <w:i/>
      </w:rPr>
      <w:pict>
        <v:shape id="docshape1" o:spid="_x0000_s2057" o:spt="202" type="#_x0000_t202" style="position:absolute;left:0pt;margin-left:501.9pt;margin-top:782.15pt;height:11pt;width:20.6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14:paraId="61DD5AE1">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13</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440B6">
    <w:pPr>
      <w:pStyle w:val="5"/>
      <w:spacing w:line="14" w:lineRule="auto"/>
      <w:rPr>
        <w:i/>
        <w:sz w:val="20"/>
      </w:rPr>
    </w:pPr>
    <w:r>
      <w:rPr>
        <w:i/>
      </w:rPr>
      <w:pict>
        <v:shape id="docshape2" o:spid="_x0000_s2058" o:spt="202" type="#_x0000_t202" style="position:absolute;left:0pt;margin-left:72.7pt;margin-top:782.15pt;height:11pt;width:20.75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14:paraId="46C7C6A7">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14</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4BB69">
    <w:pPr>
      <w:pStyle w:val="5"/>
      <w:spacing w:line="14" w:lineRule="auto"/>
      <w:rPr>
        <w:sz w:val="20"/>
      </w:rPr>
    </w:pPr>
    <w:r>
      <w:pict>
        <v:shape id="_x0000_s2059" o:spid="_x0000_s2059" o:spt="202" type="#_x0000_t202" style="position:absolute;left:0pt;margin-left:501.9pt;margin-top:782.15pt;height:11pt;width:20.6pt;mso-position-horizontal-relative:page;mso-position-vertical-relative:page;z-index:-251648000;mso-width-relative:page;mso-height-relative:page;" filled="f" stroked="f" coordsize="21600,21600">
          <v:path/>
          <v:fill on="f" focussize="0,0"/>
          <v:stroke on="f" joinstyle="miter"/>
          <v:imagedata o:title=""/>
          <o:lock v:ext="edit"/>
          <v:textbox inset="0mm,0mm,0mm,0mm">
            <w:txbxContent>
              <w:p w14:paraId="7B3B91C1">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23</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BA937">
    <w:pPr>
      <w:pStyle w:val="5"/>
      <w:spacing w:line="14" w:lineRule="auto"/>
      <w:rPr>
        <w:sz w:val="20"/>
      </w:rPr>
    </w:pPr>
    <w:r>
      <w:pict>
        <v:shape id="_x0000_s2060" o:spid="_x0000_s2060" o:spt="202" type="#_x0000_t202" style="position:absolute;left:0pt;margin-left:72.7pt;margin-top:782.15pt;height:11pt;width:20.75pt;mso-position-horizontal-relative:page;mso-position-vertical-relative:page;z-index:-251646976;mso-width-relative:page;mso-height-relative:page;" filled="f" stroked="f" coordsize="21600,21600">
          <v:path/>
          <v:fill on="f" focussize="0,0"/>
          <v:stroke on="f" joinstyle="miter"/>
          <v:imagedata o:title=""/>
          <o:lock v:ext="edit"/>
          <v:textbox inset="0mm,0mm,0mm,0mm">
            <w:txbxContent>
              <w:p w14:paraId="095093A4">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24</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9370D">
    <w:pPr>
      <w:pStyle w:val="5"/>
      <w:spacing w:line="14" w:lineRule="auto"/>
      <w:rPr>
        <w:sz w:val="20"/>
      </w:rPr>
    </w:pPr>
    <w:r>
      <w:pict>
        <v:shape id="_x0000_s2061" o:spid="_x0000_s2061" o:spt="202" type="#_x0000_t202" style="position:absolute;left:0pt;margin-left:501.9pt;margin-top:782.15pt;height:11pt;width:20.6pt;mso-position-horizontal-relative:page;mso-position-vertical-relative:page;z-index:-251645952;mso-width-relative:page;mso-height-relative:page;" filled="f" stroked="f" coordsize="21600,21600">
          <v:path/>
          <v:fill on="f" focussize="0,0"/>
          <v:stroke on="f" joinstyle="miter"/>
          <v:imagedata o:title=""/>
          <o:lock v:ext="edit"/>
          <v:textbox inset="0mm,0mm,0mm,0mm">
            <w:txbxContent>
              <w:p w14:paraId="0EB5C641">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33</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9D7A3">
    <w:pPr>
      <w:pStyle w:val="5"/>
      <w:spacing w:line="14" w:lineRule="auto"/>
      <w:rPr>
        <w:sz w:val="20"/>
      </w:rPr>
    </w:pPr>
    <w:r>
      <w:pict>
        <v:shape id="_x0000_s2062" o:spid="_x0000_s2062" o:spt="202" type="#_x0000_t202" style="position:absolute;left:0pt;margin-left:72.7pt;margin-top:782.15pt;height:11pt;width:20.75pt;mso-position-horizontal-relative:page;mso-position-vertical-relative:page;z-index:-251644928;mso-width-relative:page;mso-height-relative:page;" filled="f" stroked="f" coordsize="21600,21600">
          <v:path/>
          <v:fill on="f" focussize="0,0"/>
          <v:stroke on="f" joinstyle="miter"/>
          <v:imagedata o:title=""/>
          <o:lock v:ext="edit"/>
          <v:textbox inset="0mm,0mm,0mm,0mm">
            <w:txbxContent>
              <w:p w14:paraId="6E7C15FD">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34</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E5755">
    <w:pPr>
      <w:pStyle w:val="5"/>
      <w:spacing w:line="14" w:lineRule="auto"/>
      <w:rPr>
        <w:sz w:val="20"/>
      </w:rPr>
    </w:pPr>
    <w:r>
      <w:pict>
        <v:shape id="_x0000_s2063" o:spid="_x0000_s2063" o:spt="202" type="#_x0000_t202" style="position:absolute;left:0pt;margin-left:501.9pt;margin-top:782.15pt;height:11pt;width:20.6pt;mso-position-horizontal-relative:page;mso-position-vertical-relative:page;z-index:-251643904;mso-width-relative:page;mso-height-relative:page;" filled="f" stroked="f" coordsize="21600,21600">
          <v:path/>
          <v:fill on="f" focussize="0,0"/>
          <v:stroke on="f" joinstyle="miter"/>
          <v:imagedata o:title=""/>
          <o:lock v:ext="edit"/>
          <v:textbox inset="0mm,0mm,0mm,0mm">
            <w:txbxContent>
              <w:p w14:paraId="23B331FD">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43</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849C4">
    <w:pPr>
      <w:pStyle w:val="5"/>
      <w:spacing w:line="14" w:lineRule="auto"/>
      <w:rPr>
        <w:sz w:val="20"/>
      </w:rPr>
    </w:pPr>
    <w:r>
      <w:pict>
        <v:shape id="_x0000_s2064" o:spid="_x0000_s2064" o:spt="202" type="#_x0000_t202" style="position:absolute;left:0pt;margin-left:72.7pt;margin-top:782.15pt;height:11pt;width:20.75pt;mso-position-horizontal-relative:page;mso-position-vertical-relative:page;z-index:-251642880;mso-width-relative:page;mso-height-relative:page;" filled="f" stroked="f" coordsize="21600,21600">
          <v:path/>
          <v:fill on="f" focussize="0,0"/>
          <v:stroke on="f" joinstyle="miter"/>
          <v:imagedata o:title=""/>
          <o:lock v:ext="edit"/>
          <v:textbox inset="0mm,0mm,0mm,0mm">
            <w:txbxContent>
              <w:p w14:paraId="432CF35C">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44</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084B5">
    <w:pPr>
      <w:pStyle w:val="5"/>
      <w:spacing w:line="14" w:lineRule="auto"/>
      <w:rPr>
        <w:sz w:val="20"/>
      </w:rPr>
    </w:pPr>
    <w:r>
      <w:pict>
        <v:shape id="_x0000_s2065" o:spid="_x0000_s2065" o:spt="202" type="#_x0000_t202" style="position:absolute;left:0pt;margin-left:501.9pt;margin-top:782.15pt;height:11pt;width:20.6pt;mso-position-horizontal-relative:page;mso-position-vertical-relative:page;z-index:-251641856;mso-width-relative:page;mso-height-relative:page;" filled="f" stroked="f" coordsize="21600,21600">
          <v:path/>
          <v:fill on="f" focussize="0,0"/>
          <v:stroke on="f" joinstyle="miter"/>
          <v:imagedata o:title=""/>
          <o:lock v:ext="edit"/>
          <v:textbox inset="0mm,0mm,0mm,0mm">
            <w:txbxContent>
              <w:p w14:paraId="7C39138E">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53</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A89C4">
    <w:pPr>
      <w:pStyle w:val="5"/>
      <w:spacing w:line="14" w:lineRule="auto"/>
      <w:rPr>
        <w:sz w:val="20"/>
      </w:rPr>
    </w:pPr>
    <w:r>
      <w:pict>
        <v:shape id="_x0000_s2066" o:spid="_x0000_s2066" o:spt="202" type="#_x0000_t202" style="position:absolute;left:0pt;margin-left:72.7pt;margin-top:782.15pt;height:11pt;width:20.75pt;mso-position-horizontal-relative:page;mso-position-vertical-relative:page;z-index:-251640832;mso-width-relative:page;mso-height-relative:page;" filled="f" stroked="f" coordsize="21600,21600">
          <v:path/>
          <v:fill on="f" focussize="0,0"/>
          <v:stroke on="f" joinstyle="miter"/>
          <v:imagedata o:title=""/>
          <o:lock v:ext="edit"/>
          <v:textbox inset="0mm,0mm,0mm,0mm">
            <w:txbxContent>
              <w:p w14:paraId="46D60150">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54</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3F8B9">
    <w:pPr>
      <w:pStyle w:val="5"/>
      <w:spacing w:line="14" w:lineRule="auto"/>
      <w:rPr>
        <w:sz w:val="20"/>
      </w:rPr>
    </w:pPr>
    <w:r>
      <w:pict>
        <v:shape id="docshape4" o:spid="_x0000_s2050" o:spt="202" type="#_x0000_t202" style="position:absolute;left:0pt;margin-left:514.55pt;margin-top:771.1pt;height:11pt;width:13.8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1E79E2B5">
                <w:pPr>
                  <w:spacing w:line="203" w:lineRule="exact"/>
                  <w:ind w:left="60"/>
                  <w:rPr>
                    <w:rFonts w:ascii="Calibri"/>
                    <w:sz w:val="18"/>
                  </w:rPr>
                </w:pPr>
                <w:r>
                  <w:rPr>
                    <w:rFonts w:ascii="Calibri"/>
                    <w:spacing w:val="-5"/>
                    <w:sz w:val="18"/>
                  </w:rPr>
                  <w:fldChar w:fldCharType="begin"/>
                </w:r>
                <w:r>
                  <w:rPr>
                    <w:rFonts w:ascii="Calibri"/>
                    <w:spacing w:val="-5"/>
                    <w:sz w:val="18"/>
                  </w:rPr>
                  <w:instrText xml:space="preserve"> PAGE  \* ROMAN </w:instrText>
                </w:r>
                <w:r>
                  <w:rPr>
                    <w:rFonts w:ascii="Calibri"/>
                    <w:spacing w:val="-5"/>
                    <w:sz w:val="18"/>
                  </w:rPr>
                  <w:fldChar w:fldCharType="separate"/>
                </w:r>
                <w:r>
                  <w:rPr>
                    <w:rFonts w:ascii="Calibri"/>
                    <w:spacing w:val="-5"/>
                    <w:sz w:val="18"/>
                  </w:rPr>
                  <w:t>III</w:t>
                </w:r>
                <w:r>
                  <w:rPr>
                    <w:rFonts w:ascii="Calibri"/>
                    <w:spacing w:val="-5"/>
                    <w:sz w:val="18"/>
                  </w:rPr>
                  <w:fldChar w:fldCharType="end"/>
                </w:r>
              </w:p>
            </w:txbxContent>
          </v:textbox>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C84FE">
    <w:pPr>
      <w:pStyle w:val="5"/>
      <w:spacing w:line="14" w:lineRule="auto"/>
      <w:rPr>
        <w:sz w:val="20"/>
      </w:rPr>
    </w:pPr>
    <w:r>
      <w:pict>
        <v:shape id="_x0000_s2067" o:spid="_x0000_s2067" o:spt="202" type="#_x0000_t202" style="position:absolute;left:0pt;margin-left:501.9pt;margin-top:782.15pt;height:11pt;width:20.6pt;mso-position-horizontal-relative:page;mso-position-vertical-relative:page;z-index:-251639808;mso-width-relative:page;mso-height-relative:page;" filled="f" stroked="f" coordsize="21600,21600">
          <v:path/>
          <v:fill on="f" focussize="0,0"/>
          <v:stroke on="f" joinstyle="miter"/>
          <v:imagedata o:title=""/>
          <o:lock v:ext="edit"/>
          <v:textbox inset="0mm,0mm,0mm,0mm">
            <w:txbxContent>
              <w:p w14:paraId="07481B5D">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63</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4A35B">
    <w:pPr>
      <w:pStyle w:val="5"/>
      <w:spacing w:line="14" w:lineRule="auto"/>
      <w:rPr>
        <w:sz w:val="20"/>
      </w:rPr>
    </w:pPr>
    <w:r>
      <w:pict>
        <v:shape id="_x0000_s2068" o:spid="_x0000_s2068" o:spt="202" type="#_x0000_t202" style="position:absolute;left:0pt;margin-left:72.7pt;margin-top:782.15pt;height:11pt;width:20.75pt;mso-position-horizontal-relative:page;mso-position-vertical-relative:page;z-index:-251638784;mso-width-relative:page;mso-height-relative:page;" filled="f" stroked="f" coordsize="21600,21600">
          <v:path/>
          <v:fill on="f" focussize="0,0"/>
          <v:stroke on="f" joinstyle="miter"/>
          <v:imagedata o:title=""/>
          <o:lock v:ext="edit"/>
          <v:textbox inset="0mm,0mm,0mm,0mm">
            <w:txbxContent>
              <w:p w14:paraId="33FC5D77">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64</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F0C1D">
    <w:pPr>
      <w:pStyle w:val="5"/>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886460</wp:posOffset>
              </wp:positionH>
              <wp:positionV relativeFrom="page">
                <wp:posOffset>6661150</wp:posOffset>
              </wp:positionV>
              <wp:extent cx="263525" cy="139700"/>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63525" cy="139700"/>
                      </a:xfrm>
                      <a:prstGeom prst="rect">
                        <a:avLst/>
                      </a:prstGeom>
                      <a:noFill/>
                      <a:ln>
                        <a:noFill/>
                      </a:ln>
                    </wps:spPr>
                    <wps:txbx>
                      <w:txbxContent>
                        <w:p w14:paraId="60C369D1">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12</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69.8pt;margin-top:524.5pt;height:11pt;width:20.75pt;mso-position-horizontal-relative:page;mso-position-vertical-relative:page;z-index:-251655168;mso-width-relative:page;mso-height-relative:page;" filled="f" stroked="f" coordsize="21600,21600" o:gfxdata="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00SNz2QAAAA0BAAAPAAAAAAAAAAEA&#10;IAAAACIAAABkcnMvZG93bnJldi54bWxQSwECFAAUAAAACACHTuJAH+aB9g4CAAAEBAAADgAAAAAA&#10;AAABACAAAAAoAQAAZHJzL2Uyb0RvYy54bWxQSwUGAAAAAAYABgBZAQAAqAUAAAAA&#10;">
              <v:fill on="f" focussize="0,0"/>
              <v:stroke on="f"/>
              <v:imagedata o:title=""/>
              <o:lock v:ext="edit" aspectratio="f"/>
              <v:textbox inset="0mm,0mm,0mm,0mm">
                <w:txbxContent>
                  <w:p w14:paraId="60C369D1">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12</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8231F">
    <w:pPr>
      <w:pStyle w:val="5"/>
      <w:spacing w:line="14" w:lineRule="auto"/>
      <w:rPr>
        <w:sz w:val="20"/>
      </w:rPr>
    </w:pPr>
    <w:r>
      <mc:AlternateContent>
        <mc:Choice Requires="wps">
          <w:drawing>
            <wp:anchor distT="0" distB="0" distL="114300" distR="114300" simplePos="0" relativeHeight="251678720" behindDoc="1" locked="0" layoutInCell="1" allowOverlap="1">
              <wp:simplePos x="0" y="0"/>
              <wp:positionH relativeFrom="page">
                <wp:posOffset>6374130</wp:posOffset>
              </wp:positionH>
              <wp:positionV relativeFrom="page">
                <wp:posOffset>9933305</wp:posOffset>
              </wp:positionV>
              <wp:extent cx="261620" cy="139700"/>
              <wp:effectExtent l="0" t="0" r="0" b="0"/>
              <wp:wrapNone/>
              <wp:docPr id="39" name="文本框 39"/>
              <wp:cNvGraphicFramePr/>
              <a:graphic xmlns:a="http://schemas.openxmlformats.org/drawingml/2006/main">
                <a:graphicData uri="http://schemas.microsoft.com/office/word/2010/wordprocessingShape">
                  <wps:wsp>
                    <wps:cNvSpPr txBox="1">
                      <a:spLocks noChangeArrowheads="1"/>
                    </wps:cNvSpPr>
                    <wps:spPr bwMode="auto">
                      <a:xfrm>
                        <a:off x="0" y="0"/>
                        <a:ext cx="261620" cy="139700"/>
                      </a:xfrm>
                      <a:prstGeom prst="rect">
                        <a:avLst/>
                      </a:prstGeom>
                      <a:noFill/>
                      <a:ln>
                        <a:noFill/>
                      </a:ln>
                    </wps:spPr>
                    <wps:txbx>
                      <w:txbxContent>
                        <w:p w14:paraId="25AA2DC0">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73</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501.9pt;margin-top:782.15pt;height:11pt;width:20.6pt;mso-position-horizontal-relative:page;mso-position-vertical-relative:page;z-index:-251637760;mso-width-relative:page;mso-height-relative:page;" filled="f" stroked="f" coordsize="21600,21600" o:gfxdata="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wKnUPbAAAADwEAAA8AAAAAAAAA&#10;AQAgAAAAIgAAAGRycy9kb3ducmV2LnhtbFBLAQIUABQAAAAIAIdO4kDHUWptDgIAAAYEAAAOAAAA&#10;AAAAAAEAIAAAACoBAABkcnMvZTJvRG9jLnhtbFBLBQYAAAAABgAGAFkBAACqBQAAAAA=&#10;">
              <v:fill on="f" focussize="0,0"/>
              <v:stroke on="f"/>
              <v:imagedata o:title=""/>
              <o:lock v:ext="edit" aspectratio="f"/>
              <v:textbox inset="0mm,0mm,0mm,0mm">
                <w:txbxContent>
                  <w:p w14:paraId="25AA2DC0">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73</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265F5">
    <w:pPr>
      <w:pStyle w:val="5"/>
      <w:spacing w:line="14" w:lineRule="auto"/>
      <w:rPr>
        <w:sz w:val="20"/>
      </w:rPr>
    </w:pPr>
    <w:r>
      <mc:AlternateContent>
        <mc:Choice Requires="wps">
          <w:drawing>
            <wp:anchor distT="0" distB="0" distL="114300" distR="114300" simplePos="0" relativeHeight="251679744" behindDoc="1" locked="0" layoutInCell="1" allowOverlap="1">
              <wp:simplePos x="0" y="0"/>
              <wp:positionH relativeFrom="page">
                <wp:posOffset>923290</wp:posOffset>
              </wp:positionH>
              <wp:positionV relativeFrom="page">
                <wp:posOffset>9933305</wp:posOffset>
              </wp:positionV>
              <wp:extent cx="263525" cy="139700"/>
              <wp:effectExtent l="0" t="0" r="0" b="0"/>
              <wp:wrapNone/>
              <wp:docPr id="40" name="文本框 40"/>
              <wp:cNvGraphicFramePr/>
              <a:graphic xmlns:a="http://schemas.openxmlformats.org/drawingml/2006/main">
                <a:graphicData uri="http://schemas.microsoft.com/office/word/2010/wordprocessingShape">
                  <wps:wsp>
                    <wps:cNvSpPr txBox="1">
                      <a:spLocks noChangeArrowheads="1"/>
                    </wps:cNvSpPr>
                    <wps:spPr bwMode="auto">
                      <a:xfrm>
                        <a:off x="0" y="0"/>
                        <a:ext cx="263525" cy="139700"/>
                      </a:xfrm>
                      <a:prstGeom prst="rect">
                        <a:avLst/>
                      </a:prstGeom>
                      <a:noFill/>
                      <a:ln>
                        <a:noFill/>
                      </a:ln>
                    </wps:spPr>
                    <wps:txbx>
                      <w:txbxContent>
                        <w:p w14:paraId="40A44E88">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74</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82.15pt;height:11pt;width:20.75pt;mso-position-horizontal-relative:page;mso-position-vertical-relative:page;z-index:-251636736;mso-width-relative:page;mso-height-relative:page;" filled="f" stroked="f" coordsize="21600,21600" o:gfxdata="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i7tDdoAAAANAQAADwAAAAAAAAAB&#10;ACAAAAAiAAAAZHJzL2Rvd25yZXYueG1sUEsBAhQAFAAAAAgAh07iQFNbY8QOAgAABgQAAA4AAAAA&#10;AAAAAQAgAAAAKQEAAGRycy9lMm9Eb2MueG1sUEsFBgAAAAAGAAYAWQEAAKkFAAAAAA==&#10;">
              <v:fill on="f" focussize="0,0"/>
              <v:stroke on="f"/>
              <v:imagedata o:title=""/>
              <o:lock v:ext="edit" aspectratio="f"/>
              <v:textbox inset="0mm,0mm,0mm,0mm">
                <w:txbxContent>
                  <w:p w14:paraId="40A44E88">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74</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785C5">
    <w:pPr>
      <w:pStyle w:val="5"/>
      <w:spacing w:line="14" w:lineRule="auto"/>
      <w:rPr>
        <w:sz w:val="20"/>
      </w:rPr>
    </w:pPr>
    <w:r>
      <mc:AlternateContent>
        <mc:Choice Requires="wps">
          <w:drawing>
            <wp:anchor distT="0" distB="0" distL="114300" distR="114300" simplePos="0" relativeHeight="251680768" behindDoc="1" locked="0" layoutInCell="1" allowOverlap="1">
              <wp:simplePos x="0" y="0"/>
              <wp:positionH relativeFrom="page">
                <wp:posOffset>6374130</wp:posOffset>
              </wp:positionH>
              <wp:positionV relativeFrom="page">
                <wp:posOffset>9933305</wp:posOffset>
              </wp:positionV>
              <wp:extent cx="261620" cy="139700"/>
              <wp:effectExtent l="0" t="0" r="0" b="0"/>
              <wp:wrapNone/>
              <wp:docPr id="22" name="文本框 22"/>
              <wp:cNvGraphicFramePr/>
              <a:graphic xmlns:a="http://schemas.openxmlformats.org/drawingml/2006/main">
                <a:graphicData uri="http://schemas.microsoft.com/office/word/2010/wordprocessingShape">
                  <wps:wsp>
                    <wps:cNvSpPr txBox="1">
                      <a:spLocks noChangeArrowheads="1"/>
                    </wps:cNvSpPr>
                    <wps:spPr bwMode="auto">
                      <a:xfrm>
                        <a:off x="0" y="0"/>
                        <a:ext cx="261620" cy="139700"/>
                      </a:xfrm>
                      <a:prstGeom prst="rect">
                        <a:avLst/>
                      </a:prstGeom>
                      <a:noFill/>
                      <a:ln>
                        <a:noFill/>
                      </a:ln>
                    </wps:spPr>
                    <wps:txbx>
                      <w:txbxContent>
                        <w:p w14:paraId="656A95BA">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83</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501.9pt;margin-top:782.15pt;height:11pt;width:20.6pt;mso-position-horizontal-relative:page;mso-position-vertical-relative:page;z-index:-251635712;mso-width-relative:page;mso-height-relative:page;" filled="f" stroked="f" coordsize="21600,21600" o:gfxdata="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AqdQ9sAAAAPAQAADwAAAAAAAAAB&#10;ACAAAAAiAAAAZHJzL2Rvd25yZXYueG1sUEsBAhQAFAAAAAgAh07iQKS1HTkNAgAABgQAAA4AAAAA&#10;AAAAAQAgAAAAKgEAAGRycy9lMm9Eb2MueG1sUEsFBgAAAAAGAAYAWQEAAKkFAAAAAA==&#10;">
              <v:fill on="f" focussize="0,0"/>
              <v:stroke on="f"/>
              <v:imagedata o:title=""/>
              <o:lock v:ext="edit" aspectratio="f"/>
              <v:textbox inset="0mm,0mm,0mm,0mm">
                <w:txbxContent>
                  <w:p w14:paraId="656A95BA">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83</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0026D">
    <w:pPr>
      <w:pStyle w:val="5"/>
      <w:spacing w:line="14" w:lineRule="auto"/>
      <w:rPr>
        <w:sz w:val="20"/>
      </w:rPr>
    </w:pPr>
    <w:r>
      <mc:AlternateContent>
        <mc:Choice Requires="wps">
          <w:drawing>
            <wp:anchor distT="0" distB="0" distL="114300" distR="114300" simplePos="0" relativeHeight="251681792" behindDoc="1" locked="0" layoutInCell="1" allowOverlap="1">
              <wp:simplePos x="0" y="0"/>
              <wp:positionH relativeFrom="page">
                <wp:posOffset>923290</wp:posOffset>
              </wp:positionH>
              <wp:positionV relativeFrom="page">
                <wp:posOffset>9933305</wp:posOffset>
              </wp:positionV>
              <wp:extent cx="263525" cy="139700"/>
              <wp:effectExtent l="0" t="0" r="0" b="0"/>
              <wp:wrapNone/>
              <wp:docPr id="21" name="文本框 21"/>
              <wp:cNvGraphicFramePr/>
              <a:graphic xmlns:a="http://schemas.openxmlformats.org/drawingml/2006/main">
                <a:graphicData uri="http://schemas.microsoft.com/office/word/2010/wordprocessingShape">
                  <wps:wsp>
                    <wps:cNvSpPr txBox="1">
                      <a:spLocks noChangeArrowheads="1"/>
                    </wps:cNvSpPr>
                    <wps:spPr bwMode="auto">
                      <a:xfrm>
                        <a:off x="0" y="0"/>
                        <a:ext cx="263525" cy="139700"/>
                      </a:xfrm>
                      <a:prstGeom prst="rect">
                        <a:avLst/>
                      </a:prstGeom>
                      <a:noFill/>
                      <a:ln>
                        <a:noFill/>
                      </a:ln>
                    </wps:spPr>
                    <wps:txbx>
                      <w:txbxContent>
                        <w:p w14:paraId="637CC995">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84</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82.15pt;height:11pt;width:20.75pt;mso-position-horizontal-relative:page;mso-position-vertical-relative:page;z-index:-251634688;mso-width-relative:page;mso-height-relative:page;" filled="f" stroked="f" coordsize="21600,21600" o:gfxdata="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OLu0N2gAAAA0BAAAPAAAAAAAAAAEA&#10;IAAAACIAAABkcnMvZG93bnJldi54bWxQSwECFAAUAAAACACHTuJAX/H76A0CAAAGBAAADgAAAAAA&#10;AAABACAAAAApAQAAZHJzL2Uyb0RvYy54bWxQSwUGAAAAAAYABgBZAQAAqAUAAAAA&#10;">
              <v:fill on="f" focussize="0,0"/>
              <v:stroke on="f"/>
              <v:imagedata o:title=""/>
              <o:lock v:ext="edit" aspectratio="f"/>
              <v:textbox inset="0mm,0mm,0mm,0mm">
                <w:txbxContent>
                  <w:p w14:paraId="637CC995">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84</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3B27A">
    <w:pPr>
      <w:pStyle w:val="5"/>
      <w:spacing w:line="14" w:lineRule="auto"/>
      <w:rPr>
        <w:sz w:val="20"/>
      </w:rPr>
    </w:pPr>
    <w:r>
      <mc:AlternateContent>
        <mc:Choice Requires="wps">
          <w:drawing>
            <wp:anchor distT="0" distB="0" distL="114300" distR="114300" simplePos="0" relativeHeight="251682816" behindDoc="1" locked="0" layoutInCell="1" allowOverlap="1">
              <wp:simplePos x="0" y="0"/>
              <wp:positionH relativeFrom="page">
                <wp:posOffset>6374130</wp:posOffset>
              </wp:positionH>
              <wp:positionV relativeFrom="page">
                <wp:posOffset>9933305</wp:posOffset>
              </wp:positionV>
              <wp:extent cx="261620" cy="139700"/>
              <wp:effectExtent l="0" t="0" r="0" b="0"/>
              <wp:wrapNone/>
              <wp:docPr id="37" name="文本框 37"/>
              <wp:cNvGraphicFramePr/>
              <a:graphic xmlns:a="http://schemas.openxmlformats.org/drawingml/2006/main">
                <a:graphicData uri="http://schemas.microsoft.com/office/word/2010/wordprocessingShape">
                  <wps:wsp>
                    <wps:cNvSpPr txBox="1">
                      <a:spLocks noChangeArrowheads="1"/>
                    </wps:cNvSpPr>
                    <wps:spPr bwMode="auto">
                      <a:xfrm>
                        <a:off x="0" y="0"/>
                        <a:ext cx="261620" cy="139700"/>
                      </a:xfrm>
                      <a:prstGeom prst="rect">
                        <a:avLst/>
                      </a:prstGeom>
                      <a:noFill/>
                      <a:ln>
                        <a:noFill/>
                      </a:ln>
                    </wps:spPr>
                    <wps:txbx>
                      <w:txbxContent>
                        <w:p w14:paraId="71775917">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93</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501.9pt;margin-top:782.15pt;height:11pt;width:20.6pt;mso-position-horizontal-relative:page;mso-position-vertical-relative:page;z-index:-251633664;mso-width-relative:page;mso-height-relative:page;" filled="f" stroked="f" coordsize="21600,21600" o:gfxdata="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wKnUPbAAAADwEAAA8AAAAAAAAA&#10;AQAgAAAAIgAAAGRycy9kb3ducmV2LnhtbFBLAQIUABQAAAAIAIdO4kDRWuxuDgIAAAYEAAAOAAAA&#10;AAAAAAEAIAAAACoBAABkcnMvZTJvRG9jLnhtbFBLBQYAAAAABgAGAFkBAACqBQAAAAA=&#10;">
              <v:fill on="f" focussize="0,0"/>
              <v:stroke on="f"/>
              <v:imagedata o:title=""/>
              <o:lock v:ext="edit" aspectratio="f"/>
              <v:textbox inset="0mm,0mm,0mm,0mm">
                <w:txbxContent>
                  <w:p w14:paraId="71775917">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93</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53E91">
    <w:pPr>
      <w:pStyle w:val="5"/>
      <w:spacing w:line="14" w:lineRule="auto"/>
      <w:rPr>
        <w:sz w:val="20"/>
      </w:rPr>
    </w:pPr>
    <w:r>
      <mc:AlternateContent>
        <mc:Choice Requires="wps">
          <w:drawing>
            <wp:anchor distT="0" distB="0" distL="114300" distR="114300" simplePos="0" relativeHeight="251683840" behindDoc="1" locked="0" layoutInCell="1" allowOverlap="1">
              <wp:simplePos x="0" y="0"/>
              <wp:positionH relativeFrom="page">
                <wp:posOffset>923290</wp:posOffset>
              </wp:positionH>
              <wp:positionV relativeFrom="page">
                <wp:posOffset>9933305</wp:posOffset>
              </wp:positionV>
              <wp:extent cx="263525" cy="139700"/>
              <wp:effectExtent l="0" t="0" r="0" b="0"/>
              <wp:wrapNone/>
              <wp:docPr id="38" name="文本框 38"/>
              <wp:cNvGraphicFramePr/>
              <a:graphic xmlns:a="http://schemas.openxmlformats.org/drawingml/2006/main">
                <a:graphicData uri="http://schemas.microsoft.com/office/word/2010/wordprocessingShape">
                  <wps:wsp>
                    <wps:cNvSpPr txBox="1">
                      <a:spLocks noChangeArrowheads="1"/>
                    </wps:cNvSpPr>
                    <wps:spPr bwMode="auto">
                      <a:xfrm>
                        <a:off x="0" y="0"/>
                        <a:ext cx="263525" cy="139700"/>
                      </a:xfrm>
                      <a:prstGeom prst="rect">
                        <a:avLst/>
                      </a:prstGeom>
                      <a:noFill/>
                      <a:ln>
                        <a:noFill/>
                      </a:ln>
                    </wps:spPr>
                    <wps:txbx>
                      <w:txbxContent>
                        <w:p w14:paraId="6CBBACAB">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94</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82.15pt;height:11pt;width:20.75pt;mso-position-horizontal-relative:page;mso-position-vertical-relative:page;z-index:-251632640;mso-width-relative:page;mso-height-relative:page;" filled="f" stroked="f" coordsize="21600,21600" o:gfxdata="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i7tDdoAAAANAQAADwAAAAAAAAAB&#10;ACAAAAAiAAAAZHJzL2Rvd25yZXYueG1sUEsBAhQAFAAAAAgAh07iQFZ7DbwOAgAABgQAAA4AAAAA&#10;AAAAAQAgAAAAKQEAAGRycy9lMm9Eb2MueG1sUEsFBgAAAAAGAAYAWQEAAKkFAAAAAA==&#10;">
              <v:fill on="f" focussize="0,0"/>
              <v:stroke on="f"/>
              <v:imagedata o:title=""/>
              <o:lock v:ext="edit" aspectratio="f"/>
              <v:textbox inset="0mm,0mm,0mm,0mm">
                <w:txbxContent>
                  <w:p w14:paraId="6CBBACAB">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94</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F9751">
    <w:pPr>
      <w:pStyle w:val="5"/>
      <w:spacing w:line="14" w:lineRule="auto"/>
      <w:rPr>
        <w:sz w:val="20"/>
      </w:rPr>
    </w:pPr>
    <w:r>
      <mc:AlternateContent>
        <mc:Choice Requires="wps">
          <w:drawing>
            <wp:anchor distT="0" distB="0" distL="114300" distR="114300" simplePos="0" relativeHeight="251685888" behindDoc="1" locked="0" layoutInCell="1" allowOverlap="1">
              <wp:simplePos x="0" y="0"/>
              <wp:positionH relativeFrom="page">
                <wp:posOffset>6316345</wp:posOffset>
              </wp:positionH>
              <wp:positionV relativeFrom="page">
                <wp:posOffset>9933305</wp:posOffset>
              </wp:positionV>
              <wp:extent cx="321310" cy="139700"/>
              <wp:effectExtent l="0" t="0" r="0" b="0"/>
              <wp:wrapNone/>
              <wp:docPr id="24"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2247AD00">
                          <w:pPr>
                            <w:spacing w:line="203" w:lineRule="exact"/>
                            <w:ind w:left="20"/>
                            <w:rPr>
                              <w:rFonts w:ascii="Calibri"/>
                              <w:sz w:val="18"/>
                            </w:rPr>
                          </w:pPr>
                          <w:r>
                            <w:rPr>
                              <w:rFonts w:ascii="Calibri"/>
                              <w:sz w:val="18"/>
                            </w:rPr>
                            <w:t>-</w:t>
                          </w:r>
                          <w:r>
                            <w:rPr>
                              <w:rFonts w:ascii="Calibri"/>
                              <w:spacing w:val="-4"/>
                              <w:sz w:val="18"/>
                            </w:rPr>
                            <w:t xml:space="preserve"> </w:t>
                          </w:r>
                          <w:r>
                            <w:rPr>
                              <w:rFonts w:ascii="Calibri"/>
                              <w:sz w:val="18"/>
                            </w:rPr>
                            <w:t>101</w:t>
                          </w:r>
                          <w:r>
                            <w:rPr>
                              <w:rFonts w:ascii="Calibri"/>
                              <w:spacing w:val="1"/>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97.35pt;margin-top:782.15pt;height:11pt;width:25.3pt;mso-position-horizontal-relative:page;mso-position-vertical-relative:page;z-index:-251630592;mso-width-relative:page;mso-height-relative:page;" filled="f" stroked="f" coordsize="21600,21600" o:gfxdata="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ZkXXbAAAADgEAAA8AAAAAAAAA&#10;AQAgAAAAIgAAAGRycy9kb3ducmV2LnhtbFBLAQIUABQAAAAIAIdO4kDIYI+3DgIAAAYEAAAOAAAA&#10;AAAAAAEAIAAAACoBAABkcnMvZTJvRG9jLnhtbFBLBQYAAAAABgAGAFkBAACqBQAAAAA=&#10;">
              <v:fill on="f" focussize="0,0"/>
              <v:stroke on="f"/>
              <v:imagedata o:title=""/>
              <o:lock v:ext="edit" aspectratio="f"/>
              <v:textbox inset="0mm,0mm,0mm,0mm">
                <w:txbxContent>
                  <w:p w14:paraId="2247AD00">
                    <w:pPr>
                      <w:spacing w:line="203" w:lineRule="exact"/>
                      <w:ind w:left="20"/>
                      <w:rPr>
                        <w:rFonts w:ascii="Calibri"/>
                        <w:sz w:val="18"/>
                      </w:rPr>
                    </w:pPr>
                    <w:r>
                      <w:rPr>
                        <w:rFonts w:ascii="Calibri"/>
                        <w:sz w:val="18"/>
                      </w:rPr>
                      <w:t>-</w:t>
                    </w:r>
                    <w:r>
                      <w:rPr>
                        <w:rFonts w:ascii="Calibri"/>
                        <w:spacing w:val="-4"/>
                        <w:sz w:val="18"/>
                      </w:rPr>
                      <w:t xml:space="preserve"> </w:t>
                    </w:r>
                    <w:r>
                      <w:rPr>
                        <w:rFonts w:ascii="Calibri"/>
                        <w:sz w:val="18"/>
                      </w:rPr>
                      <w:t>101</w:t>
                    </w:r>
                    <w:r>
                      <w:rPr>
                        <w:rFonts w:ascii="Calibri"/>
                        <w:spacing w:val="1"/>
                        <w:sz w:val="18"/>
                      </w:rPr>
                      <w:t xml:space="preserve"> </w:t>
                    </w:r>
                    <w:r>
                      <w:rPr>
                        <w:rFonts w:ascii="Calibri"/>
                        <w:spacing w:val="-10"/>
                        <w:sz w:val="1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5CAAD">
    <w:pPr>
      <w:pStyle w:val="5"/>
      <w:spacing w:line="14" w:lineRule="auto"/>
      <w:rPr>
        <w:sz w:val="20"/>
      </w:rPr>
    </w:pPr>
    <w:r>
      <w:pict>
        <v:shape id="docshape5" o:spid="_x0000_s2049" o:spt="202" type="#_x0000_t202" style="position:absolute;left:0pt;margin-left:70.7pt;margin-top:771.1pt;height:11pt;width:14.4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6C5A0059">
                <w:pPr>
                  <w:spacing w:line="203" w:lineRule="exact"/>
                  <w:ind w:left="60"/>
                  <w:rPr>
                    <w:rFonts w:ascii="Calibri"/>
                    <w:sz w:val="18"/>
                  </w:rPr>
                </w:pPr>
                <w:r>
                  <w:rPr>
                    <w:rFonts w:ascii="Calibri"/>
                    <w:spacing w:val="-5"/>
                    <w:sz w:val="18"/>
                  </w:rPr>
                  <w:fldChar w:fldCharType="begin"/>
                </w:r>
                <w:r>
                  <w:rPr>
                    <w:rFonts w:ascii="Calibri"/>
                    <w:spacing w:val="-5"/>
                    <w:sz w:val="18"/>
                  </w:rPr>
                  <w:instrText xml:space="preserve"> PAGE  \* ROMAN </w:instrText>
                </w:r>
                <w:r>
                  <w:rPr>
                    <w:rFonts w:ascii="Calibri"/>
                    <w:spacing w:val="-5"/>
                    <w:sz w:val="18"/>
                  </w:rPr>
                  <w:fldChar w:fldCharType="separate"/>
                </w:r>
                <w:r>
                  <w:rPr>
                    <w:rFonts w:ascii="Calibri"/>
                    <w:spacing w:val="-5"/>
                    <w:sz w:val="18"/>
                  </w:rPr>
                  <w:t>IV</w:t>
                </w:r>
                <w:r>
                  <w:rPr>
                    <w:rFonts w:ascii="Calibri"/>
                    <w:spacing w:val="-5"/>
                    <w:sz w:val="18"/>
                  </w:rPr>
                  <w:fldChar w:fldCharType="end"/>
                </w:r>
              </w:p>
            </w:txbxContent>
          </v:textbox>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A456E">
    <w:pPr>
      <w:pStyle w:val="5"/>
      <w:spacing w:line="14" w:lineRule="auto"/>
      <w:rPr>
        <w:sz w:val="20"/>
      </w:rPr>
    </w:pPr>
    <w:r>
      <mc:AlternateContent>
        <mc:Choice Requires="wps">
          <w:drawing>
            <wp:anchor distT="0" distB="0" distL="114300" distR="114300" simplePos="0" relativeHeight="251684864" behindDoc="1" locked="0" layoutInCell="1" allowOverlap="1">
              <wp:simplePos x="0" y="0"/>
              <wp:positionH relativeFrom="page">
                <wp:posOffset>923290</wp:posOffset>
              </wp:positionH>
              <wp:positionV relativeFrom="page">
                <wp:posOffset>9933305</wp:posOffset>
              </wp:positionV>
              <wp:extent cx="321310" cy="139700"/>
              <wp:effectExtent l="0" t="0" r="0" b="0"/>
              <wp:wrapNone/>
              <wp:docPr id="23" name="文本框 23"/>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03E4D397">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100</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82.15pt;height:11pt;width:25.3pt;mso-position-horizontal-relative:page;mso-position-vertical-relative:page;z-index:-251631616;mso-width-relative:page;mso-height-relative:page;" filled="f" stroked="f" coordsize="21600,21600" o:gfxdata="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2tHO2gAAAA0BAAAPAAAAAAAAAAEA&#10;IAAAACIAAABkcnMvZG93bnJldi54bWxQSwECFAAUAAAACACHTuJAQ2VMtg0CAAAGBAAADgAAAAAA&#10;AAABACAAAAApAQAAZHJzL2Uyb0RvYy54bWxQSwUGAAAAAAYABgBZAQAAqAUAAAAA&#10;">
              <v:fill on="f" focussize="0,0"/>
              <v:stroke on="f"/>
              <v:imagedata o:title=""/>
              <o:lock v:ext="edit" aspectratio="f"/>
              <v:textbox inset="0mm,0mm,0mm,0mm">
                <w:txbxContent>
                  <w:p w14:paraId="03E4D397">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100</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C00AB">
    <w:pPr>
      <w:pStyle w:val="5"/>
      <w:spacing w:line="14" w:lineRule="auto"/>
      <w:rPr>
        <w:sz w:val="20"/>
      </w:rPr>
    </w:pPr>
    <w:r>
      <mc:AlternateContent>
        <mc:Choice Requires="wps">
          <w:drawing>
            <wp:anchor distT="0" distB="0" distL="114300" distR="114300" simplePos="0" relativeHeight="251686912" behindDoc="1" locked="0" layoutInCell="1" allowOverlap="1">
              <wp:simplePos x="0" y="0"/>
              <wp:positionH relativeFrom="page">
                <wp:posOffset>6316345</wp:posOffset>
              </wp:positionH>
              <wp:positionV relativeFrom="page">
                <wp:posOffset>9933305</wp:posOffset>
              </wp:positionV>
              <wp:extent cx="321310" cy="139700"/>
              <wp:effectExtent l="0" t="0" r="0" b="0"/>
              <wp:wrapNone/>
              <wp:docPr id="35" name="文本框 35"/>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6221688E">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103</w:t>
                          </w:r>
                          <w:r>
                            <w:rPr>
                              <w:rFonts w:ascii="Calibri"/>
                              <w:sz w:val="18"/>
                            </w:rPr>
                            <w:fldChar w:fldCharType="end"/>
                          </w:r>
                          <w:r>
                            <w:rPr>
                              <w:rFonts w:ascii="Calibri"/>
                              <w:spacing w:val="2"/>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97.35pt;margin-top:782.15pt;height:11pt;width:25.3pt;mso-position-horizontal-relative:page;mso-position-vertical-relative:page;z-index:-251629568;mso-width-relative:page;mso-height-relative:page;" filled="f" stroked="f" coordsize="21600,21600" o:gfxdata="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ZkXXbAAAADgEAAA8AAAAAAAAA&#10;AQAgAAAAIgAAAGRycy9kb3ducmV2LnhtbFBLAQIUABQAAAAIAIdO4kBpU3zhDgIAAAYEAAAOAAAA&#10;AAAAAAEAIAAAACoBAABkcnMvZTJvRG9jLnhtbFBLBQYAAAAABgAGAFkBAACqBQAAAAA=&#10;">
              <v:fill on="f" focussize="0,0"/>
              <v:stroke on="f"/>
              <v:imagedata o:title=""/>
              <o:lock v:ext="edit" aspectratio="f"/>
              <v:textbox inset="0mm,0mm,0mm,0mm">
                <w:txbxContent>
                  <w:p w14:paraId="6221688E">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103</w:t>
                    </w:r>
                    <w:r>
                      <w:rPr>
                        <w:rFonts w:ascii="Calibri"/>
                        <w:sz w:val="18"/>
                      </w:rPr>
                      <w:fldChar w:fldCharType="end"/>
                    </w:r>
                    <w:r>
                      <w:rPr>
                        <w:rFonts w:ascii="Calibri"/>
                        <w:spacing w:val="2"/>
                        <w:sz w:val="18"/>
                      </w:rPr>
                      <w:t xml:space="preserve"> </w:t>
                    </w:r>
                    <w:r>
                      <w:rPr>
                        <w:rFonts w:ascii="Calibri"/>
                        <w:spacing w:val="-10"/>
                        <w:sz w:val="18"/>
                      </w:rPr>
                      <w:t>-</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51D18">
    <w:pPr>
      <w:pStyle w:val="5"/>
      <w:spacing w:line="14" w:lineRule="auto"/>
      <w:rPr>
        <w:sz w:val="20"/>
      </w:rPr>
    </w:pPr>
    <w:r>
      <mc:AlternateContent>
        <mc:Choice Requires="wps">
          <w:drawing>
            <wp:anchor distT="0" distB="0" distL="114300" distR="114300" simplePos="0" relativeHeight="251687936" behindDoc="1" locked="0" layoutInCell="1" allowOverlap="1">
              <wp:simplePos x="0" y="0"/>
              <wp:positionH relativeFrom="page">
                <wp:posOffset>923290</wp:posOffset>
              </wp:positionH>
              <wp:positionV relativeFrom="page">
                <wp:posOffset>9933305</wp:posOffset>
              </wp:positionV>
              <wp:extent cx="321310" cy="139700"/>
              <wp:effectExtent l="0" t="0" r="0" b="0"/>
              <wp:wrapNone/>
              <wp:docPr id="36" name="文本框 36"/>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7BBC4755">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104</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82.15pt;height:11pt;width:25.3pt;mso-position-horizontal-relative:page;mso-position-vertical-relative:page;z-index:-251628544;mso-width-relative:page;mso-height-relative:page;" filled="f" stroked="f" coordsize="21600,21600" o:gfxdata="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drRztoAAAANAQAADwAAAAAAAAAB&#10;ACAAAAAiAAAAZHJzL2Rvd25yZXYueG1sUEsBAhQAFAAAAAgAh07iQDaKveEOAgAABgQAAA4AAAAA&#10;AAAAAQAgAAAAKQEAAGRycy9lMm9Eb2MueG1sUEsFBgAAAAAGAAYAWQEAAKkFAAAAAA==&#10;">
              <v:fill on="f" focussize="0,0"/>
              <v:stroke on="f"/>
              <v:imagedata o:title=""/>
              <o:lock v:ext="edit" aspectratio="f"/>
              <v:textbox inset="0mm,0mm,0mm,0mm">
                <w:txbxContent>
                  <w:p w14:paraId="7BBC4755">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104</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4978C">
    <w:pPr>
      <w:pStyle w:val="5"/>
      <w:spacing w:line="14" w:lineRule="auto"/>
      <w:rPr>
        <w:sz w:val="20"/>
      </w:rPr>
    </w:pPr>
    <w:r>
      <mc:AlternateContent>
        <mc:Choice Requires="wps">
          <w:drawing>
            <wp:anchor distT="0" distB="0" distL="114300" distR="114300" simplePos="0" relativeHeight="251688960" behindDoc="1" locked="0" layoutInCell="1" allowOverlap="1">
              <wp:simplePos x="0" y="0"/>
              <wp:positionH relativeFrom="page">
                <wp:posOffset>6316345</wp:posOffset>
              </wp:positionH>
              <wp:positionV relativeFrom="page">
                <wp:posOffset>9933305</wp:posOffset>
              </wp:positionV>
              <wp:extent cx="321310" cy="139700"/>
              <wp:effectExtent l="0" t="0" r="0" b="0"/>
              <wp:wrapNone/>
              <wp:docPr id="33" name="文本框 33"/>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570C4690">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113</w:t>
                          </w:r>
                          <w:r>
                            <w:rPr>
                              <w:rFonts w:ascii="Calibri"/>
                              <w:sz w:val="18"/>
                            </w:rPr>
                            <w:fldChar w:fldCharType="end"/>
                          </w:r>
                          <w:r>
                            <w:rPr>
                              <w:rFonts w:ascii="Calibri"/>
                              <w:spacing w:val="2"/>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97.35pt;margin-top:782.15pt;height:11pt;width:25.3pt;mso-position-horizontal-relative:page;mso-position-vertical-relative:page;z-index:-251627520;mso-width-relative:page;mso-height-relative:page;" filled="f" stroked="f" coordsize="21600,21600" o:gfxdata="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9mRddsAAAAOAQAADwAAAAAAAAAB&#10;ACAAAAAiAAAAZHJzL2Rvd25yZXYueG1sUEsBAhQAFAAAAAgAh07iQNfh/+ANAgAABgQAAA4AAAAA&#10;AAAAAQAgAAAAKgEAAGRycy9lMm9Eb2MueG1sUEsFBgAAAAAGAAYAWQEAAKkFAAAAAA==&#10;">
              <v:fill on="f" focussize="0,0"/>
              <v:stroke on="f"/>
              <v:imagedata o:title=""/>
              <o:lock v:ext="edit" aspectratio="f"/>
              <v:textbox inset="0mm,0mm,0mm,0mm">
                <w:txbxContent>
                  <w:p w14:paraId="570C4690">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113</w:t>
                    </w:r>
                    <w:r>
                      <w:rPr>
                        <w:rFonts w:ascii="Calibri"/>
                        <w:sz w:val="18"/>
                      </w:rPr>
                      <w:fldChar w:fldCharType="end"/>
                    </w:r>
                    <w:r>
                      <w:rPr>
                        <w:rFonts w:ascii="Calibri"/>
                        <w:spacing w:val="2"/>
                        <w:sz w:val="18"/>
                      </w:rPr>
                      <w:t xml:space="preserve"> </w:t>
                    </w:r>
                    <w:r>
                      <w:rPr>
                        <w:rFonts w:ascii="Calibri"/>
                        <w:spacing w:val="-10"/>
                        <w:sz w:val="18"/>
                      </w:rPr>
                      <w:t>-</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69EEC">
    <w:pPr>
      <w:pStyle w:val="5"/>
      <w:spacing w:line="14" w:lineRule="auto"/>
      <w:rPr>
        <w:sz w:val="20"/>
      </w:rPr>
    </w:pPr>
    <w:r>
      <mc:AlternateContent>
        <mc:Choice Requires="wps">
          <w:drawing>
            <wp:anchor distT="0" distB="0" distL="114300" distR="114300" simplePos="0" relativeHeight="251689984" behindDoc="1" locked="0" layoutInCell="1" allowOverlap="1">
              <wp:simplePos x="0" y="0"/>
              <wp:positionH relativeFrom="page">
                <wp:posOffset>923290</wp:posOffset>
              </wp:positionH>
              <wp:positionV relativeFrom="page">
                <wp:posOffset>9933305</wp:posOffset>
              </wp:positionV>
              <wp:extent cx="321310" cy="139700"/>
              <wp:effectExtent l="0" t="0" r="0" b="0"/>
              <wp:wrapNone/>
              <wp:docPr id="34" name="文本框 34"/>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56E466CA">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114</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82.15pt;height:11pt;width:25.3pt;mso-position-horizontal-relative:page;mso-position-vertical-relative:page;z-index:-251626496;mso-width-relative:page;mso-height-relative:page;" filled="f" stroked="f" coordsize="21600,21600" o:gfxdata="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drRztoAAAANAQAADwAAAAAAAAAB&#10;ACAAAAAiAAAAZHJzL2Rvd25yZXYueG1sUEsBAhQAFAAAAAgAh07iQFzkPOEOAgAABgQAAA4AAAAA&#10;AAAAAQAgAAAAKQEAAGRycy9lMm9Eb2MueG1sUEsFBgAAAAAGAAYAWQEAAKkFAAAAAA==&#10;">
              <v:fill on="f" focussize="0,0"/>
              <v:stroke on="f"/>
              <v:imagedata o:title=""/>
              <o:lock v:ext="edit" aspectratio="f"/>
              <v:textbox inset="0mm,0mm,0mm,0mm">
                <w:txbxContent>
                  <w:p w14:paraId="56E466CA">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114</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D5FFE">
    <w:pPr>
      <w:pStyle w:val="5"/>
      <w:spacing w:line="14" w:lineRule="auto"/>
      <w:rPr>
        <w:sz w:val="20"/>
      </w:rPr>
    </w:pPr>
    <w:r>
      <mc:AlternateContent>
        <mc:Choice Requires="wps">
          <w:drawing>
            <wp:anchor distT="0" distB="0" distL="114300" distR="114300" simplePos="0" relativeHeight="251691008" behindDoc="1" locked="0" layoutInCell="1" allowOverlap="1">
              <wp:simplePos x="0" y="0"/>
              <wp:positionH relativeFrom="page">
                <wp:posOffset>6316345</wp:posOffset>
              </wp:positionH>
              <wp:positionV relativeFrom="page">
                <wp:posOffset>9933305</wp:posOffset>
              </wp:positionV>
              <wp:extent cx="321310" cy="139700"/>
              <wp:effectExtent l="0" t="0" r="0" b="0"/>
              <wp:wrapNone/>
              <wp:docPr id="31"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4EBC4AE8">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123</w:t>
                          </w:r>
                          <w:r>
                            <w:rPr>
                              <w:rFonts w:ascii="Calibri"/>
                              <w:sz w:val="18"/>
                            </w:rPr>
                            <w:fldChar w:fldCharType="end"/>
                          </w:r>
                          <w:r>
                            <w:rPr>
                              <w:rFonts w:ascii="Calibri"/>
                              <w:spacing w:val="2"/>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97.35pt;margin-top:782.15pt;height:11pt;width:25.3pt;mso-position-horizontal-relative:page;mso-position-vertical-relative:page;z-index:-251625472;mso-width-relative:page;mso-height-relative:page;" filled="f" stroked="f" coordsize="21600,21600" o:gfxdata="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2ZF12wAAAA4BAAAPAAAAAAAAAAEA&#10;IAAAACIAAABkcnMvZG93bnJldi54bWxQSwECFAAUAAAACACHTuJAvY9+4AwCAAAGBAAADgAAAAAA&#10;AAABACAAAAAqAQAAZHJzL2Uyb0RvYy54bWxQSwUGAAAAAAYABgBZAQAAqAUAAAAA&#10;">
              <v:fill on="f" focussize="0,0"/>
              <v:stroke on="f"/>
              <v:imagedata o:title=""/>
              <o:lock v:ext="edit" aspectratio="f"/>
              <v:textbox inset="0mm,0mm,0mm,0mm">
                <w:txbxContent>
                  <w:p w14:paraId="4EBC4AE8">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123</w:t>
                    </w:r>
                    <w:r>
                      <w:rPr>
                        <w:rFonts w:ascii="Calibri"/>
                        <w:sz w:val="18"/>
                      </w:rPr>
                      <w:fldChar w:fldCharType="end"/>
                    </w:r>
                    <w:r>
                      <w:rPr>
                        <w:rFonts w:ascii="Calibri"/>
                        <w:spacing w:val="2"/>
                        <w:sz w:val="18"/>
                      </w:rPr>
                      <w:t xml:space="preserve"> </w:t>
                    </w:r>
                    <w:r>
                      <w:rPr>
                        <w:rFonts w:ascii="Calibri"/>
                        <w:spacing w:val="-10"/>
                        <w:sz w:val="18"/>
                      </w:rPr>
                      <w:t>-</w:t>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621DD">
    <w:pPr>
      <w:pStyle w:val="5"/>
      <w:spacing w:line="14" w:lineRule="auto"/>
      <w:rPr>
        <w:sz w:val="20"/>
      </w:rPr>
    </w:pPr>
    <w:r>
      <mc:AlternateContent>
        <mc:Choice Requires="wps">
          <w:drawing>
            <wp:anchor distT="0" distB="0" distL="114300" distR="114300" simplePos="0" relativeHeight="251692032" behindDoc="1" locked="0" layoutInCell="1" allowOverlap="1">
              <wp:simplePos x="0" y="0"/>
              <wp:positionH relativeFrom="page">
                <wp:posOffset>923290</wp:posOffset>
              </wp:positionH>
              <wp:positionV relativeFrom="page">
                <wp:posOffset>9933305</wp:posOffset>
              </wp:positionV>
              <wp:extent cx="321310" cy="139700"/>
              <wp:effectExtent l="0" t="0" r="0" b="0"/>
              <wp:wrapNone/>
              <wp:docPr id="32" name="文本框 32"/>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35CF0F1E">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124</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82.15pt;height:11pt;width:25.3pt;mso-position-horizontal-relative:page;mso-position-vertical-relative:page;z-index:-251624448;mso-width-relative:page;mso-height-relative:page;" filled="f" stroked="f" coordsize="21600,21600" o:gfxdata="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2tHO2gAAAA0BAAAPAAAAAAAAAAEA&#10;IAAAACIAAABkcnMvZG93bnJldi54bWxQSwECFAAUAAAACACHTuJA4la/4A0CAAAGBAAADgAAAAAA&#10;AAABACAAAAApAQAAZHJzL2Uyb0RvYy54bWxQSwUGAAAAAAYABgBZAQAAqAUAAAAA&#10;">
              <v:fill on="f" focussize="0,0"/>
              <v:stroke on="f"/>
              <v:imagedata o:title=""/>
              <o:lock v:ext="edit" aspectratio="f"/>
              <v:textbox inset="0mm,0mm,0mm,0mm">
                <w:txbxContent>
                  <w:p w14:paraId="35CF0F1E">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124</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E9F27">
    <w:pPr>
      <w:pStyle w:val="5"/>
      <w:spacing w:line="14" w:lineRule="auto"/>
      <w:rPr>
        <w:sz w:val="20"/>
      </w:rPr>
    </w:pPr>
    <w:r>
      <mc:AlternateContent>
        <mc:Choice Requires="wps">
          <w:drawing>
            <wp:anchor distT="0" distB="0" distL="114300" distR="114300" simplePos="0" relativeHeight="251693056" behindDoc="1" locked="0" layoutInCell="1" allowOverlap="1">
              <wp:simplePos x="0" y="0"/>
              <wp:positionH relativeFrom="page">
                <wp:posOffset>6316345</wp:posOffset>
              </wp:positionH>
              <wp:positionV relativeFrom="page">
                <wp:posOffset>9933305</wp:posOffset>
              </wp:positionV>
              <wp:extent cx="321310" cy="139700"/>
              <wp:effectExtent l="0" t="0" r="0" b="0"/>
              <wp:wrapNone/>
              <wp:docPr id="29" name="文本框 29"/>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3538659B">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133</w:t>
                          </w:r>
                          <w:r>
                            <w:rPr>
                              <w:rFonts w:ascii="Calibri"/>
                              <w:sz w:val="18"/>
                            </w:rPr>
                            <w:fldChar w:fldCharType="end"/>
                          </w:r>
                          <w:r>
                            <w:rPr>
                              <w:rFonts w:ascii="Calibri"/>
                              <w:spacing w:val="2"/>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97.35pt;margin-top:782.15pt;height:11pt;width:25.3pt;mso-position-horizontal-relative:page;mso-position-vertical-relative:page;z-index:-251623424;mso-width-relative:page;mso-height-relative:page;" filled="f" stroked="f" coordsize="21600,21600" o:gfxdata="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ZkXXbAAAADgEAAA8AAAAAAAAA&#10;AQAgAAAAIgAAAGRycy9kb3ducmV2LnhtbFBLAQIUABQAAAAIAIdO4kCBssi0DgIAAAYEAAAOAAAA&#10;AAAAAAEAIAAAACoBAABkcnMvZTJvRG9jLnhtbFBLBQYAAAAABgAGAFkBAACqBQAAAAA=&#10;">
              <v:fill on="f" focussize="0,0"/>
              <v:stroke on="f"/>
              <v:imagedata o:title=""/>
              <o:lock v:ext="edit" aspectratio="f"/>
              <v:textbox inset="0mm,0mm,0mm,0mm">
                <w:txbxContent>
                  <w:p w14:paraId="3538659B">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133</w:t>
                    </w:r>
                    <w:r>
                      <w:rPr>
                        <w:rFonts w:ascii="Calibri"/>
                        <w:sz w:val="18"/>
                      </w:rPr>
                      <w:fldChar w:fldCharType="end"/>
                    </w:r>
                    <w:r>
                      <w:rPr>
                        <w:rFonts w:ascii="Calibri"/>
                        <w:spacing w:val="2"/>
                        <w:sz w:val="18"/>
                      </w:rPr>
                      <w:t xml:space="preserve"> </w:t>
                    </w:r>
                    <w:r>
                      <w:rPr>
                        <w:rFonts w:ascii="Calibri"/>
                        <w:spacing w:val="-10"/>
                        <w:sz w:val="18"/>
                      </w:rPr>
                      <w:t>-</w:t>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4DE38">
    <w:pPr>
      <w:pStyle w:val="5"/>
      <w:spacing w:line="14" w:lineRule="auto"/>
      <w:rPr>
        <w:sz w:val="20"/>
      </w:rPr>
    </w:pPr>
    <w:r>
      <mc:AlternateContent>
        <mc:Choice Requires="wps">
          <w:drawing>
            <wp:anchor distT="0" distB="0" distL="114300" distR="114300" simplePos="0" relativeHeight="251694080" behindDoc="1" locked="0" layoutInCell="1" allowOverlap="1">
              <wp:simplePos x="0" y="0"/>
              <wp:positionH relativeFrom="page">
                <wp:posOffset>923290</wp:posOffset>
              </wp:positionH>
              <wp:positionV relativeFrom="page">
                <wp:posOffset>9933305</wp:posOffset>
              </wp:positionV>
              <wp:extent cx="321310" cy="139700"/>
              <wp:effectExtent l="0" t="0" r="0" b="0"/>
              <wp:wrapNone/>
              <wp:docPr id="30" name="文本框 30"/>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167B003F">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134</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82.15pt;height:11pt;width:25.3pt;mso-position-horizontal-relative:page;mso-position-vertical-relative:page;z-index:-251622400;mso-width-relative:page;mso-height-relative:page;" filled="f" stroked="f" coordsize="21600,21600" o:gfxdata="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na0c7aAAAADQEAAA8AAAAAAAAAAQAg&#10;AAAAIgAAAGRycy9kb3ducmV2LnhtbFBLAQIUABQAAAAIAIdO4kCIOD7gDAIAAAYEAAAOAAAAAAAA&#10;AAEAIAAAACkBAABkcnMvZTJvRG9jLnhtbFBLBQYAAAAABgAGAFkBAACnBQAAAAA=&#10;">
              <v:fill on="f" focussize="0,0"/>
              <v:stroke on="f"/>
              <v:imagedata o:title=""/>
              <o:lock v:ext="edit" aspectratio="f"/>
              <v:textbox inset="0mm,0mm,0mm,0mm">
                <w:txbxContent>
                  <w:p w14:paraId="167B003F">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134</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F4E16">
    <w:pPr>
      <w:pStyle w:val="5"/>
      <w:spacing w:line="14" w:lineRule="auto"/>
      <w:rPr>
        <w:sz w:val="20"/>
      </w:rPr>
    </w:pPr>
    <w:r>
      <mc:AlternateContent>
        <mc:Choice Requires="wps">
          <w:drawing>
            <wp:anchor distT="0" distB="0" distL="114300" distR="114300" simplePos="0" relativeHeight="251695104" behindDoc="1" locked="0" layoutInCell="1" allowOverlap="1">
              <wp:simplePos x="0" y="0"/>
              <wp:positionH relativeFrom="page">
                <wp:posOffset>6316345</wp:posOffset>
              </wp:positionH>
              <wp:positionV relativeFrom="page">
                <wp:posOffset>9933305</wp:posOffset>
              </wp:positionV>
              <wp:extent cx="321310" cy="139700"/>
              <wp:effectExtent l="0" t="0" r="0" b="0"/>
              <wp:wrapNone/>
              <wp:docPr id="27" name="文本框 27"/>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4D959E7C">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143</w:t>
                          </w:r>
                          <w:r>
                            <w:rPr>
                              <w:rFonts w:ascii="Calibri"/>
                              <w:sz w:val="18"/>
                            </w:rPr>
                            <w:fldChar w:fldCharType="end"/>
                          </w:r>
                          <w:r>
                            <w:rPr>
                              <w:rFonts w:ascii="Calibri"/>
                              <w:spacing w:val="2"/>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97.35pt;margin-top:782.15pt;height:11pt;width:25.3pt;mso-position-horizontal-relative:page;mso-position-vertical-relative:page;z-index:-251621376;mso-width-relative:page;mso-height-relative:page;" filled="f" stroked="f" coordsize="21600,21600" o:gfxdata="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ZkXXbAAAADgEAAA8AAAAAAAAA&#10;AQAgAAAAIgAAAGRycy9kb3ducmV2LnhtbFBLAQIUABQAAAAIAIdO4kCXuU63DgIAAAYEAAAOAAAA&#10;AAAAAAEAIAAAACoBAABkcnMvZTJvRG9jLnhtbFBLBQYAAAAABgAGAFkBAACqBQAAAAA=&#10;">
              <v:fill on="f" focussize="0,0"/>
              <v:stroke on="f"/>
              <v:imagedata o:title=""/>
              <o:lock v:ext="edit" aspectratio="f"/>
              <v:textbox inset="0mm,0mm,0mm,0mm">
                <w:txbxContent>
                  <w:p w14:paraId="4D959E7C">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143</w:t>
                    </w:r>
                    <w:r>
                      <w:rPr>
                        <w:rFonts w:ascii="Calibri"/>
                        <w:sz w:val="18"/>
                      </w:rPr>
                      <w:fldChar w:fldCharType="end"/>
                    </w:r>
                    <w:r>
                      <w:rPr>
                        <w:rFonts w:ascii="Calibri"/>
                        <w:spacing w:val="2"/>
                        <w:sz w:val="18"/>
                      </w:rPr>
                      <w:t xml:space="preserve"> </w:t>
                    </w:r>
                    <w:r>
                      <w:rPr>
                        <w:rFonts w:ascii="Calibri"/>
                        <w:spacing w:val="-10"/>
                        <w:sz w:val="1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563D4">
    <w:pPr>
      <w:pStyle w:val="5"/>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4C3E9">
    <w:pPr>
      <w:pStyle w:val="5"/>
      <w:spacing w:line="14" w:lineRule="auto"/>
      <w:rPr>
        <w:sz w:val="20"/>
      </w:rPr>
    </w:pPr>
    <w:r>
      <mc:AlternateContent>
        <mc:Choice Requires="wps">
          <w:drawing>
            <wp:anchor distT="0" distB="0" distL="114300" distR="114300" simplePos="0" relativeHeight="251696128" behindDoc="1" locked="0" layoutInCell="1" allowOverlap="1">
              <wp:simplePos x="0" y="0"/>
              <wp:positionH relativeFrom="page">
                <wp:posOffset>923290</wp:posOffset>
              </wp:positionH>
              <wp:positionV relativeFrom="page">
                <wp:posOffset>9933305</wp:posOffset>
              </wp:positionV>
              <wp:extent cx="321310" cy="139700"/>
              <wp:effectExtent l="0" t="0" r="0" b="0"/>
              <wp:wrapNone/>
              <wp:docPr id="28" name="文本框 28"/>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1A628471">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144</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82.15pt;height:11pt;width:25.3pt;mso-position-horizontal-relative:page;mso-position-vertical-relative:page;z-index:-251620352;mso-width-relative:page;mso-height-relative:page;" filled="f" stroked="f" coordsize="21600,21600" o:gfxdata="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2tHO2gAAAA0BAAAPAAAAAAAAAAEA&#10;IAAAACIAAABkcnMvZG93bnJldi54bWxQSwECFAAUAAAACACHTuJAtAWItA0CAAAGBAAADgAAAAAA&#10;AAABACAAAAApAQAAZHJzL2Uyb0RvYy54bWxQSwUGAAAAAAYABgBZAQAAqAUAAAAA&#10;">
              <v:fill on="f" focussize="0,0"/>
              <v:stroke on="f"/>
              <v:imagedata o:title=""/>
              <o:lock v:ext="edit" aspectratio="f"/>
              <v:textbox inset="0mm,0mm,0mm,0mm">
                <w:txbxContent>
                  <w:p w14:paraId="1A628471">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144</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FA0FC">
    <w:pPr>
      <w:pStyle w:val="5"/>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06249">
    <w:pPr>
      <w:pStyle w:val="5"/>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D6493">
    <w:pPr>
      <w:pStyle w:val="5"/>
      <w:spacing w:line="14" w:lineRule="auto"/>
      <w:rPr>
        <w:sz w:val="20"/>
      </w:rPr>
    </w:pPr>
    <w:r>
      <w:pict>
        <v:shape id="_x0000_s2097" o:spid="_x0000_s2097" o:spt="202" type="#_x0000_t202" style="position:absolute;left:0pt;margin-left:284.05pt;margin-top:752.25pt;height:11pt;width:20.7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14:paraId="74964C73">
                <w:pPr>
                  <w:spacing w:line="203" w:lineRule="exact"/>
                  <w:ind w:left="60"/>
                  <w:rPr>
                    <w:rFonts w:ascii="Calibri"/>
                    <w:sz w:val="18"/>
                  </w:rPr>
                </w:pP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153</w:t>
                </w:r>
                <w:r>
                  <w:rPr>
                    <w:rFonts w:ascii="Calibri"/>
                    <w:spacing w:val="-5"/>
                    <w:sz w:val="18"/>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4F602">
    <w:pPr>
      <w:pStyle w:val="5"/>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28072">
    <w:pPr>
      <w:pStyle w:val="5"/>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6432550</wp:posOffset>
              </wp:positionH>
              <wp:positionV relativeFrom="page">
                <wp:posOffset>9792970</wp:posOffset>
              </wp:positionV>
              <wp:extent cx="205740" cy="139700"/>
              <wp:effectExtent l="0" t="0" r="0" b="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05740" cy="139700"/>
                      </a:xfrm>
                      <a:prstGeom prst="rect">
                        <a:avLst/>
                      </a:prstGeom>
                      <a:noFill/>
                      <a:ln>
                        <a:noFill/>
                      </a:ln>
                    </wps:spPr>
                    <wps:txbx>
                      <w:txbxContent>
                        <w:p w14:paraId="067FACE6">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3</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506.5pt;margin-top:771.1pt;height:11pt;width:16.2pt;mso-position-horizontal-relative:page;mso-position-vertical-relative:page;z-index:-251656192;mso-width-relative:page;mso-height-relative:page;" filled="f" stroked="f" coordsize="21600,21600" o:gfxdata="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FnodsAAAAPAQAADwAAAAAAAAAB&#10;ACAAAAAiAAAAZHJzL2Rvd25yZXYueG1sUEsBAhQAFAAAAAgAh07iQF3UlSgNAgAABAQAAA4AAAAA&#10;AAAAAQAgAAAAKgEAAGRycy9lMm9Eb2MueG1sUEsFBgAAAAAGAAYAWQEAAKkFAAAAAA==&#10;">
              <v:fill on="f" focussize="0,0"/>
              <v:stroke on="f"/>
              <v:imagedata o:title=""/>
              <o:lock v:ext="edit" aspectratio="f"/>
              <v:textbox inset="0mm,0mm,0mm,0mm">
                <w:txbxContent>
                  <w:p w14:paraId="067FACE6">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3</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FC5CC">
    <w:pPr>
      <w:pStyle w:val="5"/>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923290</wp:posOffset>
              </wp:positionH>
              <wp:positionV relativeFrom="page">
                <wp:posOffset>9792970</wp:posOffset>
              </wp:positionV>
              <wp:extent cx="205740" cy="139700"/>
              <wp:effectExtent l="0" t="0" r="0" b="0"/>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05740" cy="139700"/>
                      </a:xfrm>
                      <a:prstGeom prst="rect">
                        <a:avLst/>
                      </a:prstGeom>
                      <a:noFill/>
                      <a:ln>
                        <a:noFill/>
                      </a:ln>
                    </wps:spPr>
                    <wps:txbx>
                      <w:txbxContent>
                        <w:p w14:paraId="182F4995">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4</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71.1pt;height:11pt;width:16.2pt;mso-position-horizontal-relative:page;mso-position-vertical-relative:page;z-index:-251654144;mso-width-relative:page;mso-height-relative:page;" filled="f" stroked="f" coordsize="21600,21600" o:gfxdata="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j0ta32gAAAA0BAAAPAAAAAAAAAAEA&#10;IAAAACIAAABkcnMvZG93bnJldi54bWxQSwECFAAUAAAACACHTuJAEyJ4dA0CAAAEBAAADgAAAAAA&#10;AAABACAAAAApAQAAZHJzL2Uyb0RvYy54bWxQSwUGAAAAAAYABgBZAQAAqAUAAAAA&#10;">
              <v:fill on="f" focussize="0,0"/>
              <v:stroke on="f"/>
              <v:imagedata o:title=""/>
              <o:lock v:ext="edit" aspectratio="f"/>
              <v:textbox inset="0mm,0mm,0mm,0mm">
                <w:txbxContent>
                  <w:p w14:paraId="182F4995">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4</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2301C">
    <w:pPr>
      <w:pStyle w:val="5"/>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923290</wp:posOffset>
              </wp:positionH>
              <wp:positionV relativeFrom="page">
                <wp:posOffset>9792970</wp:posOffset>
              </wp:positionV>
              <wp:extent cx="263525" cy="139700"/>
              <wp:effectExtent l="0" t="0" r="0" b="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63525" cy="139700"/>
                      </a:xfrm>
                      <a:prstGeom prst="rect">
                        <a:avLst/>
                      </a:prstGeom>
                      <a:noFill/>
                      <a:ln>
                        <a:noFill/>
                      </a:ln>
                    </wps:spPr>
                    <wps:txbx>
                      <w:txbxContent>
                        <w:p w14:paraId="2C342AED">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10</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71.1pt;height:11pt;width:20.75pt;mso-position-horizontal-relative:page;mso-position-vertical-relative:page;z-index:-251653120;mso-width-relative:page;mso-height-relative:page;" filled="f" stroked="f" coordsize="21600,21600" o:gfxdata="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wNDm32gAAAA0BAAAPAAAAAAAAAAEA&#10;IAAAACIAAABkcnMvZG93bnJldi54bWxQSwECFAAUAAAACACHTuJAURBsqg0CAAAEBAAADgAAAAAA&#10;AAABACAAAAApAQAAZHJzL2Uyb0RvYy54bWxQSwUGAAAAAAYABgBZAQAAqAUAAAAA&#10;">
              <v:fill on="f" focussize="0,0"/>
              <v:stroke on="f"/>
              <v:imagedata o:title=""/>
              <o:lock v:ext="edit" aspectratio="f"/>
              <v:textbox inset="0mm,0mm,0mm,0mm">
                <w:txbxContent>
                  <w:p w14:paraId="2C342AED">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10</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4BE8A">
    <w:pPr>
      <w:pStyle w:val="5"/>
      <w:spacing w:line="14" w:lineRule="auto"/>
      <w:rPr>
        <w:sz w:val="2"/>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evenAndOddHeaders w:val="1"/>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4"/>
  </w:compat>
  <w:rsids>
    <w:rsidRoot w:val="005C1D8A"/>
    <w:rsid w:val="00264266"/>
    <w:rsid w:val="003B3755"/>
    <w:rsid w:val="005C1D8A"/>
    <w:rsid w:val="00E7599E"/>
    <w:rsid w:val="486140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仿宋_GB2312" w:hAnsi="仿宋_GB2312" w:eastAsia="仿宋_GB2312" w:cs="仿宋_GB2312"/>
      <w:sz w:val="22"/>
      <w:szCs w:val="22"/>
      <w:lang w:val="en-US" w:eastAsia="zh-CN" w:bidi="ar-SA"/>
    </w:rPr>
  </w:style>
  <w:style w:type="paragraph" w:styleId="2">
    <w:name w:val="heading 1"/>
    <w:basedOn w:val="1"/>
    <w:qFormat/>
    <w:uiPriority w:val="9"/>
    <w:pPr>
      <w:ind w:left="441" w:right="568"/>
      <w:jc w:val="center"/>
      <w:outlineLvl w:val="0"/>
    </w:pPr>
    <w:rPr>
      <w:rFonts w:ascii="方正小标宋_GBK" w:hAnsi="方正小标宋_GBK" w:eastAsia="方正小标宋_GBK" w:cs="方正小标宋_GBK"/>
      <w:sz w:val="44"/>
      <w:szCs w:val="44"/>
    </w:rPr>
  </w:style>
  <w:style w:type="paragraph" w:styleId="3">
    <w:name w:val="heading 2"/>
    <w:basedOn w:val="1"/>
    <w:next w:val="1"/>
    <w:link w:val="16"/>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7"/>
    <w:semiHidden/>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5">
    <w:name w:val="Body Text"/>
    <w:basedOn w:val="1"/>
    <w:qFormat/>
    <w:uiPriority w:val="1"/>
    <w:rPr>
      <w:sz w:val="32"/>
      <w:szCs w:val="32"/>
    </w:rPr>
  </w:style>
  <w:style w:type="paragraph" w:styleId="6">
    <w:name w:val="footer"/>
    <w:basedOn w:val="1"/>
    <w:link w:val="15"/>
    <w:unhideWhenUsed/>
    <w:qFormat/>
    <w:uiPriority w:val="99"/>
    <w:pPr>
      <w:tabs>
        <w:tab w:val="center" w:pos="4153"/>
        <w:tab w:val="right" w:pos="8306"/>
      </w:tabs>
      <w:snapToGrid w:val="0"/>
    </w:pPr>
    <w:rPr>
      <w:sz w:val="18"/>
      <w:szCs w:val="18"/>
    </w:rPr>
  </w:style>
  <w:style w:type="paragraph" w:styleId="7">
    <w:name w:val="header"/>
    <w:basedOn w:val="1"/>
    <w:link w:val="14"/>
    <w:unhideWhenUsed/>
    <w:uiPriority w:val="99"/>
    <w:pPr>
      <w:pBdr>
        <w:bottom w:val="single" w:color="auto" w:sz="6" w:space="1"/>
      </w:pBdr>
      <w:tabs>
        <w:tab w:val="center" w:pos="4153"/>
        <w:tab w:val="right" w:pos="8306"/>
      </w:tabs>
      <w:snapToGrid w:val="0"/>
      <w:jc w:val="center"/>
    </w:pPr>
    <w:rPr>
      <w:sz w:val="18"/>
      <w:szCs w:val="18"/>
    </w:rPr>
  </w:style>
  <w:style w:type="paragraph" w:styleId="8">
    <w:name w:val="Title"/>
    <w:basedOn w:val="1"/>
    <w:qFormat/>
    <w:uiPriority w:val="10"/>
    <w:pPr>
      <w:spacing w:before="144"/>
      <w:ind w:left="441" w:right="563"/>
      <w:jc w:val="center"/>
    </w:pPr>
    <w:rPr>
      <w:rFonts w:ascii="宋体" w:hAnsi="宋体" w:eastAsia="宋体" w:cs="宋体"/>
      <w:sz w:val="96"/>
      <w:szCs w:val="96"/>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style>
  <w:style w:type="paragraph" w:customStyle="1" w:styleId="13">
    <w:name w:val="Table Paragraph"/>
    <w:basedOn w:val="1"/>
    <w:qFormat/>
    <w:uiPriority w:val="1"/>
    <w:pPr>
      <w:spacing w:before="148"/>
      <w:jc w:val="right"/>
    </w:pPr>
  </w:style>
  <w:style w:type="character" w:customStyle="1" w:styleId="14">
    <w:name w:val="页眉 字符"/>
    <w:basedOn w:val="10"/>
    <w:link w:val="7"/>
    <w:uiPriority w:val="99"/>
    <w:rPr>
      <w:rFonts w:ascii="仿宋_GB2312" w:hAnsi="仿宋_GB2312" w:eastAsia="仿宋_GB2312" w:cs="仿宋_GB2312"/>
      <w:sz w:val="18"/>
      <w:szCs w:val="18"/>
      <w:lang w:eastAsia="zh-CN"/>
    </w:rPr>
  </w:style>
  <w:style w:type="character" w:customStyle="1" w:styleId="15">
    <w:name w:val="页脚 字符"/>
    <w:basedOn w:val="10"/>
    <w:link w:val="6"/>
    <w:uiPriority w:val="99"/>
    <w:rPr>
      <w:rFonts w:ascii="仿宋_GB2312" w:hAnsi="仿宋_GB2312" w:eastAsia="仿宋_GB2312" w:cs="仿宋_GB2312"/>
      <w:sz w:val="18"/>
      <w:szCs w:val="18"/>
      <w:lang w:eastAsia="zh-CN"/>
    </w:rPr>
  </w:style>
  <w:style w:type="character" w:customStyle="1" w:styleId="16">
    <w:name w:val="标题 2 字符"/>
    <w:basedOn w:val="10"/>
    <w:link w:val="3"/>
    <w:semiHidden/>
    <w:uiPriority w:val="9"/>
    <w:rPr>
      <w:rFonts w:asciiTheme="majorHAnsi" w:hAnsiTheme="majorHAnsi" w:eastAsiaTheme="majorEastAsia" w:cstheme="majorBidi"/>
      <w:b/>
      <w:bCs/>
      <w:sz w:val="32"/>
      <w:szCs w:val="32"/>
      <w:lang w:eastAsia="zh-CN"/>
    </w:rPr>
  </w:style>
  <w:style w:type="character" w:customStyle="1" w:styleId="17">
    <w:name w:val="标题 3 字符"/>
    <w:basedOn w:val="10"/>
    <w:link w:val="4"/>
    <w:semiHidden/>
    <w:uiPriority w:val="9"/>
    <w:rPr>
      <w:rFonts w:ascii="仿宋_GB2312" w:hAnsi="仿宋_GB2312" w:eastAsia="仿宋_GB2312" w:cs="仿宋_GB2312"/>
      <w:b/>
      <w:bCs/>
      <w:sz w:val="32"/>
      <w:szCs w:val="32"/>
      <w:lang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3" Type="http://schemas.openxmlformats.org/officeDocument/2006/relationships/fontTable" Target="fontTable.xml"/><Relationship Id="rId52" Type="http://schemas.openxmlformats.org/officeDocument/2006/relationships/customXml" Target="../customXml/item1.xml"/><Relationship Id="rId51" Type="http://schemas.openxmlformats.org/officeDocument/2006/relationships/image" Target="media/image5.jpeg"/><Relationship Id="rId50" Type="http://schemas.openxmlformats.org/officeDocument/2006/relationships/image" Target="media/image4.jpeg"/><Relationship Id="rId5" Type="http://schemas.openxmlformats.org/officeDocument/2006/relationships/footer" Target="footer3.xml"/><Relationship Id="rId49" Type="http://schemas.openxmlformats.org/officeDocument/2006/relationships/image" Target="media/image3.png"/><Relationship Id="rId48" Type="http://schemas.openxmlformats.org/officeDocument/2006/relationships/image" Target="media/image2.jpeg"/><Relationship Id="rId47" Type="http://schemas.openxmlformats.org/officeDocument/2006/relationships/image" Target="media/image1.png"/><Relationship Id="rId46" Type="http://schemas.openxmlformats.org/officeDocument/2006/relationships/theme" Target="theme/theme1.xml"/><Relationship Id="rId45" Type="http://schemas.openxmlformats.org/officeDocument/2006/relationships/footer" Target="footer43.xml"/><Relationship Id="rId44" Type="http://schemas.openxmlformats.org/officeDocument/2006/relationships/footer" Target="footer42.xml"/><Relationship Id="rId43" Type="http://schemas.openxmlformats.org/officeDocument/2006/relationships/footer" Target="footer41.xml"/><Relationship Id="rId42" Type="http://schemas.openxmlformats.org/officeDocument/2006/relationships/footer" Target="footer40.xml"/><Relationship Id="rId41" Type="http://schemas.openxmlformats.org/officeDocument/2006/relationships/footer" Target="footer39.xml"/><Relationship Id="rId40" Type="http://schemas.openxmlformats.org/officeDocument/2006/relationships/footer" Target="footer38.xml"/><Relationship Id="rId4" Type="http://schemas.openxmlformats.org/officeDocument/2006/relationships/footer" Target="footer2.xml"/><Relationship Id="rId39" Type="http://schemas.openxmlformats.org/officeDocument/2006/relationships/footer" Target="footer37.xml"/><Relationship Id="rId38" Type="http://schemas.openxmlformats.org/officeDocument/2006/relationships/footer" Target="footer36.xml"/><Relationship Id="rId37" Type="http://schemas.openxmlformats.org/officeDocument/2006/relationships/footer" Target="footer35.xml"/><Relationship Id="rId36" Type="http://schemas.openxmlformats.org/officeDocument/2006/relationships/footer" Target="footer34.xml"/><Relationship Id="rId35" Type="http://schemas.openxmlformats.org/officeDocument/2006/relationships/footer" Target="footer33.xml"/><Relationship Id="rId34" Type="http://schemas.openxmlformats.org/officeDocument/2006/relationships/footer" Target="footer32.xml"/><Relationship Id="rId33" Type="http://schemas.openxmlformats.org/officeDocument/2006/relationships/footer" Target="footer31.xml"/><Relationship Id="rId32" Type="http://schemas.openxmlformats.org/officeDocument/2006/relationships/footer" Target="footer30.xml"/><Relationship Id="rId31" Type="http://schemas.openxmlformats.org/officeDocument/2006/relationships/footer" Target="footer29.xml"/><Relationship Id="rId30" Type="http://schemas.openxmlformats.org/officeDocument/2006/relationships/footer" Target="footer28.xml"/><Relationship Id="rId3" Type="http://schemas.openxmlformats.org/officeDocument/2006/relationships/footer" Target="footer1.xml"/><Relationship Id="rId29" Type="http://schemas.openxmlformats.org/officeDocument/2006/relationships/footer" Target="footer27.xml"/><Relationship Id="rId28" Type="http://schemas.openxmlformats.org/officeDocument/2006/relationships/footer" Target="footer26.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49"/>
    <customShpInfo spid="_x0000_s102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97"/>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171</Pages>
  <Words>2429</Words>
  <Characters>2802</Characters>
  <Lines>624</Lines>
  <Paragraphs>175</Paragraphs>
  <TotalTime>7</TotalTime>
  <ScaleCrop>false</ScaleCrop>
  <LinksUpToDate>false</LinksUpToDate>
  <CharactersWithSpaces>3097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2024-11-18T03:25:00Z</dcterms:created>
  <dc:creator>002</dc:creator>
  <cp:lastModifiedBy>微信用户</cp:lastModifiedBy>
  <dcterms:modified xsi:type="dcterms:W3CDTF">2024-11-18T06:43:20Z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066BEB6A27104FE0854C8CE38754AA80_12</vt:lpwstr>
  </property>
</Properties>
</file>