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C9B63">
      <w:pPr>
        <w:widowControl/>
        <w:adjustRightInd w:val="0"/>
        <w:snapToGrid w:val="0"/>
        <w:ind w:left="-19" w:leftChars="-9" w:firstLine="0" w:firstLineChars="0"/>
        <w:jc w:val="left"/>
        <w:rPr>
          <w:rFonts w:hint="eastAsia" w:ascii="黑体" w:hAnsi="黑体" w:eastAsia="黑体" w:cs="黑体"/>
          <w:b w:val="0"/>
          <w:kern w:val="1"/>
          <w:sz w:val="32"/>
          <w:szCs w:val="32"/>
          <w:lang w:val="en-US" w:eastAsia="zh-CN" w:bidi="ar-SA"/>
        </w:rPr>
      </w:pPr>
      <w:bookmarkStart w:id="3" w:name="_GoBack"/>
      <w:bookmarkEnd w:id="3"/>
      <w:r>
        <w:rPr>
          <w:rFonts w:hint="eastAsia" w:ascii="黑体" w:hAnsi="黑体" w:eastAsia="黑体" w:cs="黑体"/>
          <w:b w:val="0"/>
          <w:kern w:val="1"/>
          <w:sz w:val="32"/>
          <w:szCs w:val="32"/>
          <w:lang w:val="en-US" w:eastAsia="zh-CN" w:bidi="ar-SA"/>
        </w:rPr>
        <w:t>附件3：</w:t>
      </w:r>
    </w:p>
    <w:p w14:paraId="18418BE7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leftChars="0" w:right="0" w:rightChars="0" w:firstLine="0" w:firstLineChars="0"/>
        <w:textAlignment w:val="auto"/>
        <w:rPr>
          <w:rFonts w:hint="eastAsia"/>
          <w:lang w:val="en-US" w:eastAsia="zh-CN"/>
        </w:rPr>
      </w:pPr>
    </w:p>
    <w:p w14:paraId="1374146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w w:val="100"/>
          <w:sz w:val="44"/>
          <w:szCs w:val="44"/>
          <w:lang w:val="en-US" w:eastAsia="zh-CN"/>
        </w:rPr>
        <w:t>良田镇现代农业产业融合示范园设施温棚建设项目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 w:bidi="ar-SA"/>
        </w:rPr>
        <w:t>实施方案</w:t>
      </w:r>
    </w:p>
    <w:p w14:paraId="181C832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 w:bidi="ar-SA"/>
        </w:rPr>
      </w:pPr>
    </w:p>
    <w:p w14:paraId="7D742D01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一、项目名称：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良田镇现代农业产业融合示范园设施温棚建设项目</w:t>
      </w:r>
    </w:p>
    <w:p w14:paraId="1C19EDB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二、项目类别：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产业发展项目</w:t>
      </w:r>
    </w:p>
    <w:p w14:paraId="3EAAE11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三、项目建设性质：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新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建</w:t>
      </w:r>
    </w:p>
    <w:p w14:paraId="3B1965F4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四、项目建设地址：</w:t>
      </w:r>
      <w:bookmarkStart w:id="0" w:name="_Toc30720"/>
      <w:bookmarkStart w:id="1" w:name="_Toc22547"/>
      <w:bookmarkStart w:id="2" w:name="_Toc26285"/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金凤区良田镇</w:t>
      </w:r>
      <w:bookmarkEnd w:id="0"/>
      <w:bookmarkEnd w:id="1"/>
      <w:bookmarkEnd w:id="2"/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光明村示范园区</w:t>
      </w:r>
    </w:p>
    <w:p w14:paraId="2DBD816B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五、项目监管单位：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金凤区乡村振兴局</w:t>
      </w:r>
    </w:p>
    <w:p w14:paraId="54D4890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六</w:t>
      </w:r>
      <w:r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、项目主管单位：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良田镇人民政府</w:t>
      </w:r>
    </w:p>
    <w:p w14:paraId="54EE91A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七、项目建设规模及主要内容</w:t>
      </w:r>
    </w:p>
    <w:p w14:paraId="19ECD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</w:pP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用于良田镇光明村工厂化育苗基地四期建设项目西侧(距离产业四期温室西山墙</w:t>
      </w:r>
      <w:r>
        <w:rPr>
          <w:rFonts w:hint="eastAsia" w:ascii="仿宋" w:hAnsi="仿宋" w:eastAsia="仿宋" w:cs="仿宋"/>
          <w:b w:val="0"/>
          <w:kern w:val="1"/>
          <w:sz w:val="32"/>
          <w:szCs w:val="32"/>
          <w:lang w:val="en-US" w:eastAsia="zh-CN" w:bidi="ar-SA"/>
        </w:rPr>
        <w:t>4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米)，高压输电线路两侧建设</w:t>
      </w:r>
      <w:r>
        <w:rPr>
          <w:rFonts w:hint="default" w:ascii="仿宋" w:hAnsi="仿宋" w:eastAsia="仿宋" w:cs="仿宋"/>
          <w:b w:val="0"/>
          <w:kern w:val="1"/>
          <w:sz w:val="32"/>
          <w:szCs w:val="32"/>
          <w:lang w:val="en-US" w:eastAsia="zh-CN" w:bidi="ar-SA"/>
        </w:rPr>
        <w:t>84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米*</w:t>
      </w:r>
      <w:r>
        <w:rPr>
          <w:rFonts w:hint="default" w:ascii="仿宋" w:hAnsi="仿宋" w:eastAsia="仿宋" w:cs="仿宋"/>
          <w:b w:val="0"/>
          <w:kern w:val="1"/>
          <w:sz w:val="32"/>
          <w:szCs w:val="32"/>
          <w:lang w:val="en-US" w:eastAsia="zh-CN" w:bidi="ar-SA"/>
        </w:rPr>
        <w:t>18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米拱棚</w:t>
      </w:r>
      <w:r>
        <w:rPr>
          <w:rFonts w:hint="default" w:ascii="仿宋" w:hAnsi="仿宋" w:eastAsia="仿宋" w:cs="仿宋"/>
          <w:b w:val="0"/>
          <w:kern w:val="1"/>
          <w:sz w:val="32"/>
          <w:szCs w:val="32"/>
          <w:lang w:val="en-US" w:eastAsia="zh-CN" w:bidi="ar-SA"/>
        </w:rPr>
        <w:t>16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栋，</w:t>
      </w:r>
      <w:r>
        <w:rPr>
          <w:rFonts w:hint="default" w:ascii="仿宋" w:hAnsi="仿宋" w:eastAsia="仿宋" w:cs="仿宋"/>
          <w:b w:val="0"/>
          <w:kern w:val="1"/>
          <w:sz w:val="32"/>
          <w:szCs w:val="32"/>
          <w:lang w:val="en-US" w:eastAsia="zh-CN" w:bidi="ar-SA"/>
        </w:rPr>
        <w:t>100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米*</w:t>
      </w:r>
      <w:r>
        <w:rPr>
          <w:rFonts w:hint="default" w:ascii="仿宋" w:hAnsi="仿宋" w:eastAsia="仿宋" w:cs="仿宋"/>
          <w:b w:val="0"/>
          <w:kern w:val="1"/>
          <w:sz w:val="32"/>
          <w:szCs w:val="32"/>
          <w:lang w:val="en-US" w:eastAsia="zh-CN" w:bidi="ar-SA"/>
        </w:rPr>
        <w:t>18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米拱棚</w:t>
      </w:r>
      <w:r>
        <w:rPr>
          <w:rFonts w:hint="default" w:ascii="仿宋" w:hAnsi="仿宋" w:eastAsia="仿宋" w:cs="仿宋"/>
          <w:b w:val="0"/>
          <w:kern w:val="1"/>
          <w:sz w:val="32"/>
          <w:szCs w:val="32"/>
          <w:lang w:val="en-US" w:eastAsia="zh-CN" w:bidi="ar-SA"/>
        </w:rPr>
        <w:t>4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栋，共设施计建设拱棚</w:t>
      </w:r>
      <w:r>
        <w:rPr>
          <w:rFonts w:hint="default" w:ascii="仿宋" w:hAnsi="仿宋" w:eastAsia="仿宋" w:cs="仿宋"/>
          <w:b w:val="0"/>
          <w:kern w:val="1"/>
          <w:sz w:val="32"/>
          <w:szCs w:val="32"/>
          <w:lang w:val="en-US" w:eastAsia="zh-CN" w:bidi="ar-SA"/>
        </w:rPr>
        <w:t>20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栋合计</w:t>
      </w:r>
      <w:r>
        <w:rPr>
          <w:rFonts w:hint="default" w:ascii="仿宋" w:hAnsi="仿宋" w:eastAsia="仿宋" w:cs="仿宋"/>
          <w:b w:val="0"/>
          <w:kern w:val="1"/>
          <w:sz w:val="32"/>
          <w:szCs w:val="32"/>
          <w:lang w:val="en-US" w:eastAsia="zh-CN" w:bidi="ar-SA"/>
        </w:rPr>
        <w:t>31392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㎡。</w:t>
      </w:r>
    </w:p>
    <w:p w14:paraId="116B6D0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八</w:t>
      </w:r>
      <w:r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、项目资金概算及资金筹措</w:t>
      </w:r>
    </w:p>
    <w:p w14:paraId="5EE17072"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项目总投资概算</w:t>
      </w:r>
      <w:r>
        <w:rPr>
          <w:rFonts w:hint="eastAsia" w:ascii="仿宋" w:hAnsi="仿宋" w:eastAsia="仿宋" w:cs="仿宋"/>
          <w:b w:val="0"/>
          <w:kern w:val="1"/>
          <w:sz w:val="32"/>
          <w:szCs w:val="32"/>
          <w:lang w:val="en-US" w:eastAsia="zh-CN" w:bidi="ar-SA"/>
        </w:rPr>
        <w:t>602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万元。资金来源自治区衔接资金</w:t>
      </w:r>
      <w:r>
        <w:rPr>
          <w:rFonts w:hint="eastAsia" w:ascii="仿宋" w:hAnsi="仿宋" w:eastAsia="仿宋" w:cs="仿宋"/>
          <w:b w:val="0"/>
          <w:kern w:val="1"/>
          <w:sz w:val="32"/>
          <w:szCs w:val="32"/>
          <w:lang w:val="en-US" w:eastAsia="zh-CN" w:bidi="ar-SA"/>
        </w:rPr>
        <w:t>130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万包括壮大村集体任务资金</w:t>
      </w:r>
      <w:r>
        <w:rPr>
          <w:rFonts w:hint="eastAsia" w:ascii="仿宋" w:hAnsi="仿宋" w:eastAsia="仿宋" w:cs="仿宋"/>
          <w:b w:val="0"/>
          <w:kern w:val="1"/>
          <w:sz w:val="32"/>
          <w:szCs w:val="32"/>
          <w:lang w:val="en-US" w:eastAsia="zh-CN" w:bidi="ar-SA"/>
        </w:rPr>
        <w:t>30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万元，其他资金</w:t>
      </w:r>
      <w:r>
        <w:rPr>
          <w:rFonts w:hint="eastAsia" w:ascii="仿宋" w:hAnsi="仿宋" w:eastAsia="仿宋" w:cs="仿宋"/>
          <w:b w:val="0"/>
          <w:kern w:val="1"/>
          <w:sz w:val="32"/>
          <w:szCs w:val="32"/>
          <w:lang w:val="en-US" w:eastAsia="zh-CN" w:bidi="ar-SA"/>
        </w:rPr>
        <w:t>472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万为第一批已安排的少数民族发展资金</w:t>
      </w:r>
      <w:r>
        <w:rPr>
          <w:rFonts w:hint="eastAsia" w:ascii="仿宋" w:hAnsi="仿宋" w:eastAsia="仿宋" w:cs="仿宋"/>
          <w:b w:val="0"/>
          <w:kern w:val="1"/>
          <w:sz w:val="32"/>
          <w:szCs w:val="32"/>
          <w:lang w:val="en-US" w:eastAsia="zh-CN" w:bidi="ar-SA"/>
        </w:rPr>
        <w:t>300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万元，良田镇剩余钢架设计测算</w:t>
      </w:r>
      <w:r>
        <w:rPr>
          <w:rFonts w:hint="eastAsia" w:ascii="仿宋" w:hAnsi="仿宋" w:eastAsia="仿宋" w:cs="仿宋"/>
          <w:b w:val="0"/>
          <w:kern w:val="1"/>
          <w:sz w:val="32"/>
          <w:szCs w:val="32"/>
          <w:lang w:val="en-US" w:eastAsia="zh-CN" w:bidi="ar-SA"/>
        </w:rPr>
        <w:t>172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万元。</w:t>
      </w:r>
    </w:p>
    <w:p w14:paraId="6113685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九、项目建设时间安排</w:t>
      </w:r>
    </w:p>
    <w:p w14:paraId="7B64A353"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项目预计于</w:t>
      </w:r>
      <w:r>
        <w:rPr>
          <w:rFonts w:hint="eastAsia" w:ascii="仿宋" w:hAnsi="仿宋" w:eastAsia="仿宋" w:cs="仿宋"/>
          <w:b w:val="0"/>
          <w:kern w:val="1"/>
          <w:sz w:val="32"/>
          <w:szCs w:val="32"/>
          <w:lang w:val="en-US" w:eastAsia="zh-CN" w:bidi="ar-SA"/>
        </w:rPr>
        <w:t>2024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年建成并投入使用。</w:t>
      </w:r>
    </w:p>
    <w:p w14:paraId="5BB293A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十、项目运营机制</w:t>
      </w:r>
    </w:p>
    <w:p w14:paraId="0AA73A9E">
      <w:pPr>
        <w:pStyle w:val="4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textAlignment w:val="auto"/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项目主要由村上报，镇审核，良田镇牵头相关职能部门，争取政府财政支持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，</w:t>
      </w:r>
      <w:r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金凤区审核完成工作备案，按计划实施。</w:t>
      </w:r>
    </w:p>
    <w:p w14:paraId="1768CCF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十一、项目绩效分析</w:t>
      </w:r>
    </w:p>
    <w:p w14:paraId="5146C139"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项目确保水肥</w:t>
      </w:r>
      <w:r>
        <w:rPr>
          <w:rFonts w:hint="eastAsia" w:ascii="仿宋_GB2312" w:hAnsi="仿宋_GB2312" w:eastAsia="仿宋_GB2312" w:cs="仿宋_GB2312"/>
          <w:b w:val="0"/>
          <w:kern w:val="1"/>
          <w:sz w:val="32"/>
          <w:szCs w:val="32"/>
          <w:lang w:val="en-US" w:eastAsia="zh-CN" w:bidi="ar-SA"/>
        </w:rPr>
        <w:t>一体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化配套率达到</w:t>
      </w:r>
      <w:r>
        <w:rPr>
          <w:rFonts w:hint="eastAsia" w:ascii="仿宋" w:hAnsi="仿宋" w:eastAsia="仿宋" w:cs="仿宋"/>
          <w:b w:val="0"/>
          <w:kern w:val="1"/>
          <w:sz w:val="32"/>
          <w:szCs w:val="32"/>
          <w:lang w:val="en-US" w:eastAsia="zh-CN" w:bidi="ar-SA"/>
        </w:rPr>
        <w:t>100%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，生产范围扩展至</w:t>
      </w:r>
      <w:r>
        <w:rPr>
          <w:rFonts w:hint="eastAsia" w:ascii="仿宋" w:hAnsi="仿宋" w:eastAsia="仿宋" w:cs="仿宋"/>
          <w:b w:val="0"/>
          <w:kern w:val="1"/>
          <w:sz w:val="32"/>
          <w:szCs w:val="32"/>
          <w:lang w:val="en-US" w:eastAsia="zh-CN" w:bidi="ar-SA"/>
        </w:rPr>
        <w:t>2.5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公里，新建的附属设施棚</w:t>
      </w:r>
      <w:r>
        <w:rPr>
          <w:rFonts w:hint="eastAsia" w:ascii="仿宋" w:hAnsi="仿宋" w:eastAsia="仿宋" w:cs="仿宋"/>
          <w:b w:val="0"/>
          <w:kern w:val="1"/>
          <w:sz w:val="32"/>
          <w:szCs w:val="32"/>
          <w:lang w:val="en-US" w:eastAsia="zh-CN" w:bidi="ar-SA"/>
        </w:rPr>
        <w:t>1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座，进一步完善了园区的服务设施。该项目的建设周期控制在三个月内，确保项目的高效推进和高质量完成。项目实施后，预计将惠及超过</w:t>
      </w:r>
      <w:r>
        <w:rPr>
          <w:rFonts w:hint="eastAsia" w:ascii="仿宋" w:hAnsi="仿宋" w:eastAsia="仿宋" w:cs="仿宋"/>
          <w:b w:val="0"/>
          <w:kern w:val="1"/>
          <w:sz w:val="32"/>
          <w:szCs w:val="32"/>
          <w:lang w:val="en-US" w:eastAsia="zh-CN" w:bidi="ar-SA"/>
        </w:rPr>
        <w:t>100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户的受益农户（含已脱贫户），同时还将为当地提供不少于</w:t>
      </w:r>
      <w:r>
        <w:rPr>
          <w:rFonts w:hint="eastAsia" w:ascii="仿宋" w:hAnsi="仿宋" w:eastAsia="仿宋" w:cs="仿宋"/>
          <w:b w:val="0"/>
          <w:kern w:val="1"/>
          <w:sz w:val="32"/>
          <w:szCs w:val="32"/>
          <w:lang w:val="en-US" w:eastAsia="zh-CN" w:bidi="ar-SA"/>
        </w:rPr>
        <w:t>20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个就近的固定就业岗位，有效促进当地经济发展和社会稳定。项目团队高度重视农户满意度，通过科学规划和精细管理，确保项目收益农户满意度达到</w:t>
      </w:r>
      <w:r>
        <w:rPr>
          <w:rFonts w:hint="eastAsia" w:ascii="仿宋" w:hAnsi="仿宋" w:eastAsia="仿宋" w:cs="仿宋"/>
          <w:b w:val="0"/>
          <w:kern w:val="1"/>
          <w:sz w:val="32"/>
          <w:szCs w:val="32"/>
          <w:lang w:val="en-US" w:eastAsia="zh-CN" w:bidi="ar-SA"/>
        </w:rPr>
        <w:t>95%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以上。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FangSong_GB2312">
    <w:altName w:val="仿宋_GB2312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C07B82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C4A038"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C4A038"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812686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4ZjljM2MwZjU1ZmE0NGMwODliZThkMGU1OTZmNWEifQ=="/>
  </w:docVars>
  <w:rsids>
    <w:rsidRoot w:val="268C4366"/>
    <w:rsid w:val="1AD732AE"/>
    <w:rsid w:val="268C4366"/>
    <w:rsid w:val="509D048F"/>
    <w:rsid w:val="62F23AC3"/>
    <w:rsid w:val="6A060DD4"/>
    <w:rsid w:val="77745F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widowControl/>
      <w:ind w:left="840" w:leftChars="400"/>
      <w:jc w:val="left"/>
      <w:outlineLvl w:val="1"/>
    </w:pPr>
    <w:rPr>
      <w:b/>
      <w:kern w:val="0"/>
      <w:sz w:val="3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</w:rPr>
  </w:style>
  <w:style w:type="paragraph" w:styleId="4">
    <w:name w:val="Normal Indent"/>
    <w:basedOn w:val="1"/>
    <w:qFormat/>
    <w:uiPriority w:val="0"/>
    <w:pPr>
      <w:ind w:firstLine="680"/>
    </w:pPr>
  </w:style>
  <w:style w:type="paragraph" w:styleId="5">
    <w:name w:val="Body Text"/>
    <w:basedOn w:val="1"/>
    <w:qFormat/>
    <w:uiPriority w:val="0"/>
    <w:pPr>
      <w:jc w:val="center"/>
    </w:pPr>
    <w:rPr>
      <w:b/>
      <w:bCs/>
      <w:sz w:val="44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615</Words>
  <Characters>652</Characters>
  <Lines>0</Lines>
  <Paragraphs>0</Paragraphs>
  <TotalTime>0</TotalTime>
  <ScaleCrop>false</ScaleCrop>
  <LinksUpToDate>false</LinksUpToDate>
  <CharactersWithSpaces>654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2024-07-05T02:32:00Z</dcterms:created>
  <dc:creator>ZUATTA</dc:creator>
  <cp:lastModifiedBy>ZUATTA</cp:lastModifiedBy>
  <dcterms:modified xsi:type="dcterms:W3CDTF">2024-07-16T08:19:58Z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E3DF68A811974041A4237507FD59C193_13</vt:lpwstr>
  </property>
</Properties>
</file>