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F0E8">
      <w:pPr>
        <w:keepNext w:val="0"/>
        <w:keepLines w:val="0"/>
        <w:widowControl/>
        <w:suppressLineNumbers w:val="0"/>
        <w:jc w:val="center"/>
      </w:pPr>
      <w:r>
        <w:rPr>
          <w:rFonts w:hint="eastAsia" w:ascii="方正小标宋_GBK" w:hAnsi="方正小标宋_GBK" w:eastAsia="方正小标宋_GBK" w:cs="方正小标宋_GBK"/>
          <w:color w:val="000000"/>
          <w:kern w:val="0"/>
          <w:sz w:val="43"/>
          <w:szCs w:val="43"/>
          <w:lang w:val="en-US" w:eastAsia="zh-CN" w:bidi="ar"/>
        </w:rPr>
        <w:t>银川市</w:t>
      </w:r>
      <w:bookmarkStart w:id="0" w:name="_GoBack"/>
      <w:bookmarkEnd w:id="0"/>
      <w:r>
        <w:rPr>
          <w:rFonts w:hint="eastAsia" w:ascii="方正小标宋_GBK" w:hAnsi="方正小标宋_GBK" w:eastAsia="方正小标宋_GBK" w:cs="方正小标宋_GBK"/>
          <w:color w:val="000000"/>
          <w:kern w:val="0"/>
          <w:sz w:val="43"/>
          <w:szCs w:val="43"/>
          <w:lang w:val="en-US" w:eastAsia="zh-CN" w:bidi="ar"/>
        </w:rPr>
        <w:t>金凤区</w:t>
      </w:r>
      <w:r>
        <w:rPr>
          <w:rFonts w:ascii="方正小标宋_GBK" w:hAnsi="方正小标宋_GBK" w:eastAsia="方正小标宋_GBK" w:cs="方正小标宋_GBK"/>
          <w:color w:val="000000"/>
          <w:kern w:val="0"/>
          <w:sz w:val="43"/>
          <w:szCs w:val="43"/>
          <w:lang w:val="en-US" w:eastAsia="zh-CN" w:bidi="ar"/>
        </w:rPr>
        <w:t>2025年度涉企行政检查计划清单</w:t>
      </w:r>
    </w:p>
    <w:tbl>
      <w:tblPr>
        <w:tblStyle w:val="4"/>
        <w:tblW w:w="1350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27"/>
        <w:gridCol w:w="1248"/>
        <w:gridCol w:w="1326"/>
        <w:gridCol w:w="4889"/>
        <w:gridCol w:w="1123"/>
        <w:gridCol w:w="1057"/>
        <w:gridCol w:w="759"/>
        <w:gridCol w:w="1164"/>
        <w:gridCol w:w="878"/>
        <w:gridCol w:w="538"/>
      </w:tblGrid>
      <w:tr w14:paraId="5FC72F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3" w:hRule="atLeast"/>
          <w:jc w:val="center"/>
        </w:trPr>
        <w:tc>
          <w:tcPr>
            <w:tcW w:w="527" w:type="dxa"/>
            <w:noWrap w:val="0"/>
            <w:vAlign w:val="center"/>
          </w:tcPr>
          <w:p w14:paraId="6F6B85D4">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序号</w:t>
            </w:r>
          </w:p>
        </w:tc>
        <w:tc>
          <w:tcPr>
            <w:tcW w:w="1248" w:type="dxa"/>
            <w:noWrap w:val="0"/>
            <w:vAlign w:val="center"/>
          </w:tcPr>
          <w:p w14:paraId="5E86BED6">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行政检查主体</w:t>
            </w:r>
          </w:p>
        </w:tc>
        <w:tc>
          <w:tcPr>
            <w:tcW w:w="1326" w:type="dxa"/>
            <w:noWrap w:val="0"/>
            <w:vAlign w:val="center"/>
          </w:tcPr>
          <w:p w14:paraId="6E1759B6">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检查事项名称</w:t>
            </w:r>
          </w:p>
        </w:tc>
        <w:tc>
          <w:tcPr>
            <w:tcW w:w="4889" w:type="dxa"/>
            <w:noWrap w:val="0"/>
            <w:vAlign w:val="center"/>
          </w:tcPr>
          <w:p w14:paraId="56600600">
            <w:pPr>
              <w:spacing w:line="240" w:lineRule="exact"/>
              <w:ind w:firstLine="360" w:firstLineChars="200"/>
              <w:jc w:val="center"/>
              <w:rPr>
                <w:rFonts w:ascii="Times New Roman" w:hAnsi="Times New Roman"/>
                <w:color w:val="000000"/>
                <w:kern w:val="0"/>
                <w:sz w:val="18"/>
                <w:szCs w:val="18"/>
                <w:lang w:bidi="ar"/>
              </w:rPr>
            </w:pPr>
            <w:r>
              <w:rPr>
                <w:rFonts w:ascii="Times New Roman" w:hAnsi="Times New Roman" w:eastAsia="黑体"/>
                <w:color w:val="000000"/>
                <w:sz w:val="18"/>
                <w:szCs w:val="18"/>
              </w:rPr>
              <w:t>检查依据</w:t>
            </w:r>
          </w:p>
        </w:tc>
        <w:tc>
          <w:tcPr>
            <w:tcW w:w="1123" w:type="dxa"/>
            <w:noWrap w:val="0"/>
            <w:vAlign w:val="center"/>
          </w:tcPr>
          <w:p w14:paraId="6014F624">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检查对象</w:t>
            </w:r>
          </w:p>
        </w:tc>
        <w:tc>
          <w:tcPr>
            <w:tcW w:w="1057" w:type="dxa"/>
            <w:noWrap w:val="0"/>
            <w:vAlign w:val="center"/>
          </w:tcPr>
          <w:p w14:paraId="2E488135">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检查时间</w:t>
            </w:r>
          </w:p>
        </w:tc>
        <w:tc>
          <w:tcPr>
            <w:tcW w:w="759" w:type="dxa"/>
            <w:noWrap w:val="0"/>
            <w:vAlign w:val="center"/>
          </w:tcPr>
          <w:p w14:paraId="53CD2986">
            <w:pPr>
              <w:spacing w:line="240" w:lineRule="exact"/>
              <w:jc w:val="center"/>
              <w:rPr>
                <w:rFonts w:ascii="Times New Roman" w:hAnsi="Times New Roman" w:eastAsia="黑体"/>
                <w:color w:val="000000"/>
                <w:sz w:val="18"/>
                <w:szCs w:val="18"/>
              </w:rPr>
            </w:pPr>
            <w:r>
              <w:rPr>
                <w:rFonts w:ascii="Times New Roman" w:hAnsi="Times New Roman" w:eastAsia="黑体"/>
                <w:color w:val="000000"/>
                <w:sz w:val="18"/>
                <w:szCs w:val="18"/>
              </w:rPr>
              <w:t>检查</w:t>
            </w:r>
          </w:p>
          <w:p w14:paraId="5DC19971">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比例</w:t>
            </w:r>
          </w:p>
        </w:tc>
        <w:tc>
          <w:tcPr>
            <w:tcW w:w="1164" w:type="dxa"/>
            <w:noWrap w:val="0"/>
            <w:vAlign w:val="center"/>
          </w:tcPr>
          <w:p w14:paraId="5CCCC5EC">
            <w:pPr>
              <w:spacing w:line="240" w:lineRule="exact"/>
              <w:jc w:val="center"/>
              <w:rPr>
                <w:rFonts w:ascii="Times New Roman" w:hAnsi="Times New Roman" w:eastAsia="黑体"/>
                <w:color w:val="000000"/>
                <w:sz w:val="18"/>
                <w:szCs w:val="18"/>
              </w:rPr>
            </w:pPr>
            <w:r>
              <w:rPr>
                <w:rFonts w:ascii="Times New Roman" w:hAnsi="Times New Roman" w:eastAsia="黑体"/>
                <w:color w:val="000000"/>
                <w:sz w:val="18"/>
                <w:szCs w:val="18"/>
              </w:rPr>
              <w:t>同一企业检查</w:t>
            </w:r>
          </w:p>
          <w:p w14:paraId="274465FC">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频次</w:t>
            </w:r>
          </w:p>
        </w:tc>
        <w:tc>
          <w:tcPr>
            <w:tcW w:w="878" w:type="dxa"/>
            <w:noWrap w:val="0"/>
            <w:vAlign w:val="center"/>
          </w:tcPr>
          <w:p w14:paraId="6B2D5CF9">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可联合检查部门</w:t>
            </w:r>
          </w:p>
        </w:tc>
        <w:tc>
          <w:tcPr>
            <w:tcW w:w="538" w:type="dxa"/>
            <w:noWrap w:val="0"/>
            <w:vAlign w:val="center"/>
          </w:tcPr>
          <w:p w14:paraId="0FAF055B">
            <w:pPr>
              <w:spacing w:line="240" w:lineRule="exact"/>
              <w:jc w:val="center"/>
              <w:rPr>
                <w:rFonts w:ascii="Times New Roman" w:hAnsi="Times New Roman"/>
                <w:color w:val="000000"/>
                <w:kern w:val="0"/>
                <w:sz w:val="18"/>
                <w:szCs w:val="18"/>
                <w:lang w:bidi="ar"/>
              </w:rPr>
            </w:pPr>
            <w:r>
              <w:rPr>
                <w:rFonts w:ascii="Times New Roman" w:hAnsi="Times New Roman" w:eastAsia="黑体"/>
                <w:color w:val="000000"/>
                <w:sz w:val="18"/>
                <w:szCs w:val="18"/>
              </w:rPr>
              <w:t>备注</w:t>
            </w:r>
          </w:p>
        </w:tc>
      </w:tr>
      <w:tr w14:paraId="3B46F8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49" w:hRule="atLeast"/>
          <w:jc w:val="center"/>
        </w:trPr>
        <w:tc>
          <w:tcPr>
            <w:tcW w:w="527" w:type="dxa"/>
            <w:noWrap w:val="0"/>
            <w:vAlign w:val="center"/>
          </w:tcPr>
          <w:p w14:paraId="089104B2">
            <w:pPr>
              <w:spacing w:line="240" w:lineRule="exact"/>
              <w:jc w:val="center"/>
              <w:rPr>
                <w:rFonts w:hint="eastAsia"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1</w:t>
            </w:r>
          </w:p>
        </w:tc>
        <w:tc>
          <w:tcPr>
            <w:tcW w:w="1248" w:type="dxa"/>
            <w:noWrap w:val="0"/>
            <w:vAlign w:val="center"/>
          </w:tcPr>
          <w:p w14:paraId="12064133">
            <w:pPr>
              <w:spacing w:line="240" w:lineRule="exact"/>
              <w:jc w:val="center"/>
              <w:rPr>
                <w:rFonts w:hint="eastAsia"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金凤区发展和改革局</w:t>
            </w:r>
          </w:p>
        </w:tc>
        <w:tc>
          <w:tcPr>
            <w:tcW w:w="1326" w:type="dxa"/>
            <w:shd w:val="clear" w:color="auto" w:fill="auto"/>
            <w:noWrap w:val="0"/>
            <w:vAlign w:val="center"/>
          </w:tcPr>
          <w:p w14:paraId="38A4AE44">
            <w:pPr>
              <w:spacing w:beforeLines="0" w:afterLines="0" w:line="320" w:lineRule="exact"/>
              <w:rPr>
                <w:rFonts w:hint="eastAsia" w:ascii="宋体" w:hAnsi="宋体" w:eastAsia="宋体" w:cs="宋体"/>
                <w:kern w:val="2"/>
                <w:sz w:val="20"/>
                <w:szCs w:val="20"/>
                <w:lang w:val="en-US" w:eastAsia="zh-CN" w:bidi="ar-SA"/>
              </w:rPr>
            </w:pPr>
            <w:r>
              <w:rPr>
                <w:rFonts w:hint="eastAsia" w:ascii="宋体" w:hAnsi="宋体" w:eastAsia="宋体" w:cs="宋体"/>
                <w:color w:val="auto"/>
                <w:kern w:val="0"/>
                <w:sz w:val="20"/>
                <w:szCs w:val="20"/>
                <w:lang w:val="en-US" w:eastAsia="zh-CN"/>
              </w:rPr>
              <w:t>对粮食收购市场监督检查，以及未按规定使用运输工具的监督检查</w:t>
            </w:r>
          </w:p>
        </w:tc>
        <w:tc>
          <w:tcPr>
            <w:tcW w:w="4889" w:type="dxa"/>
            <w:shd w:val="clear" w:color="auto" w:fill="auto"/>
            <w:noWrap w:val="0"/>
            <w:vAlign w:val="center"/>
          </w:tcPr>
          <w:p w14:paraId="257FB8C9">
            <w:pPr>
              <w:keepNext w:val="0"/>
              <w:keepLines w:val="0"/>
              <w:pageBreakBefore w:val="0"/>
              <w:widowControl/>
              <w:kinsoku/>
              <w:wordWrap/>
              <w:overflowPunct/>
              <w:topLinePunct w:val="0"/>
              <w:autoSpaceDE/>
              <w:autoSpaceDN/>
              <w:bidi w:val="0"/>
              <w:adjustRightInd/>
              <w:snapToGrid/>
              <w:spacing w:line="144" w:lineRule="auto"/>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color w:val="auto"/>
                <w:kern w:val="0"/>
                <w:sz w:val="20"/>
                <w:szCs w:val="20"/>
                <w:lang w:val="en-US" w:eastAsia="zh-CN"/>
              </w:rPr>
              <w:t>《中华人民共和国粮食安全保障法》（2023年）《粮食流通管理条例》（2021年国务院令第740号修订）</w:t>
            </w:r>
          </w:p>
        </w:tc>
        <w:tc>
          <w:tcPr>
            <w:tcW w:w="1123" w:type="dxa"/>
            <w:shd w:val="clear" w:color="auto" w:fill="auto"/>
            <w:noWrap w:val="0"/>
            <w:vAlign w:val="center"/>
          </w:tcPr>
          <w:p w14:paraId="75640B85">
            <w:pPr>
              <w:spacing w:beforeLines="0" w:afterLines="0" w:line="320" w:lineRule="exact"/>
              <w:rPr>
                <w:rFonts w:hint="eastAsia" w:ascii="宋体" w:hAnsi="宋体" w:eastAsia="宋体" w:cs="宋体"/>
                <w:kern w:val="2"/>
                <w:sz w:val="20"/>
                <w:szCs w:val="20"/>
                <w:lang w:val="en-US" w:eastAsia="zh-CN" w:bidi="ar-SA"/>
              </w:rPr>
            </w:pPr>
            <w:r>
              <w:rPr>
                <w:rFonts w:hint="eastAsia" w:ascii="宋体" w:hAnsi="宋体" w:eastAsia="宋体" w:cs="宋体"/>
                <w:color w:val="auto"/>
                <w:kern w:val="0"/>
                <w:sz w:val="20"/>
                <w:szCs w:val="20"/>
                <w:lang w:val="en-US" w:eastAsia="zh-CN"/>
              </w:rPr>
              <w:t>粮食收购企业、粮油运输企业</w:t>
            </w:r>
          </w:p>
        </w:tc>
        <w:tc>
          <w:tcPr>
            <w:tcW w:w="1057" w:type="dxa"/>
            <w:shd w:val="clear" w:color="auto" w:fill="auto"/>
            <w:noWrap w:val="0"/>
            <w:vAlign w:val="center"/>
          </w:tcPr>
          <w:p w14:paraId="0CC972F3">
            <w:pPr>
              <w:keepNext w:val="0"/>
              <w:keepLines w:val="0"/>
              <w:pageBreakBefore w:val="0"/>
              <w:widowControl/>
              <w:kinsoku/>
              <w:wordWrap/>
              <w:overflowPunct/>
              <w:topLinePunct w:val="0"/>
              <w:autoSpaceDE/>
              <w:autoSpaceDN/>
              <w:bidi w:val="0"/>
              <w:adjustRightInd/>
              <w:snapToGrid/>
              <w:spacing w:line="144" w:lineRule="auto"/>
              <w:jc w:val="center"/>
              <w:textAlignment w:val="auto"/>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第二季度</w:t>
            </w:r>
          </w:p>
          <w:p w14:paraId="7FA6A2AE">
            <w:pPr>
              <w:spacing w:beforeLines="0" w:afterLines="0" w:line="320" w:lineRule="exact"/>
              <w:jc w:val="center"/>
              <w:rPr>
                <w:rFonts w:hint="eastAsia" w:ascii="宋体" w:hAnsi="宋体" w:eastAsia="宋体" w:cs="宋体"/>
                <w:kern w:val="2"/>
                <w:sz w:val="20"/>
                <w:szCs w:val="20"/>
                <w:lang w:val="en-US" w:eastAsia="zh-CN" w:bidi="ar-SA"/>
              </w:rPr>
            </w:pPr>
            <w:r>
              <w:rPr>
                <w:rFonts w:hint="eastAsia" w:ascii="宋体" w:hAnsi="宋体" w:eastAsia="宋体" w:cs="宋体"/>
                <w:color w:val="auto"/>
                <w:kern w:val="0"/>
                <w:sz w:val="20"/>
                <w:szCs w:val="20"/>
                <w:lang w:val="en-US" w:eastAsia="zh-CN"/>
              </w:rPr>
              <w:t>第四季度</w:t>
            </w:r>
          </w:p>
        </w:tc>
        <w:tc>
          <w:tcPr>
            <w:tcW w:w="759" w:type="dxa"/>
            <w:shd w:val="clear" w:color="auto" w:fill="auto"/>
            <w:noWrap w:val="0"/>
            <w:vAlign w:val="center"/>
          </w:tcPr>
          <w:p w14:paraId="1AE63955">
            <w:pPr>
              <w:spacing w:beforeLines="0" w:afterLines="0" w:line="320" w:lineRule="exact"/>
              <w:ind w:firstLine="200" w:firstLineChars="100"/>
              <w:rPr>
                <w:rFonts w:hint="eastAsia" w:ascii="宋体" w:hAnsi="宋体" w:eastAsia="宋体" w:cs="宋体"/>
                <w:kern w:val="2"/>
                <w:sz w:val="20"/>
                <w:szCs w:val="20"/>
                <w:lang w:val="en-US" w:eastAsia="zh-CN" w:bidi="ar-SA"/>
              </w:rPr>
            </w:pPr>
            <w:r>
              <w:rPr>
                <w:rFonts w:hint="eastAsia" w:ascii="宋体" w:hAnsi="宋体" w:eastAsia="宋体" w:cs="宋体"/>
                <w:color w:val="auto"/>
                <w:kern w:val="0"/>
                <w:sz w:val="20"/>
                <w:szCs w:val="20"/>
                <w:lang w:val="en-US" w:eastAsia="zh-CN"/>
              </w:rPr>
              <w:t>20%</w:t>
            </w:r>
          </w:p>
        </w:tc>
        <w:tc>
          <w:tcPr>
            <w:tcW w:w="1164" w:type="dxa"/>
            <w:shd w:val="clear" w:color="auto" w:fill="auto"/>
            <w:noWrap w:val="0"/>
            <w:vAlign w:val="center"/>
          </w:tcPr>
          <w:p w14:paraId="22602AA9">
            <w:pPr>
              <w:spacing w:beforeLines="0" w:afterLines="0" w:line="32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2次</w:t>
            </w:r>
          </w:p>
        </w:tc>
        <w:tc>
          <w:tcPr>
            <w:tcW w:w="878" w:type="dxa"/>
            <w:shd w:val="clear" w:color="auto" w:fill="auto"/>
            <w:noWrap w:val="0"/>
            <w:vAlign w:val="center"/>
          </w:tcPr>
          <w:p w14:paraId="5434CF07">
            <w:pPr>
              <w:spacing w:beforeLines="0" w:afterLines="0" w:line="320" w:lineRule="exact"/>
              <w:jc w:val="left"/>
              <w:rPr>
                <w:rFonts w:hint="eastAsia" w:ascii="宋体" w:hAnsi="宋体" w:eastAsia="宋体" w:cs="宋体"/>
                <w:kern w:val="2"/>
                <w:sz w:val="20"/>
                <w:szCs w:val="20"/>
                <w:lang w:val="en-US" w:eastAsia="zh-CN" w:bidi="ar-SA"/>
              </w:rPr>
            </w:pPr>
            <w:r>
              <w:rPr>
                <w:rFonts w:hint="eastAsia" w:ascii="宋体" w:hAnsi="宋体" w:eastAsia="宋体" w:cs="宋体"/>
                <w:color w:val="auto"/>
                <w:kern w:val="0"/>
                <w:sz w:val="20"/>
                <w:szCs w:val="20"/>
                <w:lang w:val="en-US" w:eastAsia="zh-CN"/>
              </w:rPr>
              <w:t>市监分局</w:t>
            </w:r>
          </w:p>
        </w:tc>
        <w:tc>
          <w:tcPr>
            <w:tcW w:w="538" w:type="dxa"/>
            <w:noWrap w:val="0"/>
            <w:vAlign w:val="center"/>
          </w:tcPr>
          <w:p w14:paraId="2D8D53D9">
            <w:pPr>
              <w:spacing w:line="240" w:lineRule="exact"/>
              <w:jc w:val="center"/>
              <w:rPr>
                <w:rFonts w:ascii="Times New Roman" w:hAnsi="Times New Roman"/>
                <w:color w:val="000000"/>
                <w:kern w:val="0"/>
                <w:sz w:val="18"/>
                <w:szCs w:val="18"/>
                <w:lang w:bidi="ar"/>
              </w:rPr>
            </w:pPr>
          </w:p>
        </w:tc>
      </w:tr>
      <w:tr w14:paraId="3DB5AA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39" w:hRule="atLeast"/>
          <w:jc w:val="center"/>
        </w:trPr>
        <w:tc>
          <w:tcPr>
            <w:tcW w:w="527" w:type="dxa"/>
            <w:noWrap w:val="0"/>
            <w:vAlign w:val="center"/>
          </w:tcPr>
          <w:p w14:paraId="5C25CA42">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w:t>
            </w:r>
          </w:p>
        </w:tc>
        <w:tc>
          <w:tcPr>
            <w:tcW w:w="1248" w:type="dxa"/>
            <w:shd w:val="clear" w:color="auto" w:fill="auto"/>
            <w:noWrap w:val="0"/>
            <w:vAlign w:val="center"/>
          </w:tcPr>
          <w:p w14:paraId="1817F83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金凤区发展和改革局</w:t>
            </w:r>
          </w:p>
        </w:tc>
        <w:tc>
          <w:tcPr>
            <w:tcW w:w="1326" w:type="dxa"/>
            <w:shd w:val="clear" w:color="auto" w:fill="auto"/>
            <w:noWrap w:val="0"/>
            <w:vAlign w:val="center"/>
          </w:tcPr>
          <w:p w14:paraId="65B959B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对粮食入库、出库、储存情况的监督检查，以及执行国家粮食流通统计调查制度的监督检查（含政策性粮油库存检查）</w:t>
            </w:r>
          </w:p>
        </w:tc>
        <w:tc>
          <w:tcPr>
            <w:tcW w:w="4889" w:type="dxa"/>
            <w:shd w:val="clear" w:color="auto" w:fill="auto"/>
            <w:noWrap w:val="0"/>
            <w:vAlign w:val="center"/>
          </w:tcPr>
          <w:p w14:paraId="16A842C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《粮食流通管理条例》（2021年国务院令第740号修订）《粮油仓储管理办法》2009年国家发展和改革委员会令第5号</w:t>
            </w:r>
          </w:p>
        </w:tc>
        <w:tc>
          <w:tcPr>
            <w:tcW w:w="1123" w:type="dxa"/>
            <w:shd w:val="clear" w:color="auto" w:fill="auto"/>
            <w:noWrap w:val="0"/>
            <w:vAlign w:val="center"/>
          </w:tcPr>
          <w:p w14:paraId="4801094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粮油仓储单位，区内从事粮食收购、销售、储存、运输、进出口、成品粮油加工等涉粮企业</w:t>
            </w:r>
          </w:p>
        </w:tc>
        <w:tc>
          <w:tcPr>
            <w:tcW w:w="1057" w:type="dxa"/>
            <w:shd w:val="clear" w:color="auto" w:fill="auto"/>
            <w:noWrap w:val="0"/>
            <w:vAlign w:val="center"/>
          </w:tcPr>
          <w:p w14:paraId="6F1594F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4月至6月</w:t>
            </w:r>
          </w:p>
          <w:p w14:paraId="29FA1E4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9月至11月</w:t>
            </w:r>
          </w:p>
        </w:tc>
        <w:tc>
          <w:tcPr>
            <w:tcW w:w="759" w:type="dxa"/>
            <w:shd w:val="clear" w:color="auto" w:fill="auto"/>
            <w:noWrap w:val="0"/>
            <w:vAlign w:val="center"/>
          </w:tcPr>
          <w:p w14:paraId="1AD5D50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50%</w:t>
            </w:r>
          </w:p>
        </w:tc>
        <w:tc>
          <w:tcPr>
            <w:tcW w:w="1164" w:type="dxa"/>
            <w:shd w:val="clear" w:color="auto" w:fill="auto"/>
            <w:noWrap w:val="0"/>
            <w:vAlign w:val="center"/>
          </w:tcPr>
          <w:p w14:paraId="543F0B2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2次</w:t>
            </w:r>
          </w:p>
        </w:tc>
        <w:tc>
          <w:tcPr>
            <w:tcW w:w="878" w:type="dxa"/>
            <w:shd w:val="clear" w:color="auto" w:fill="auto"/>
            <w:noWrap w:val="0"/>
            <w:vAlign w:val="center"/>
          </w:tcPr>
          <w:p w14:paraId="3DBA6D1B">
            <w:pPr>
              <w:spacing w:line="240" w:lineRule="exact"/>
              <w:jc w:val="center"/>
              <w:rPr>
                <w:rFonts w:hint="eastAsia" w:ascii="Times New Roman" w:hAnsi="Times New Roman" w:eastAsia="宋体"/>
                <w:color w:val="000000"/>
                <w:kern w:val="0"/>
                <w:sz w:val="18"/>
                <w:szCs w:val="18"/>
                <w:lang w:val="en-US" w:eastAsia="zh-CN" w:bidi="ar"/>
              </w:rPr>
            </w:pPr>
          </w:p>
        </w:tc>
        <w:tc>
          <w:tcPr>
            <w:tcW w:w="538" w:type="dxa"/>
            <w:noWrap w:val="0"/>
            <w:vAlign w:val="center"/>
          </w:tcPr>
          <w:p w14:paraId="52F0D4B2">
            <w:pPr>
              <w:spacing w:line="240" w:lineRule="exact"/>
              <w:jc w:val="center"/>
              <w:rPr>
                <w:rFonts w:hint="eastAsia" w:ascii="Times New Roman" w:hAnsi="Times New Roman" w:eastAsia="宋体"/>
                <w:color w:val="000000"/>
                <w:kern w:val="0"/>
                <w:sz w:val="18"/>
                <w:szCs w:val="18"/>
                <w:lang w:val="en-US" w:eastAsia="zh-CN" w:bidi="ar"/>
              </w:rPr>
            </w:pPr>
          </w:p>
        </w:tc>
      </w:tr>
      <w:tr w14:paraId="5EA988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14" w:hRule="atLeast"/>
          <w:jc w:val="center"/>
        </w:trPr>
        <w:tc>
          <w:tcPr>
            <w:tcW w:w="527" w:type="dxa"/>
            <w:noWrap w:val="0"/>
            <w:vAlign w:val="center"/>
          </w:tcPr>
          <w:p w14:paraId="2EC94731">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3</w:t>
            </w:r>
          </w:p>
        </w:tc>
        <w:tc>
          <w:tcPr>
            <w:tcW w:w="1248" w:type="dxa"/>
            <w:shd w:val="clear" w:color="auto" w:fill="auto"/>
            <w:noWrap w:val="0"/>
            <w:vAlign w:val="center"/>
          </w:tcPr>
          <w:p w14:paraId="2077BEA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金凤区发展和改革局</w:t>
            </w:r>
          </w:p>
        </w:tc>
        <w:tc>
          <w:tcPr>
            <w:tcW w:w="1326" w:type="dxa"/>
            <w:shd w:val="clear" w:color="auto" w:fill="auto"/>
            <w:noWrap w:val="0"/>
            <w:vAlign w:val="center"/>
          </w:tcPr>
          <w:p w14:paraId="43BCEB2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对储备粮轮换情况的监督检查</w:t>
            </w:r>
          </w:p>
        </w:tc>
        <w:tc>
          <w:tcPr>
            <w:tcW w:w="4889" w:type="dxa"/>
            <w:shd w:val="clear" w:color="auto" w:fill="auto"/>
            <w:noWrap w:val="0"/>
            <w:vAlign w:val="center"/>
          </w:tcPr>
          <w:p w14:paraId="23602CB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《中华人民共和国粮食安全保障法》（2023年）</w:t>
            </w:r>
          </w:p>
          <w:p w14:paraId="34A6444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宁夏回族自治区地方储备粮管理条例（2023年修订）</w:t>
            </w:r>
          </w:p>
        </w:tc>
        <w:tc>
          <w:tcPr>
            <w:tcW w:w="1123" w:type="dxa"/>
            <w:shd w:val="clear" w:color="auto" w:fill="auto"/>
            <w:noWrap w:val="0"/>
            <w:vAlign w:val="center"/>
          </w:tcPr>
          <w:p w14:paraId="269B2D9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政策性粮油承储企业</w:t>
            </w:r>
          </w:p>
        </w:tc>
        <w:tc>
          <w:tcPr>
            <w:tcW w:w="1057" w:type="dxa"/>
            <w:shd w:val="clear" w:color="auto" w:fill="auto"/>
            <w:noWrap w:val="0"/>
            <w:vAlign w:val="center"/>
          </w:tcPr>
          <w:p w14:paraId="679BC34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xml:space="preserve">第一季度      </w:t>
            </w:r>
          </w:p>
          <w:p w14:paraId="1BBD7E8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第二季度</w:t>
            </w:r>
          </w:p>
        </w:tc>
        <w:tc>
          <w:tcPr>
            <w:tcW w:w="759" w:type="dxa"/>
            <w:shd w:val="clear" w:color="auto" w:fill="auto"/>
            <w:noWrap w:val="0"/>
            <w:vAlign w:val="center"/>
          </w:tcPr>
          <w:p w14:paraId="6CAE389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1家</w:t>
            </w:r>
          </w:p>
        </w:tc>
        <w:tc>
          <w:tcPr>
            <w:tcW w:w="1164" w:type="dxa"/>
            <w:shd w:val="clear" w:color="auto" w:fill="auto"/>
            <w:noWrap w:val="0"/>
            <w:vAlign w:val="center"/>
          </w:tcPr>
          <w:p w14:paraId="653833F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2次</w:t>
            </w:r>
          </w:p>
        </w:tc>
        <w:tc>
          <w:tcPr>
            <w:tcW w:w="878" w:type="dxa"/>
            <w:shd w:val="clear" w:color="auto" w:fill="auto"/>
            <w:noWrap w:val="0"/>
            <w:vAlign w:val="center"/>
          </w:tcPr>
          <w:p w14:paraId="4BE7B819">
            <w:pPr>
              <w:spacing w:line="240" w:lineRule="exact"/>
              <w:jc w:val="center"/>
              <w:rPr>
                <w:rFonts w:hint="eastAsia" w:ascii="Times New Roman" w:hAnsi="Times New Roman" w:eastAsia="宋体"/>
                <w:color w:val="000000"/>
                <w:kern w:val="0"/>
                <w:sz w:val="18"/>
                <w:szCs w:val="18"/>
                <w:lang w:val="en-US" w:eastAsia="zh-CN" w:bidi="ar"/>
              </w:rPr>
            </w:pPr>
          </w:p>
        </w:tc>
        <w:tc>
          <w:tcPr>
            <w:tcW w:w="538" w:type="dxa"/>
            <w:noWrap w:val="0"/>
            <w:vAlign w:val="center"/>
          </w:tcPr>
          <w:p w14:paraId="6FE56D6A">
            <w:pPr>
              <w:spacing w:line="240" w:lineRule="exact"/>
              <w:jc w:val="center"/>
              <w:rPr>
                <w:rFonts w:hint="eastAsia" w:ascii="Times New Roman" w:hAnsi="Times New Roman" w:eastAsia="宋体"/>
                <w:color w:val="000000"/>
                <w:kern w:val="0"/>
                <w:sz w:val="18"/>
                <w:szCs w:val="18"/>
                <w:lang w:val="en-US" w:eastAsia="zh-CN" w:bidi="ar"/>
              </w:rPr>
            </w:pPr>
          </w:p>
        </w:tc>
      </w:tr>
      <w:tr w14:paraId="3C5656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679" w:hRule="atLeast"/>
          <w:jc w:val="center"/>
        </w:trPr>
        <w:tc>
          <w:tcPr>
            <w:tcW w:w="527" w:type="dxa"/>
          </w:tcPr>
          <w:p w14:paraId="0DB8F9C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xml:space="preserve">        </w:t>
            </w:r>
          </w:p>
          <w:p w14:paraId="75F40F9F">
            <w:pPr>
              <w:spacing w:line="240" w:lineRule="exact"/>
              <w:jc w:val="center"/>
              <w:rPr>
                <w:rFonts w:hint="eastAsia" w:ascii="Times New Roman" w:hAnsi="Times New Roman" w:eastAsia="宋体"/>
                <w:color w:val="000000"/>
                <w:kern w:val="0"/>
                <w:sz w:val="18"/>
                <w:szCs w:val="18"/>
                <w:lang w:val="en-US" w:eastAsia="zh-CN" w:bidi="ar"/>
              </w:rPr>
            </w:pPr>
          </w:p>
          <w:p w14:paraId="421FC762">
            <w:pPr>
              <w:spacing w:line="240" w:lineRule="exact"/>
              <w:jc w:val="center"/>
              <w:rPr>
                <w:rFonts w:hint="eastAsia" w:ascii="Times New Roman" w:hAnsi="Times New Roman" w:eastAsia="宋体"/>
                <w:color w:val="000000"/>
                <w:kern w:val="0"/>
                <w:sz w:val="18"/>
                <w:szCs w:val="18"/>
                <w:lang w:val="en-US" w:eastAsia="zh-CN" w:bidi="ar"/>
              </w:rPr>
            </w:pPr>
          </w:p>
          <w:p w14:paraId="08622B2F">
            <w:pPr>
              <w:spacing w:line="240" w:lineRule="exact"/>
              <w:jc w:val="center"/>
              <w:rPr>
                <w:rFonts w:hint="eastAsia" w:ascii="Times New Roman" w:hAnsi="Times New Roman" w:eastAsia="宋体"/>
                <w:color w:val="000000"/>
                <w:kern w:val="0"/>
                <w:sz w:val="18"/>
                <w:szCs w:val="18"/>
                <w:lang w:val="en-US" w:eastAsia="zh-CN" w:bidi="ar"/>
              </w:rPr>
            </w:pPr>
          </w:p>
          <w:p w14:paraId="0B9A71A0">
            <w:pPr>
              <w:spacing w:line="240" w:lineRule="exact"/>
              <w:jc w:val="center"/>
              <w:rPr>
                <w:rFonts w:hint="eastAsia" w:ascii="Times New Roman" w:hAnsi="Times New Roman" w:eastAsia="宋体"/>
                <w:color w:val="000000"/>
                <w:kern w:val="0"/>
                <w:sz w:val="18"/>
                <w:szCs w:val="18"/>
                <w:lang w:val="en-US" w:eastAsia="zh-CN" w:bidi="ar"/>
              </w:rPr>
            </w:pPr>
          </w:p>
          <w:p w14:paraId="332B2E3E">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4</w:t>
            </w:r>
          </w:p>
        </w:tc>
        <w:tc>
          <w:tcPr>
            <w:tcW w:w="1248" w:type="dxa"/>
            <w:shd w:val="clear" w:color="auto" w:fill="auto"/>
            <w:vAlign w:val="center"/>
          </w:tcPr>
          <w:p w14:paraId="7E18C8F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金凤区发展和改革局</w:t>
            </w:r>
          </w:p>
        </w:tc>
        <w:tc>
          <w:tcPr>
            <w:tcW w:w="1326" w:type="dxa"/>
            <w:shd w:val="clear" w:color="auto" w:fill="auto"/>
            <w:vAlign w:val="center"/>
          </w:tcPr>
          <w:p w14:paraId="2B900F9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对涉粮企业安全生产制度落实的监督检查</w:t>
            </w:r>
          </w:p>
        </w:tc>
        <w:tc>
          <w:tcPr>
            <w:tcW w:w="0" w:type="auto"/>
            <w:shd w:val="clear" w:color="auto" w:fill="auto"/>
            <w:vAlign w:val="center"/>
          </w:tcPr>
          <w:p w14:paraId="77D0701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宁夏回族自治区地方储备粮管理条例（2023年修订</w:t>
            </w:r>
          </w:p>
        </w:tc>
        <w:tc>
          <w:tcPr>
            <w:tcW w:w="0" w:type="auto"/>
            <w:shd w:val="clear" w:color="auto" w:fill="auto"/>
            <w:vAlign w:val="center"/>
          </w:tcPr>
          <w:p w14:paraId="10F17AD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金凤区粮食流通加工企业</w:t>
            </w:r>
          </w:p>
        </w:tc>
        <w:tc>
          <w:tcPr>
            <w:tcW w:w="0" w:type="auto"/>
            <w:shd w:val="clear" w:color="auto" w:fill="auto"/>
            <w:vAlign w:val="center"/>
          </w:tcPr>
          <w:p w14:paraId="14DE6EA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按照自治区安委办、粮食和物资储备局、银川市安委办等部门安排部署，定期或不定期开展</w:t>
            </w:r>
          </w:p>
        </w:tc>
        <w:tc>
          <w:tcPr>
            <w:tcW w:w="0" w:type="auto"/>
            <w:shd w:val="clear" w:color="auto" w:fill="auto"/>
            <w:vAlign w:val="center"/>
          </w:tcPr>
          <w:p w14:paraId="3E25277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20%</w:t>
            </w:r>
          </w:p>
        </w:tc>
        <w:tc>
          <w:tcPr>
            <w:tcW w:w="0" w:type="auto"/>
            <w:shd w:val="clear" w:color="auto" w:fill="auto"/>
            <w:vAlign w:val="center"/>
          </w:tcPr>
          <w:p w14:paraId="0AD0960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不超过3次</w:t>
            </w:r>
          </w:p>
        </w:tc>
        <w:tc>
          <w:tcPr>
            <w:tcW w:w="0" w:type="auto"/>
            <w:shd w:val="clear" w:color="auto" w:fill="auto"/>
            <w:vAlign w:val="center"/>
          </w:tcPr>
          <w:p w14:paraId="7534619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金凤区应急管局、金凤区消防救援支队等部门</w:t>
            </w:r>
          </w:p>
        </w:tc>
        <w:tc>
          <w:tcPr>
            <w:tcW w:w="0" w:type="auto"/>
          </w:tcPr>
          <w:p w14:paraId="16943B73">
            <w:pPr>
              <w:spacing w:line="240" w:lineRule="exact"/>
              <w:jc w:val="center"/>
              <w:rPr>
                <w:rFonts w:hint="eastAsia" w:ascii="Times New Roman" w:hAnsi="Times New Roman" w:eastAsia="宋体"/>
                <w:color w:val="000000"/>
                <w:kern w:val="0"/>
                <w:sz w:val="18"/>
                <w:szCs w:val="18"/>
                <w:lang w:val="en-US" w:eastAsia="zh-CN" w:bidi="ar"/>
              </w:rPr>
            </w:pPr>
          </w:p>
        </w:tc>
      </w:tr>
      <w:tr w14:paraId="3A1E73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1FB72799">
            <w:pPr>
              <w:spacing w:line="240" w:lineRule="exact"/>
              <w:jc w:val="center"/>
              <w:rPr>
                <w:rFonts w:hint="eastAsia" w:ascii="Times New Roman" w:hAnsi="Times New Roman" w:eastAsia="宋体"/>
                <w:color w:val="000000"/>
                <w:kern w:val="0"/>
                <w:sz w:val="18"/>
                <w:szCs w:val="18"/>
                <w:lang w:val="en-US" w:eastAsia="zh-CN" w:bidi="ar"/>
              </w:rPr>
            </w:pPr>
          </w:p>
          <w:p w14:paraId="7174B20E">
            <w:pPr>
              <w:spacing w:line="240" w:lineRule="exact"/>
              <w:jc w:val="center"/>
              <w:rPr>
                <w:rFonts w:hint="eastAsia" w:ascii="Times New Roman" w:hAnsi="Times New Roman" w:eastAsia="宋体"/>
                <w:color w:val="000000"/>
                <w:kern w:val="0"/>
                <w:sz w:val="18"/>
                <w:szCs w:val="18"/>
                <w:lang w:val="en-US" w:eastAsia="zh-CN" w:bidi="ar"/>
              </w:rPr>
            </w:pPr>
          </w:p>
          <w:p w14:paraId="60D50F2C">
            <w:pPr>
              <w:spacing w:line="240" w:lineRule="exact"/>
              <w:jc w:val="center"/>
              <w:rPr>
                <w:rFonts w:hint="eastAsia" w:ascii="Times New Roman" w:hAnsi="Times New Roman" w:eastAsia="宋体"/>
                <w:color w:val="000000"/>
                <w:kern w:val="0"/>
                <w:sz w:val="18"/>
                <w:szCs w:val="18"/>
                <w:lang w:val="en-US" w:eastAsia="zh-CN" w:bidi="ar"/>
              </w:rPr>
            </w:pPr>
          </w:p>
          <w:p w14:paraId="45237A26">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5</w:t>
            </w:r>
          </w:p>
        </w:tc>
        <w:tc>
          <w:tcPr>
            <w:tcW w:w="1248" w:type="dxa"/>
            <w:shd w:val="clear" w:color="auto" w:fill="auto"/>
            <w:vAlign w:val="center"/>
          </w:tcPr>
          <w:p w14:paraId="3097C21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金凤区发展和改革局</w:t>
            </w:r>
          </w:p>
        </w:tc>
        <w:tc>
          <w:tcPr>
            <w:tcW w:w="1326" w:type="dxa"/>
            <w:shd w:val="clear" w:color="auto" w:fill="auto"/>
            <w:vAlign w:val="center"/>
          </w:tcPr>
          <w:p w14:paraId="443B144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储备粮（原粮、成品粮和食用油）管理情况监督检查</w:t>
            </w:r>
          </w:p>
        </w:tc>
        <w:tc>
          <w:tcPr>
            <w:tcW w:w="0" w:type="auto"/>
            <w:shd w:val="clear" w:color="auto" w:fill="auto"/>
            <w:vAlign w:val="center"/>
          </w:tcPr>
          <w:p w14:paraId="0FEC4E9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《宁夏回族自治区地方储备粮管理条例》(2023年修正)</w:t>
            </w:r>
          </w:p>
        </w:tc>
        <w:tc>
          <w:tcPr>
            <w:tcW w:w="0" w:type="auto"/>
            <w:shd w:val="clear" w:color="auto" w:fill="auto"/>
            <w:vAlign w:val="center"/>
          </w:tcPr>
          <w:p w14:paraId="18D3653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承担银川市政策性粮油承储企业</w:t>
            </w:r>
          </w:p>
        </w:tc>
        <w:tc>
          <w:tcPr>
            <w:tcW w:w="0" w:type="auto"/>
            <w:shd w:val="clear" w:color="auto" w:fill="auto"/>
            <w:vAlign w:val="center"/>
          </w:tcPr>
          <w:p w14:paraId="33BB5D7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3月6月</w:t>
            </w:r>
          </w:p>
          <w:p w14:paraId="222D804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9月12月</w:t>
            </w:r>
          </w:p>
        </w:tc>
        <w:tc>
          <w:tcPr>
            <w:tcW w:w="0" w:type="auto"/>
            <w:shd w:val="clear" w:color="auto" w:fill="auto"/>
            <w:vAlign w:val="center"/>
          </w:tcPr>
          <w:p w14:paraId="1D39C61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551FEB6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4次</w:t>
            </w:r>
          </w:p>
        </w:tc>
        <w:tc>
          <w:tcPr>
            <w:tcW w:w="0" w:type="auto"/>
            <w:shd w:val="clear" w:color="auto" w:fill="auto"/>
            <w:vAlign w:val="center"/>
          </w:tcPr>
          <w:p w14:paraId="5C82B3F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市监分局</w:t>
            </w:r>
          </w:p>
        </w:tc>
        <w:tc>
          <w:tcPr>
            <w:tcW w:w="0" w:type="auto"/>
          </w:tcPr>
          <w:p w14:paraId="2C7FBEEF">
            <w:pPr>
              <w:spacing w:line="240" w:lineRule="exact"/>
              <w:jc w:val="center"/>
              <w:rPr>
                <w:rFonts w:hint="eastAsia" w:ascii="Times New Roman" w:hAnsi="Times New Roman" w:eastAsia="宋体"/>
                <w:color w:val="000000"/>
                <w:kern w:val="0"/>
                <w:sz w:val="18"/>
                <w:szCs w:val="18"/>
                <w:lang w:val="en-US" w:eastAsia="zh-CN" w:bidi="ar"/>
              </w:rPr>
            </w:pPr>
          </w:p>
        </w:tc>
      </w:tr>
      <w:tr w14:paraId="3E6E17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4FFBFD6E">
            <w:pPr>
              <w:spacing w:line="240" w:lineRule="exact"/>
              <w:jc w:val="center"/>
              <w:rPr>
                <w:rFonts w:hint="eastAsia" w:ascii="Times New Roman" w:hAnsi="Times New Roman" w:eastAsia="宋体"/>
                <w:color w:val="000000"/>
                <w:kern w:val="0"/>
                <w:sz w:val="18"/>
                <w:szCs w:val="18"/>
                <w:lang w:val="en-US" w:eastAsia="zh-CN" w:bidi="ar"/>
              </w:rPr>
            </w:pPr>
          </w:p>
          <w:p w14:paraId="3A4B2C57">
            <w:pPr>
              <w:spacing w:line="240" w:lineRule="exact"/>
              <w:jc w:val="center"/>
              <w:rPr>
                <w:rFonts w:hint="eastAsia" w:ascii="Times New Roman" w:hAnsi="Times New Roman" w:eastAsia="宋体"/>
                <w:color w:val="000000"/>
                <w:kern w:val="0"/>
                <w:sz w:val="18"/>
                <w:szCs w:val="18"/>
                <w:lang w:val="en-US" w:eastAsia="zh-CN" w:bidi="ar"/>
              </w:rPr>
            </w:pPr>
          </w:p>
          <w:p w14:paraId="729B95D2">
            <w:pPr>
              <w:spacing w:line="240" w:lineRule="exact"/>
              <w:jc w:val="center"/>
              <w:rPr>
                <w:rFonts w:hint="eastAsia" w:ascii="Times New Roman" w:hAnsi="Times New Roman" w:eastAsia="宋体"/>
                <w:color w:val="000000"/>
                <w:kern w:val="0"/>
                <w:sz w:val="18"/>
                <w:szCs w:val="18"/>
                <w:lang w:val="en-US" w:eastAsia="zh-CN" w:bidi="ar"/>
              </w:rPr>
            </w:pPr>
          </w:p>
          <w:p w14:paraId="34B49FFF">
            <w:pPr>
              <w:spacing w:line="240" w:lineRule="exact"/>
              <w:jc w:val="center"/>
              <w:rPr>
                <w:rFonts w:hint="eastAsia" w:ascii="Times New Roman" w:hAnsi="Times New Roman" w:eastAsia="宋体"/>
                <w:color w:val="000000"/>
                <w:kern w:val="0"/>
                <w:sz w:val="18"/>
                <w:szCs w:val="18"/>
                <w:lang w:val="en-US" w:eastAsia="zh-CN" w:bidi="ar"/>
              </w:rPr>
            </w:pPr>
          </w:p>
          <w:p w14:paraId="1FAFFBB8">
            <w:pPr>
              <w:spacing w:line="240" w:lineRule="exact"/>
              <w:jc w:val="center"/>
              <w:rPr>
                <w:rFonts w:hint="eastAsia" w:ascii="Times New Roman" w:hAnsi="Times New Roman" w:eastAsia="宋体"/>
                <w:color w:val="000000"/>
                <w:kern w:val="0"/>
                <w:sz w:val="18"/>
                <w:szCs w:val="18"/>
                <w:lang w:val="en-US" w:eastAsia="zh-CN" w:bidi="ar"/>
              </w:rPr>
            </w:pPr>
          </w:p>
          <w:p w14:paraId="17DFE4C8">
            <w:pPr>
              <w:spacing w:line="240" w:lineRule="exact"/>
              <w:jc w:val="center"/>
              <w:rPr>
                <w:rFonts w:hint="eastAsia" w:ascii="Times New Roman" w:hAnsi="Times New Roman" w:eastAsia="宋体"/>
                <w:color w:val="000000"/>
                <w:kern w:val="0"/>
                <w:sz w:val="18"/>
                <w:szCs w:val="18"/>
                <w:lang w:val="en-US" w:eastAsia="zh-CN" w:bidi="ar"/>
              </w:rPr>
            </w:pPr>
          </w:p>
          <w:p w14:paraId="47166C74">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6</w:t>
            </w:r>
          </w:p>
        </w:tc>
        <w:tc>
          <w:tcPr>
            <w:tcW w:w="1248" w:type="dxa"/>
            <w:shd w:val="clear" w:color="auto" w:fill="auto"/>
            <w:vAlign w:val="center"/>
          </w:tcPr>
          <w:p w14:paraId="4425941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金凤区民政局</w:t>
            </w:r>
          </w:p>
        </w:tc>
        <w:tc>
          <w:tcPr>
            <w:tcW w:w="1326" w:type="dxa"/>
            <w:shd w:val="clear" w:color="auto" w:fill="auto"/>
            <w:vAlign w:val="center"/>
          </w:tcPr>
          <w:p w14:paraId="19F7946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养老机构监管检查</w:t>
            </w:r>
          </w:p>
        </w:tc>
        <w:tc>
          <w:tcPr>
            <w:tcW w:w="0" w:type="auto"/>
            <w:shd w:val="clear" w:color="auto" w:fill="auto"/>
            <w:vAlign w:val="center"/>
          </w:tcPr>
          <w:p w14:paraId="4BA5100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《中华人民共和国安全生产法》(2021年修正)《养老机构管理办法》（2020年民政部令第66号）</w:t>
            </w:r>
          </w:p>
          <w:p w14:paraId="218054EF">
            <w:pPr>
              <w:spacing w:line="240" w:lineRule="exact"/>
              <w:jc w:val="center"/>
              <w:rPr>
                <w:rFonts w:hint="eastAsia" w:ascii="Times New Roman" w:hAnsi="Times New Roman" w:eastAsia="宋体"/>
                <w:color w:val="000000"/>
                <w:kern w:val="0"/>
                <w:sz w:val="18"/>
                <w:szCs w:val="18"/>
                <w:lang w:val="en-US" w:eastAsia="zh-CN" w:bidi="ar"/>
              </w:rPr>
            </w:pPr>
          </w:p>
        </w:tc>
        <w:tc>
          <w:tcPr>
            <w:tcW w:w="0" w:type="auto"/>
            <w:shd w:val="clear" w:color="auto" w:fill="auto"/>
            <w:vAlign w:val="center"/>
          </w:tcPr>
          <w:p w14:paraId="4FE2B49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1.消防安全2.燃气安全3.护理安全4.食品安全；</w:t>
            </w:r>
          </w:p>
        </w:tc>
        <w:tc>
          <w:tcPr>
            <w:tcW w:w="0" w:type="auto"/>
            <w:shd w:val="clear" w:color="auto" w:fill="auto"/>
            <w:vAlign w:val="center"/>
          </w:tcPr>
          <w:p w14:paraId="62CFB79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13B399A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058B603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不超过5次</w:t>
            </w:r>
          </w:p>
        </w:tc>
        <w:tc>
          <w:tcPr>
            <w:tcW w:w="0" w:type="auto"/>
            <w:shd w:val="clear" w:color="auto" w:fill="auto"/>
            <w:vAlign w:val="center"/>
          </w:tcPr>
          <w:p w14:paraId="76BD1FA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卫生健康、</w:t>
            </w:r>
            <w:r>
              <w:rPr>
                <w:rFonts w:hint="eastAsia" w:ascii="Times New Roman" w:hAnsi="Times New Roman" w:eastAsia="宋体"/>
                <w:color w:val="000000"/>
                <w:kern w:val="0"/>
                <w:sz w:val="18"/>
                <w:szCs w:val="18"/>
                <w:lang w:val="en-US" w:eastAsia="zh-CN" w:bidi="ar"/>
              </w:rPr>
              <w:br w:type="textWrapping"/>
            </w:r>
            <w:r>
              <w:rPr>
                <w:rFonts w:hint="eastAsia" w:ascii="Times New Roman" w:hAnsi="Times New Roman" w:eastAsia="宋体"/>
                <w:color w:val="000000"/>
                <w:kern w:val="0"/>
                <w:sz w:val="18"/>
                <w:szCs w:val="18"/>
                <w:lang w:val="en-US" w:eastAsia="zh-CN" w:bidi="ar"/>
              </w:rPr>
              <w:t>市场监管、综合执法、</w:t>
            </w:r>
            <w:r>
              <w:rPr>
                <w:rFonts w:hint="eastAsia" w:ascii="Times New Roman" w:hAnsi="Times New Roman" w:eastAsia="宋体"/>
                <w:color w:val="000000"/>
                <w:kern w:val="0"/>
                <w:sz w:val="18"/>
                <w:szCs w:val="18"/>
                <w:lang w:val="en-US" w:eastAsia="zh-CN" w:bidi="ar"/>
              </w:rPr>
              <w:br w:type="textWrapping"/>
            </w:r>
            <w:r>
              <w:rPr>
                <w:rFonts w:hint="eastAsia" w:ascii="Times New Roman" w:hAnsi="Times New Roman" w:eastAsia="宋体"/>
                <w:color w:val="000000"/>
                <w:kern w:val="0"/>
                <w:sz w:val="18"/>
                <w:szCs w:val="18"/>
                <w:lang w:val="en-US" w:eastAsia="zh-CN" w:bidi="ar"/>
              </w:rPr>
              <w:t>消防等部门</w:t>
            </w:r>
          </w:p>
          <w:p w14:paraId="25FFBE8F">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1AECA8AB">
            <w:pPr>
              <w:spacing w:line="240" w:lineRule="exact"/>
              <w:jc w:val="center"/>
              <w:rPr>
                <w:rFonts w:hint="eastAsia" w:ascii="Times New Roman" w:hAnsi="Times New Roman" w:eastAsia="宋体"/>
                <w:color w:val="000000"/>
                <w:kern w:val="0"/>
                <w:sz w:val="18"/>
                <w:szCs w:val="18"/>
                <w:lang w:val="en-US" w:eastAsia="zh-CN" w:bidi="ar"/>
              </w:rPr>
            </w:pPr>
          </w:p>
        </w:tc>
      </w:tr>
      <w:tr w14:paraId="2788C8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259CB2A6">
            <w:pPr>
              <w:spacing w:line="240" w:lineRule="exact"/>
              <w:jc w:val="center"/>
              <w:rPr>
                <w:rFonts w:hint="eastAsia" w:ascii="Times New Roman" w:hAnsi="Times New Roman" w:eastAsia="宋体"/>
                <w:color w:val="000000"/>
                <w:kern w:val="0"/>
                <w:sz w:val="18"/>
                <w:szCs w:val="18"/>
                <w:lang w:val="en-US" w:eastAsia="zh-CN" w:bidi="ar"/>
              </w:rPr>
            </w:pPr>
          </w:p>
          <w:p w14:paraId="66B2B489">
            <w:pPr>
              <w:spacing w:line="240" w:lineRule="exact"/>
              <w:jc w:val="center"/>
              <w:rPr>
                <w:rFonts w:hint="eastAsia" w:ascii="Times New Roman" w:hAnsi="Times New Roman" w:eastAsia="宋体"/>
                <w:color w:val="000000"/>
                <w:kern w:val="0"/>
                <w:sz w:val="18"/>
                <w:szCs w:val="18"/>
                <w:lang w:val="en-US" w:eastAsia="zh-CN" w:bidi="ar"/>
              </w:rPr>
            </w:pPr>
          </w:p>
          <w:p w14:paraId="1F1296BE">
            <w:pPr>
              <w:spacing w:line="240" w:lineRule="exact"/>
              <w:jc w:val="center"/>
              <w:rPr>
                <w:rFonts w:hint="eastAsia" w:ascii="Times New Roman" w:hAnsi="Times New Roman" w:eastAsia="宋体"/>
                <w:color w:val="000000"/>
                <w:kern w:val="0"/>
                <w:sz w:val="18"/>
                <w:szCs w:val="18"/>
                <w:lang w:val="en-US" w:eastAsia="zh-CN" w:bidi="ar"/>
              </w:rPr>
            </w:pPr>
          </w:p>
          <w:p w14:paraId="67C6C16F">
            <w:pPr>
              <w:spacing w:line="240" w:lineRule="exact"/>
              <w:jc w:val="center"/>
              <w:rPr>
                <w:rFonts w:hint="eastAsia" w:ascii="Times New Roman" w:hAnsi="Times New Roman" w:eastAsia="宋体"/>
                <w:color w:val="000000"/>
                <w:kern w:val="0"/>
                <w:sz w:val="18"/>
                <w:szCs w:val="18"/>
                <w:lang w:val="en-US" w:eastAsia="zh-CN" w:bidi="ar"/>
              </w:rPr>
            </w:pPr>
          </w:p>
          <w:p w14:paraId="0BAD24AF">
            <w:pPr>
              <w:spacing w:line="240" w:lineRule="exact"/>
              <w:jc w:val="center"/>
              <w:rPr>
                <w:rFonts w:hint="eastAsia" w:ascii="Times New Roman" w:hAnsi="Times New Roman" w:eastAsia="宋体"/>
                <w:color w:val="000000"/>
                <w:kern w:val="0"/>
                <w:sz w:val="18"/>
                <w:szCs w:val="18"/>
                <w:lang w:val="en-US" w:eastAsia="zh-CN" w:bidi="ar"/>
              </w:rPr>
            </w:pPr>
          </w:p>
          <w:p w14:paraId="3813F576">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7</w:t>
            </w:r>
          </w:p>
        </w:tc>
        <w:tc>
          <w:tcPr>
            <w:tcW w:w="1248" w:type="dxa"/>
          </w:tcPr>
          <w:p w14:paraId="6525B2D7">
            <w:pPr>
              <w:spacing w:line="240" w:lineRule="exact"/>
              <w:jc w:val="center"/>
              <w:rPr>
                <w:rFonts w:hint="eastAsia" w:ascii="Times New Roman" w:hAnsi="Times New Roman" w:eastAsia="宋体"/>
                <w:color w:val="000000"/>
                <w:kern w:val="0"/>
                <w:sz w:val="18"/>
                <w:szCs w:val="18"/>
                <w:lang w:val="en-US" w:eastAsia="zh-CN" w:bidi="ar"/>
              </w:rPr>
            </w:pPr>
          </w:p>
          <w:p w14:paraId="440D7714">
            <w:pPr>
              <w:spacing w:line="240" w:lineRule="exact"/>
              <w:jc w:val="center"/>
              <w:rPr>
                <w:rFonts w:hint="eastAsia" w:ascii="Times New Roman" w:hAnsi="Times New Roman" w:eastAsia="宋体"/>
                <w:color w:val="000000"/>
                <w:kern w:val="0"/>
                <w:sz w:val="18"/>
                <w:szCs w:val="18"/>
                <w:lang w:val="en-US" w:eastAsia="zh-CN" w:bidi="ar"/>
              </w:rPr>
            </w:pPr>
          </w:p>
          <w:p w14:paraId="4E6E6E6E">
            <w:pPr>
              <w:spacing w:line="240" w:lineRule="exact"/>
              <w:jc w:val="both"/>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金凤区民政局</w:t>
            </w:r>
          </w:p>
        </w:tc>
        <w:tc>
          <w:tcPr>
            <w:tcW w:w="1326" w:type="dxa"/>
            <w:shd w:val="clear" w:color="auto" w:fill="auto"/>
            <w:vAlign w:val="center"/>
          </w:tcPr>
          <w:p w14:paraId="79BCB35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公墓管理检查</w:t>
            </w:r>
          </w:p>
        </w:tc>
        <w:tc>
          <w:tcPr>
            <w:tcW w:w="0" w:type="auto"/>
            <w:shd w:val="clear" w:color="auto" w:fill="auto"/>
            <w:vAlign w:val="center"/>
          </w:tcPr>
          <w:p w14:paraId="3B4CE4E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国务院《殡葬管理条例》和《公墓管理暂行办法》</w:t>
            </w:r>
          </w:p>
        </w:tc>
        <w:tc>
          <w:tcPr>
            <w:tcW w:w="0" w:type="auto"/>
            <w:shd w:val="clear" w:color="auto" w:fill="auto"/>
            <w:vAlign w:val="center"/>
          </w:tcPr>
          <w:p w14:paraId="04C107B0">
            <w:pPr>
              <w:spacing w:line="240" w:lineRule="exact"/>
              <w:jc w:val="center"/>
              <w:rPr>
                <w:rFonts w:hint="eastAsia" w:ascii="Times New Roman" w:hAnsi="Times New Roman" w:eastAsia="宋体"/>
                <w:color w:val="000000"/>
                <w:kern w:val="0"/>
                <w:sz w:val="18"/>
                <w:szCs w:val="18"/>
                <w:lang w:val="en-US" w:eastAsia="zh-CN" w:bidi="ar"/>
              </w:rPr>
            </w:pPr>
            <w:r>
              <w:rPr>
                <w:rFonts w:hint="default" w:ascii="Times New Roman" w:hAnsi="Times New Roman" w:eastAsia="宋体"/>
                <w:color w:val="000000"/>
                <w:kern w:val="0"/>
                <w:sz w:val="18"/>
                <w:szCs w:val="18"/>
                <w:lang w:val="en-US" w:eastAsia="zh-CN" w:bidi="ar"/>
              </w:rPr>
              <w:t>1.消防安全2.燃气安全3.</w:t>
            </w:r>
            <w:r>
              <w:rPr>
                <w:rFonts w:hint="eastAsia" w:ascii="Times New Roman" w:hAnsi="Times New Roman" w:eastAsia="宋体"/>
                <w:color w:val="000000"/>
                <w:kern w:val="0"/>
                <w:sz w:val="18"/>
                <w:szCs w:val="18"/>
                <w:lang w:val="en-US" w:eastAsia="zh-CN" w:bidi="ar"/>
              </w:rPr>
              <w:t>殡葬设施建设合法合规</w:t>
            </w:r>
            <w:r>
              <w:rPr>
                <w:rFonts w:hint="default" w:ascii="Times New Roman" w:hAnsi="Times New Roman" w:eastAsia="宋体"/>
                <w:color w:val="000000"/>
                <w:kern w:val="0"/>
                <w:sz w:val="18"/>
                <w:szCs w:val="18"/>
                <w:lang w:val="en-US" w:eastAsia="zh-CN" w:bidi="ar"/>
              </w:rPr>
              <w:t>；</w:t>
            </w:r>
          </w:p>
        </w:tc>
        <w:tc>
          <w:tcPr>
            <w:tcW w:w="0" w:type="auto"/>
            <w:shd w:val="clear" w:color="auto" w:fill="auto"/>
            <w:vAlign w:val="center"/>
          </w:tcPr>
          <w:p w14:paraId="2FFA444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2CEC2C72">
            <w:pPr>
              <w:spacing w:line="240" w:lineRule="exact"/>
              <w:jc w:val="center"/>
              <w:rPr>
                <w:rFonts w:hint="eastAsia" w:ascii="Times New Roman" w:hAnsi="Times New Roman" w:eastAsia="宋体"/>
                <w:color w:val="000000"/>
                <w:kern w:val="0"/>
                <w:sz w:val="18"/>
                <w:szCs w:val="18"/>
                <w:lang w:val="en-US" w:eastAsia="zh-CN" w:bidi="ar"/>
              </w:rPr>
            </w:pPr>
            <w:r>
              <w:rPr>
                <w:rFonts w:hint="default" w:ascii="Times New Roman" w:hAnsi="Times New Roman" w:eastAsia="宋体"/>
                <w:color w:val="000000"/>
                <w:kern w:val="0"/>
                <w:sz w:val="18"/>
                <w:szCs w:val="18"/>
                <w:lang w:val="en-US" w:eastAsia="zh-CN" w:bidi="ar"/>
              </w:rPr>
              <w:t>100</w:t>
            </w:r>
            <w:r>
              <w:rPr>
                <w:rFonts w:hint="eastAsia" w:ascii="Times New Roman" w:hAnsi="Times New Roman" w:eastAsia="宋体"/>
                <w:color w:val="000000"/>
                <w:kern w:val="0"/>
                <w:sz w:val="18"/>
                <w:szCs w:val="18"/>
                <w:lang w:val="en-US" w:eastAsia="zh-CN" w:bidi="ar"/>
              </w:rPr>
              <w:t>％</w:t>
            </w:r>
          </w:p>
        </w:tc>
        <w:tc>
          <w:tcPr>
            <w:tcW w:w="0" w:type="auto"/>
            <w:shd w:val="clear" w:color="auto" w:fill="auto"/>
            <w:vAlign w:val="center"/>
          </w:tcPr>
          <w:p w14:paraId="23AF74E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不低于</w:t>
            </w:r>
            <w:r>
              <w:rPr>
                <w:rFonts w:hint="default" w:ascii="Times New Roman" w:hAnsi="Times New Roman" w:eastAsia="宋体"/>
                <w:color w:val="000000"/>
                <w:kern w:val="0"/>
                <w:sz w:val="18"/>
                <w:szCs w:val="18"/>
                <w:lang w:val="en-US" w:eastAsia="zh-CN" w:bidi="ar"/>
              </w:rPr>
              <w:t>5</w:t>
            </w:r>
            <w:r>
              <w:rPr>
                <w:rFonts w:hint="eastAsia" w:ascii="Times New Roman" w:hAnsi="Times New Roman" w:eastAsia="宋体"/>
                <w:color w:val="000000"/>
                <w:kern w:val="0"/>
                <w:sz w:val="18"/>
                <w:szCs w:val="18"/>
                <w:lang w:val="en-US" w:eastAsia="zh-CN" w:bidi="ar"/>
              </w:rPr>
              <w:t>次</w:t>
            </w:r>
          </w:p>
        </w:tc>
        <w:tc>
          <w:tcPr>
            <w:tcW w:w="0" w:type="auto"/>
            <w:shd w:val="clear" w:color="auto" w:fill="auto"/>
            <w:vAlign w:val="center"/>
          </w:tcPr>
          <w:p w14:paraId="64024F6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市场监管、综合执法、</w:t>
            </w:r>
          </w:p>
          <w:p w14:paraId="0C83428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消防等部门</w:t>
            </w:r>
          </w:p>
          <w:p w14:paraId="533CCC81">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2DBBD651">
            <w:pPr>
              <w:spacing w:line="240" w:lineRule="exact"/>
              <w:jc w:val="center"/>
              <w:rPr>
                <w:rFonts w:hint="eastAsia" w:ascii="Times New Roman" w:hAnsi="Times New Roman" w:eastAsia="宋体"/>
                <w:color w:val="000000"/>
                <w:kern w:val="0"/>
                <w:sz w:val="18"/>
                <w:szCs w:val="18"/>
                <w:lang w:val="en-US" w:eastAsia="zh-CN" w:bidi="ar"/>
              </w:rPr>
            </w:pPr>
          </w:p>
        </w:tc>
      </w:tr>
      <w:tr w14:paraId="3A4B0C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3131EDA6">
            <w:pPr>
              <w:spacing w:line="240" w:lineRule="exact"/>
              <w:jc w:val="center"/>
              <w:rPr>
                <w:rFonts w:hint="eastAsia" w:ascii="Times New Roman" w:hAnsi="Times New Roman" w:eastAsia="宋体"/>
                <w:color w:val="000000"/>
                <w:kern w:val="0"/>
                <w:sz w:val="18"/>
                <w:szCs w:val="18"/>
                <w:lang w:val="en-US" w:eastAsia="zh-CN" w:bidi="ar"/>
              </w:rPr>
            </w:pPr>
          </w:p>
          <w:p w14:paraId="1E2F7383">
            <w:pPr>
              <w:spacing w:line="240" w:lineRule="exact"/>
              <w:jc w:val="center"/>
              <w:rPr>
                <w:rFonts w:hint="eastAsia" w:ascii="Times New Roman" w:hAnsi="Times New Roman" w:eastAsia="宋体"/>
                <w:color w:val="000000"/>
                <w:kern w:val="0"/>
                <w:sz w:val="18"/>
                <w:szCs w:val="18"/>
                <w:lang w:val="en-US" w:eastAsia="zh-CN" w:bidi="ar"/>
              </w:rPr>
            </w:pPr>
          </w:p>
          <w:p w14:paraId="07CBD137">
            <w:pPr>
              <w:spacing w:line="240" w:lineRule="exact"/>
              <w:jc w:val="center"/>
              <w:rPr>
                <w:rFonts w:hint="eastAsia" w:ascii="Times New Roman" w:hAnsi="Times New Roman" w:eastAsia="宋体"/>
                <w:color w:val="000000"/>
                <w:kern w:val="0"/>
                <w:sz w:val="18"/>
                <w:szCs w:val="18"/>
                <w:lang w:val="en-US" w:eastAsia="zh-CN" w:bidi="ar"/>
              </w:rPr>
            </w:pPr>
          </w:p>
          <w:p w14:paraId="778B0D1A">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8</w:t>
            </w:r>
          </w:p>
        </w:tc>
        <w:tc>
          <w:tcPr>
            <w:tcW w:w="1248" w:type="dxa"/>
          </w:tcPr>
          <w:p w14:paraId="7EE50B58">
            <w:pPr>
              <w:spacing w:line="240" w:lineRule="exact"/>
              <w:jc w:val="center"/>
              <w:rPr>
                <w:rFonts w:hint="eastAsia" w:ascii="Times New Roman" w:hAnsi="Times New Roman" w:eastAsia="宋体"/>
                <w:color w:val="000000"/>
                <w:kern w:val="0"/>
                <w:sz w:val="18"/>
                <w:szCs w:val="18"/>
                <w:lang w:val="en-US" w:eastAsia="zh-CN" w:bidi="ar"/>
              </w:rPr>
            </w:pPr>
          </w:p>
          <w:p w14:paraId="5B89341A">
            <w:pPr>
              <w:spacing w:line="240" w:lineRule="exact"/>
              <w:jc w:val="center"/>
              <w:rPr>
                <w:rFonts w:hint="eastAsia" w:ascii="Times New Roman" w:hAnsi="Times New Roman" w:eastAsia="宋体"/>
                <w:color w:val="000000"/>
                <w:kern w:val="0"/>
                <w:sz w:val="18"/>
                <w:szCs w:val="18"/>
                <w:lang w:val="en-US" w:eastAsia="zh-CN" w:bidi="ar"/>
              </w:rPr>
            </w:pPr>
          </w:p>
          <w:p w14:paraId="13A803C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金凤区农业农村和水务局</w:t>
            </w:r>
          </w:p>
        </w:tc>
        <w:tc>
          <w:tcPr>
            <w:tcW w:w="1326" w:type="dxa"/>
            <w:shd w:val="clear" w:color="auto" w:fill="auto"/>
            <w:vAlign w:val="center"/>
          </w:tcPr>
          <w:p w14:paraId="4BD75AA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农业投入品</w:t>
            </w:r>
          </w:p>
        </w:tc>
        <w:tc>
          <w:tcPr>
            <w:tcW w:w="0" w:type="auto"/>
            <w:shd w:val="clear" w:color="auto" w:fill="auto"/>
            <w:vAlign w:val="center"/>
          </w:tcPr>
          <w:p w14:paraId="22550D6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《中华人民共和国农产品质量安全法》第四十五条、第四十六条、四十七条；</w:t>
            </w:r>
          </w:p>
        </w:tc>
        <w:tc>
          <w:tcPr>
            <w:tcW w:w="0" w:type="auto"/>
            <w:shd w:val="clear" w:color="auto" w:fill="auto"/>
            <w:vAlign w:val="center"/>
          </w:tcPr>
          <w:p w14:paraId="75C356A5">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企业的类型或者范围</w:t>
            </w:r>
          </w:p>
        </w:tc>
        <w:tc>
          <w:tcPr>
            <w:tcW w:w="0" w:type="auto"/>
            <w:shd w:val="clear" w:color="auto" w:fill="auto"/>
            <w:vAlign w:val="center"/>
          </w:tcPr>
          <w:p w14:paraId="0C57B41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每月</w:t>
            </w:r>
          </w:p>
        </w:tc>
        <w:tc>
          <w:tcPr>
            <w:tcW w:w="0" w:type="auto"/>
            <w:shd w:val="clear" w:color="auto" w:fill="auto"/>
            <w:vAlign w:val="center"/>
          </w:tcPr>
          <w:p w14:paraId="27734571">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20家</w:t>
            </w:r>
          </w:p>
        </w:tc>
        <w:tc>
          <w:tcPr>
            <w:tcW w:w="0" w:type="auto"/>
            <w:shd w:val="clear" w:color="auto" w:fill="auto"/>
            <w:vAlign w:val="center"/>
          </w:tcPr>
          <w:p w14:paraId="03402C2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一年一次</w:t>
            </w:r>
          </w:p>
        </w:tc>
        <w:tc>
          <w:tcPr>
            <w:tcW w:w="0" w:type="auto"/>
            <w:shd w:val="clear" w:color="auto" w:fill="auto"/>
            <w:vAlign w:val="center"/>
          </w:tcPr>
          <w:p w14:paraId="09EEC8D6">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264B225A">
            <w:pPr>
              <w:spacing w:line="240" w:lineRule="exact"/>
              <w:jc w:val="center"/>
              <w:rPr>
                <w:rFonts w:hint="eastAsia" w:ascii="Times New Roman" w:hAnsi="Times New Roman" w:eastAsia="宋体"/>
                <w:color w:val="000000"/>
                <w:kern w:val="0"/>
                <w:sz w:val="18"/>
                <w:szCs w:val="18"/>
                <w:lang w:val="en-US" w:eastAsia="zh-CN" w:bidi="ar"/>
              </w:rPr>
            </w:pPr>
          </w:p>
        </w:tc>
      </w:tr>
      <w:tr w14:paraId="7CCC29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61D076E7">
            <w:pPr>
              <w:spacing w:line="240" w:lineRule="exact"/>
              <w:jc w:val="center"/>
              <w:rPr>
                <w:rFonts w:hint="eastAsia" w:ascii="Times New Roman" w:hAnsi="Times New Roman" w:eastAsia="宋体"/>
                <w:color w:val="000000"/>
                <w:kern w:val="0"/>
                <w:sz w:val="18"/>
                <w:szCs w:val="18"/>
                <w:lang w:val="en-US" w:eastAsia="zh-CN" w:bidi="ar"/>
              </w:rPr>
            </w:pPr>
          </w:p>
          <w:p w14:paraId="0C695C35">
            <w:pPr>
              <w:spacing w:line="240" w:lineRule="exact"/>
              <w:jc w:val="center"/>
              <w:rPr>
                <w:rFonts w:hint="eastAsia" w:ascii="Times New Roman" w:hAnsi="Times New Roman" w:eastAsia="宋体"/>
                <w:color w:val="000000"/>
                <w:kern w:val="0"/>
                <w:sz w:val="18"/>
                <w:szCs w:val="18"/>
                <w:lang w:val="en-US" w:eastAsia="zh-CN" w:bidi="ar"/>
              </w:rPr>
            </w:pPr>
          </w:p>
          <w:p w14:paraId="2DF946B4">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9</w:t>
            </w:r>
          </w:p>
        </w:tc>
        <w:tc>
          <w:tcPr>
            <w:tcW w:w="1248" w:type="dxa"/>
          </w:tcPr>
          <w:p w14:paraId="689CC38B">
            <w:pPr>
              <w:spacing w:line="240" w:lineRule="exact"/>
              <w:jc w:val="center"/>
              <w:rPr>
                <w:rFonts w:hint="eastAsia" w:ascii="Times New Roman" w:hAnsi="Times New Roman" w:eastAsia="宋体"/>
                <w:color w:val="000000"/>
                <w:kern w:val="0"/>
                <w:sz w:val="18"/>
                <w:szCs w:val="18"/>
                <w:lang w:val="en-US" w:eastAsia="zh-CN" w:bidi="ar"/>
              </w:rPr>
            </w:pPr>
          </w:p>
          <w:p w14:paraId="38741999">
            <w:pPr>
              <w:spacing w:line="240" w:lineRule="exact"/>
              <w:jc w:val="center"/>
              <w:rPr>
                <w:rFonts w:hint="eastAsia" w:ascii="Times New Roman" w:hAnsi="Times New Roman" w:eastAsia="宋体"/>
                <w:color w:val="000000"/>
                <w:kern w:val="0"/>
                <w:sz w:val="18"/>
                <w:szCs w:val="18"/>
                <w:lang w:val="en-US" w:eastAsia="zh-CN" w:bidi="ar"/>
              </w:rPr>
            </w:pPr>
          </w:p>
          <w:p w14:paraId="7994187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金凤区农业农村和水务局</w:t>
            </w:r>
          </w:p>
        </w:tc>
        <w:tc>
          <w:tcPr>
            <w:tcW w:w="1326" w:type="dxa"/>
            <w:shd w:val="clear" w:color="auto" w:fill="auto"/>
            <w:vAlign w:val="center"/>
          </w:tcPr>
          <w:p w14:paraId="77B299D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取水许可检查</w:t>
            </w:r>
          </w:p>
        </w:tc>
        <w:tc>
          <w:tcPr>
            <w:tcW w:w="0" w:type="auto"/>
            <w:shd w:val="clear" w:color="auto" w:fill="auto"/>
            <w:vAlign w:val="center"/>
          </w:tcPr>
          <w:p w14:paraId="131D064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《中华人民共和国水法（2016）》</w:t>
            </w:r>
          </w:p>
          <w:p w14:paraId="271751B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该法第四十八条</w:t>
            </w:r>
          </w:p>
          <w:p w14:paraId="353BB265">
            <w:pPr>
              <w:spacing w:line="240" w:lineRule="exact"/>
              <w:jc w:val="center"/>
              <w:rPr>
                <w:rFonts w:hint="eastAsia" w:ascii="Times New Roman" w:hAnsi="Times New Roman" w:eastAsia="宋体"/>
                <w:color w:val="000000"/>
                <w:kern w:val="0"/>
                <w:sz w:val="18"/>
                <w:szCs w:val="18"/>
                <w:lang w:val="en-US" w:eastAsia="zh-CN" w:bidi="ar"/>
              </w:rPr>
            </w:pPr>
          </w:p>
        </w:tc>
        <w:tc>
          <w:tcPr>
            <w:tcW w:w="0" w:type="auto"/>
            <w:shd w:val="clear" w:color="auto" w:fill="auto"/>
            <w:vAlign w:val="center"/>
          </w:tcPr>
          <w:p w14:paraId="3944A527">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农业</w:t>
            </w:r>
          </w:p>
        </w:tc>
        <w:tc>
          <w:tcPr>
            <w:tcW w:w="0" w:type="auto"/>
            <w:shd w:val="clear" w:color="auto" w:fill="auto"/>
            <w:vAlign w:val="center"/>
          </w:tcPr>
          <w:p w14:paraId="369173A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每月检查</w:t>
            </w:r>
          </w:p>
        </w:tc>
        <w:tc>
          <w:tcPr>
            <w:tcW w:w="0" w:type="auto"/>
            <w:shd w:val="clear" w:color="auto" w:fill="auto"/>
            <w:vAlign w:val="center"/>
          </w:tcPr>
          <w:p w14:paraId="1FA67CF4">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60</w:t>
            </w:r>
          </w:p>
        </w:tc>
        <w:tc>
          <w:tcPr>
            <w:tcW w:w="0" w:type="auto"/>
            <w:shd w:val="clear" w:color="auto" w:fill="auto"/>
            <w:vAlign w:val="center"/>
          </w:tcPr>
          <w:p w14:paraId="6C530C8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3</w:t>
            </w:r>
          </w:p>
        </w:tc>
        <w:tc>
          <w:tcPr>
            <w:tcW w:w="0" w:type="auto"/>
            <w:shd w:val="clear" w:color="auto" w:fill="auto"/>
            <w:vAlign w:val="center"/>
          </w:tcPr>
          <w:p w14:paraId="69DBD90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审批局</w:t>
            </w:r>
          </w:p>
        </w:tc>
        <w:tc>
          <w:tcPr>
            <w:tcW w:w="0" w:type="auto"/>
          </w:tcPr>
          <w:p w14:paraId="2B4BBDA3">
            <w:pPr>
              <w:spacing w:line="240" w:lineRule="exact"/>
              <w:jc w:val="center"/>
              <w:rPr>
                <w:rFonts w:hint="eastAsia" w:ascii="Times New Roman" w:hAnsi="Times New Roman" w:eastAsia="宋体"/>
                <w:color w:val="000000"/>
                <w:kern w:val="0"/>
                <w:sz w:val="18"/>
                <w:szCs w:val="18"/>
                <w:lang w:val="en-US" w:eastAsia="zh-CN" w:bidi="ar"/>
              </w:rPr>
            </w:pPr>
          </w:p>
        </w:tc>
      </w:tr>
      <w:tr w14:paraId="6978CF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26C2E226">
            <w:pPr>
              <w:spacing w:line="240" w:lineRule="exact"/>
              <w:jc w:val="center"/>
              <w:rPr>
                <w:rFonts w:hint="eastAsia" w:ascii="Times New Roman" w:hAnsi="Times New Roman" w:eastAsia="宋体"/>
                <w:color w:val="000000"/>
                <w:kern w:val="0"/>
                <w:sz w:val="18"/>
                <w:szCs w:val="18"/>
                <w:lang w:val="en-US" w:eastAsia="zh-CN" w:bidi="ar"/>
              </w:rPr>
            </w:pPr>
          </w:p>
          <w:p w14:paraId="1F85B66A">
            <w:pPr>
              <w:spacing w:line="240" w:lineRule="exact"/>
              <w:jc w:val="center"/>
              <w:rPr>
                <w:rFonts w:hint="eastAsia" w:ascii="Times New Roman" w:hAnsi="Times New Roman" w:eastAsia="宋体"/>
                <w:color w:val="000000"/>
                <w:kern w:val="0"/>
                <w:sz w:val="18"/>
                <w:szCs w:val="18"/>
                <w:lang w:val="en-US" w:eastAsia="zh-CN" w:bidi="ar"/>
              </w:rPr>
            </w:pPr>
          </w:p>
          <w:p w14:paraId="0EB4F57C">
            <w:pPr>
              <w:spacing w:line="240" w:lineRule="exact"/>
              <w:jc w:val="center"/>
              <w:rPr>
                <w:rFonts w:hint="eastAsia" w:ascii="Times New Roman" w:hAnsi="Times New Roman" w:eastAsia="宋体"/>
                <w:color w:val="000000"/>
                <w:kern w:val="0"/>
                <w:sz w:val="18"/>
                <w:szCs w:val="18"/>
                <w:lang w:val="en-US" w:eastAsia="zh-CN" w:bidi="ar"/>
              </w:rPr>
            </w:pPr>
          </w:p>
          <w:p w14:paraId="64A4FAC8">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w:t>
            </w:r>
          </w:p>
        </w:tc>
        <w:tc>
          <w:tcPr>
            <w:tcW w:w="1248" w:type="dxa"/>
          </w:tcPr>
          <w:p w14:paraId="3B50434C">
            <w:pPr>
              <w:spacing w:line="240" w:lineRule="exact"/>
              <w:jc w:val="center"/>
              <w:rPr>
                <w:rFonts w:hint="eastAsia" w:ascii="Times New Roman" w:hAnsi="Times New Roman" w:eastAsia="宋体"/>
                <w:color w:val="000000"/>
                <w:kern w:val="0"/>
                <w:sz w:val="18"/>
                <w:szCs w:val="18"/>
                <w:lang w:val="en-US" w:eastAsia="zh-CN" w:bidi="ar"/>
              </w:rPr>
            </w:pPr>
          </w:p>
          <w:p w14:paraId="09DD64CA">
            <w:pPr>
              <w:spacing w:line="240" w:lineRule="exact"/>
              <w:jc w:val="center"/>
              <w:rPr>
                <w:rFonts w:hint="eastAsia" w:ascii="Times New Roman" w:hAnsi="Times New Roman" w:eastAsia="宋体"/>
                <w:color w:val="000000"/>
                <w:kern w:val="0"/>
                <w:sz w:val="18"/>
                <w:szCs w:val="18"/>
                <w:lang w:val="en-US" w:eastAsia="zh-CN" w:bidi="ar"/>
              </w:rPr>
            </w:pPr>
          </w:p>
          <w:p w14:paraId="601BCE8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金凤区农业农村和水务局</w:t>
            </w:r>
          </w:p>
        </w:tc>
        <w:tc>
          <w:tcPr>
            <w:tcW w:w="1326" w:type="dxa"/>
            <w:shd w:val="clear" w:color="auto" w:fill="auto"/>
            <w:vAlign w:val="center"/>
          </w:tcPr>
          <w:p w14:paraId="51BBAE0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动物诊疗</w:t>
            </w:r>
          </w:p>
        </w:tc>
        <w:tc>
          <w:tcPr>
            <w:tcW w:w="0" w:type="auto"/>
            <w:shd w:val="clear" w:color="auto" w:fill="auto"/>
            <w:vAlign w:val="center"/>
          </w:tcPr>
          <w:p w14:paraId="4FC9E9A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《动物防疫法》第六章动物诊疗部分第五十到第五十六条。《</w:t>
            </w:r>
            <w:r>
              <w:rPr>
                <w:rFonts w:hint="default" w:ascii="Times New Roman" w:hAnsi="Times New Roman" w:eastAsia="宋体"/>
                <w:color w:val="000000"/>
                <w:kern w:val="0"/>
                <w:sz w:val="18"/>
                <w:szCs w:val="18"/>
                <w:lang w:val="en-US" w:eastAsia="zh-CN" w:bidi="ar"/>
              </w:rPr>
              <w:t>动物诊疗机构管理办法</w:t>
            </w:r>
          </w:p>
          <w:p w14:paraId="5BC75AA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》第五条到第三十一条</w:t>
            </w:r>
          </w:p>
        </w:tc>
        <w:tc>
          <w:tcPr>
            <w:tcW w:w="0" w:type="auto"/>
            <w:shd w:val="clear" w:color="auto" w:fill="auto"/>
            <w:vAlign w:val="center"/>
          </w:tcPr>
          <w:p w14:paraId="4FB4B677">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服务业、建筑业</w:t>
            </w:r>
          </w:p>
        </w:tc>
        <w:tc>
          <w:tcPr>
            <w:tcW w:w="0" w:type="auto"/>
            <w:shd w:val="clear" w:color="auto" w:fill="auto"/>
            <w:vAlign w:val="center"/>
          </w:tcPr>
          <w:p w14:paraId="2CE9D18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第二、第三第四季度</w:t>
            </w:r>
          </w:p>
        </w:tc>
        <w:tc>
          <w:tcPr>
            <w:tcW w:w="0" w:type="auto"/>
            <w:shd w:val="clear" w:color="auto" w:fill="auto"/>
            <w:vAlign w:val="center"/>
          </w:tcPr>
          <w:p w14:paraId="6873F37B">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40%</w:t>
            </w:r>
          </w:p>
        </w:tc>
        <w:tc>
          <w:tcPr>
            <w:tcW w:w="0" w:type="auto"/>
            <w:shd w:val="clear" w:color="auto" w:fill="auto"/>
            <w:vAlign w:val="center"/>
          </w:tcPr>
          <w:p w14:paraId="3A7797F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w:t>
            </w:r>
          </w:p>
        </w:tc>
        <w:tc>
          <w:tcPr>
            <w:tcW w:w="0" w:type="auto"/>
            <w:shd w:val="clear" w:color="auto" w:fill="auto"/>
            <w:vAlign w:val="center"/>
          </w:tcPr>
          <w:p w14:paraId="055D2CA6">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0AB6010A">
            <w:pPr>
              <w:spacing w:line="240" w:lineRule="exact"/>
              <w:jc w:val="center"/>
              <w:rPr>
                <w:rFonts w:hint="eastAsia" w:ascii="Times New Roman" w:hAnsi="Times New Roman" w:eastAsia="宋体"/>
                <w:color w:val="000000"/>
                <w:kern w:val="0"/>
                <w:sz w:val="18"/>
                <w:szCs w:val="18"/>
                <w:lang w:val="en-US" w:eastAsia="zh-CN" w:bidi="ar"/>
              </w:rPr>
            </w:pPr>
          </w:p>
        </w:tc>
      </w:tr>
      <w:tr w14:paraId="04E68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175D5EC9">
            <w:pPr>
              <w:spacing w:line="240" w:lineRule="exact"/>
              <w:jc w:val="center"/>
              <w:rPr>
                <w:rFonts w:hint="eastAsia" w:ascii="Times New Roman" w:hAnsi="Times New Roman" w:eastAsia="宋体"/>
                <w:color w:val="000000"/>
                <w:kern w:val="0"/>
                <w:sz w:val="18"/>
                <w:szCs w:val="18"/>
                <w:lang w:val="en-US" w:eastAsia="zh-CN" w:bidi="ar"/>
              </w:rPr>
            </w:pPr>
          </w:p>
          <w:p w14:paraId="6389EFC7">
            <w:pPr>
              <w:spacing w:line="240" w:lineRule="exact"/>
              <w:jc w:val="center"/>
              <w:rPr>
                <w:rFonts w:hint="eastAsia" w:ascii="Times New Roman" w:hAnsi="Times New Roman" w:eastAsia="宋体"/>
                <w:color w:val="000000"/>
                <w:kern w:val="0"/>
                <w:sz w:val="18"/>
                <w:szCs w:val="18"/>
                <w:lang w:val="en-US" w:eastAsia="zh-CN" w:bidi="ar"/>
              </w:rPr>
            </w:pPr>
          </w:p>
          <w:p w14:paraId="68257CD6">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11</w:t>
            </w:r>
          </w:p>
        </w:tc>
        <w:tc>
          <w:tcPr>
            <w:tcW w:w="1248" w:type="dxa"/>
          </w:tcPr>
          <w:p w14:paraId="51DE5DDF">
            <w:pPr>
              <w:spacing w:line="240" w:lineRule="exact"/>
              <w:jc w:val="center"/>
              <w:rPr>
                <w:rFonts w:hint="eastAsia" w:ascii="Times New Roman" w:hAnsi="Times New Roman" w:eastAsia="宋体"/>
                <w:color w:val="000000"/>
                <w:kern w:val="0"/>
                <w:sz w:val="18"/>
                <w:szCs w:val="18"/>
                <w:lang w:val="en-US" w:eastAsia="zh-CN" w:bidi="ar"/>
              </w:rPr>
            </w:pPr>
          </w:p>
          <w:p w14:paraId="7409CC06">
            <w:pPr>
              <w:spacing w:line="240" w:lineRule="exact"/>
              <w:jc w:val="center"/>
              <w:rPr>
                <w:rFonts w:hint="eastAsia" w:ascii="Times New Roman" w:hAnsi="Times New Roman" w:eastAsia="宋体"/>
                <w:color w:val="000000"/>
                <w:kern w:val="0"/>
                <w:sz w:val="18"/>
                <w:szCs w:val="18"/>
                <w:lang w:val="en-US" w:eastAsia="zh-CN" w:bidi="ar"/>
              </w:rPr>
            </w:pPr>
          </w:p>
          <w:p w14:paraId="7A69595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金凤区农业农村和水务局</w:t>
            </w:r>
          </w:p>
        </w:tc>
        <w:tc>
          <w:tcPr>
            <w:tcW w:w="1326" w:type="dxa"/>
            <w:shd w:val="clear" w:color="auto" w:fill="auto"/>
            <w:vAlign w:val="center"/>
          </w:tcPr>
          <w:p w14:paraId="1997C4F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对农业机械的安全监督检查</w:t>
            </w:r>
          </w:p>
        </w:tc>
        <w:tc>
          <w:tcPr>
            <w:tcW w:w="0" w:type="auto"/>
            <w:shd w:val="clear" w:color="auto" w:fill="auto"/>
            <w:vAlign w:val="center"/>
          </w:tcPr>
          <w:p w14:paraId="7AB1356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《农业机械安全监督管理条例》(中华人民共和国国务院令2009年第563号)第九条、第四十条。</w:t>
            </w:r>
          </w:p>
        </w:tc>
        <w:tc>
          <w:tcPr>
            <w:tcW w:w="0" w:type="auto"/>
            <w:shd w:val="clear" w:color="auto" w:fill="auto"/>
            <w:vAlign w:val="center"/>
          </w:tcPr>
          <w:p w14:paraId="7D9262FE">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动物诊疗机构</w:t>
            </w:r>
          </w:p>
        </w:tc>
        <w:tc>
          <w:tcPr>
            <w:tcW w:w="0" w:type="auto"/>
            <w:shd w:val="clear" w:color="auto" w:fill="auto"/>
            <w:vAlign w:val="center"/>
          </w:tcPr>
          <w:p w14:paraId="0D82C8B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春耕、夏收、秋收</w:t>
            </w:r>
          </w:p>
        </w:tc>
        <w:tc>
          <w:tcPr>
            <w:tcW w:w="0" w:type="auto"/>
            <w:shd w:val="clear" w:color="auto" w:fill="auto"/>
            <w:vAlign w:val="center"/>
          </w:tcPr>
          <w:p w14:paraId="0173A8ED">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50%</w:t>
            </w:r>
          </w:p>
        </w:tc>
        <w:tc>
          <w:tcPr>
            <w:tcW w:w="0" w:type="auto"/>
            <w:shd w:val="clear" w:color="auto" w:fill="auto"/>
            <w:vAlign w:val="center"/>
          </w:tcPr>
          <w:p w14:paraId="76D7D90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3次</w:t>
            </w:r>
          </w:p>
        </w:tc>
        <w:tc>
          <w:tcPr>
            <w:tcW w:w="0" w:type="auto"/>
            <w:shd w:val="clear" w:color="auto" w:fill="auto"/>
            <w:vAlign w:val="center"/>
          </w:tcPr>
          <w:p w14:paraId="70364502">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5EA1FE71">
            <w:pPr>
              <w:spacing w:line="240" w:lineRule="exact"/>
              <w:jc w:val="center"/>
              <w:rPr>
                <w:rFonts w:hint="eastAsia" w:ascii="Times New Roman" w:hAnsi="Times New Roman" w:eastAsia="宋体"/>
                <w:color w:val="000000"/>
                <w:kern w:val="0"/>
                <w:sz w:val="18"/>
                <w:szCs w:val="18"/>
                <w:lang w:val="en-US" w:eastAsia="zh-CN" w:bidi="ar"/>
              </w:rPr>
            </w:pPr>
          </w:p>
        </w:tc>
      </w:tr>
      <w:tr w14:paraId="05F59C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7A682F4B">
            <w:pPr>
              <w:spacing w:line="240" w:lineRule="exact"/>
              <w:jc w:val="center"/>
              <w:rPr>
                <w:rFonts w:hint="eastAsia" w:ascii="Times New Roman" w:hAnsi="Times New Roman" w:eastAsia="宋体"/>
                <w:color w:val="000000"/>
                <w:kern w:val="0"/>
                <w:sz w:val="18"/>
                <w:szCs w:val="18"/>
                <w:lang w:val="en-US" w:eastAsia="zh-CN" w:bidi="ar"/>
              </w:rPr>
            </w:pPr>
          </w:p>
          <w:p w14:paraId="7EE05C26">
            <w:pPr>
              <w:spacing w:line="240" w:lineRule="exact"/>
              <w:jc w:val="center"/>
              <w:rPr>
                <w:rFonts w:hint="eastAsia" w:ascii="Times New Roman" w:hAnsi="Times New Roman" w:eastAsia="宋体"/>
                <w:color w:val="000000"/>
                <w:kern w:val="0"/>
                <w:sz w:val="18"/>
                <w:szCs w:val="18"/>
                <w:lang w:val="en-US" w:eastAsia="zh-CN" w:bidi="ar"/>
              </w:rPr>
            </w:pPr>
          </w:p>
          <w:p w14:paraId="5294DF7D">
            <w:pPr>
              <w:spacing w:line="240" w:lineRule="exact"/>
              <w:jc w:val="center"/>
              <w:rPr>
                <w:rFonts w:hint="eastAsia" w:ascii="Times New Roman" w:hAnsi="Times New Roman" w:eastAsia="宋体"/>
                <w:color w:val="000000"/>
                <w:kern w:val="0"/>
                <w:sz w:val="18"/>
                <w:szCs w:val="18"/>
                <w:lang w:val="en-US" w:eastAsia="zh-CN" w:bidi="ar"/>
              </w:rPr>
            </w:pPr>
          </w:p>
          <w:p w14:paraId="63F2C57D">
            <w:pPr>
              <w:spacing w:line="240" w:lineRule="exact"/>
              <w:jc w:val="center"/>
              <w:rPr>
                <w:rFonts w:hint="eastAsia" w:ascii="Times New Roman" w:hAnsi="Times New Roman" w:eastAsia="宋体"/>
                <w:color w:val="000000"/>
                <w:kern w:val="0"/>
                <w:sz w:val="18"/>
                <w:szCs w:val="18"/>
                <w:lang w:val="en-US" w:eastAsia="zh-CN" w:bidi="ar"/>
              </w:rPr>
            </w:pPr>
          </w:p>
          <w:p w14:paraId="50C46F3F">
            <w:pPr>
              <w:spacing w:line="240" w:lineRule="exact"/>
              <w:jc w:val="center"/>
              <w:rPr>
                <w:rFonts w:hint="eastAsia" w:ascii="Times New Roman" w:hAnsi="Times New Roman" w:eastAsia="宋体"/>
                <w:color w:val="000000"/>
                <w:kern w:val="0"/>
                <w:sz w:val="18"/>
                <w:szCs w:val="18"/>
                <w:lang w:val="en-US" w:eastAsia="zh-CN" w:bidi="ar"/>
              </w:rPr>
            </w:pPr>
          </w:p>
          <w:p w14:paraId="0A5FFEEE">
            <w:pPr>
              <w:spacing w:line="240" w:lineRule="exact"/>
              <w:jc w:val="center"/>
              <w:rPr>
                <w:rFonts w:hint="eastAsia" w:ascii="Times New Roman" w:hAnsi="Times New Roman" w:eastAsia="宋体"/>
                <w:color w:val="000000"/>
                <w:kern w:val="0"/>
                <w:sz w:val="18"/>
                <w:szCs w:val="18"/>
                <w:lang w:val="en-US" w:eastAsia="zh-CN" w:bidi="ar"/>
              </w:rPr>
            </w:pPr>
          </w:p>
          <w:p w14:paraId="504B193D">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12</w:t>
            </w:r>
          </w:p>
        </w:tc>
        <w:tc>
          <w:tcPr>
            <w:tcW w:w="1248" w:type="dxa"/>
          </w:tcPr>
          <w:p w14:paraId="28261C34">
            <w:pPr>
              <w:spacing w:line="240" w:lineRule="exact"/>
              <w:jc w:val="center"/>
              <w:rPr>
                <w:rFonts w:hint="eastAsia" w:ascii="Times New Roman" w:hAnsi="Times New Roman" w:eastAsia="宋体"/>
                <w:color w:val="000000"/>
                <w:kern w:val="0"/>
                <w:sz w:val="18"/>
                <w:szCs w:val="18"/>
                <w:lang w:val="en-US" w:eastAsia="zh-CN" w:bidi="ar"/>
              </w:rPr>
            </w:pPr>
          </w:p>
          <w:p w14:paraId="7BD44D98">
            <w:pPr>
              <w:spacing w:line="240" w:lineRule="exact"/>
              <w:jc w:val="center"/>
              <w:rPr>
                <w:rFonts w:hint="eastAsia" w:ascii="Times New Roman" w:hAnsi="Times New Roman" w:eastAsia="宋体"/>
                <w:color w:val="000000"/>
                <w:kern w:val="0"/>
                <w:sz w:val="18"/>
                <w:szCs w:val="18"/>
                <w:lang w:val="en-US" w:eastAsia="zh-CN" w:bidi="ar"/>
              </w:rPr>
            </w:pPr>
          </w:p>
          <w:p w14:paraId="7282B61D">
            <w:pPr>
              <w:spacing w:line="240" w:lineRule="exact"/>
              <w:jc w:val="center"/>
              <w:rPr>
                <w:rFonts w:hint="eastAsia" w:ascii="Times New Roman" w:hAnsi="Times New Roman" w:eastAsia="宋体"/>
                <w:color w:val="000000"/>
                <w:kern w:val="0"/>
                <w:sz w:val="18"/>
                <w:szCs w:val="18"/>
                <w:lang w:val="en-US" w:eastAsia="zh-CN" w:bidi="ar"/>
              </w:rPr>
            </w:pPr>
          </w:p>
          <w:p w14:paraId="592B6CEF">
            <w:pPr>
              <w:spacing w:line="240" w:lineRule="exact"/>
              <w:jc w:val="center"/>
              <w:rPr>
                <w:rFonts w:hint="eastAsia" w:ascii="Times New Roman" w:hAnsi="Times New Roman" w:eastAsia="宋体"/>
                <w:color w:val="000000"/>
                <w:kern w:val="0"/>
                <w:sz w:val="18"/>
                <w:szCs w:val="18"/>
                <w:lang w:val="en-US" w:eastAsia="zh-CN" w:bidi="ar"/>
              </w:rPr>
            </w:pPr>
          </w:p>
          <w:p w14:paraId="5F7187E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金凤区商务和投资促进局</w:t>
            </w:r>
          </w:p>
        </w:tc>
        <w:tc>
          <w:tcPr>
            <w:tcW w:w="1326" w:type="dxa"/>
            <w:shd w:val="clear" w:color="auto" w:fill="auto"/>
            <w:vAlign w:val="center"/>
          </w:tcPr>
          <w:p w14:paraId="09A6C00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商业综合体综合查一次</w:t>
            </w:r>
          </w:p>
        </w:tc>
        <w:tc>
          <w:tcPr>
            <w:tcW w:w="0" w:type="auto"/>
            <w:shd w:val="clear" w:color="auto" w:fill="auto"/>
            <w:vAlign w:val="center"/>
          </w:tcPr>
          <w:p w14:paraId="576DB38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ab/>
            </w:r>
            <w:r>
              <w:rPr>
                <w:rFonts w:hint="eastAsia" w:ascii="Times New Roman" w:hAnsi="Times New Roman" w:eastAsia="宋体"/>
                <w:color w:val="000000"/>
                <w:kern w:val="0"/>
                <w:sz w:val="18"/>
                <w:szCs w:val="18"/>
                <w:lang w:val="en-US" w:eastAsia="zh-CN" w:bidi="ar"/>
              </w:rPr>
              <w:t>根据(国办发[2023]1 号)《国务院办公厅关于深入推进跨部门综合监管的指导意见》、(国办发</w:t>
            </w:r>
          </w:p>
          <w:p w14:paraId="67C93FE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[2024]54号)《国务院办公厅关于严格规范涉企行政检查的意见》，以及自治区、银川市有关要求，结合我局实际情况，制定金凤区大型商业综合体“综合查一次”工作实施方案。</w:t>
            </w:r>
          </w:p>
        </w:tc>
        <w:tc>
          <w:tcPr>
            <w:tcW w:w="0" w:type="auto"/>
            <w:shd w:val="clear" w:color="auto" w:fill="auto"/>
            <w:vAlign w:val="center"/>
          </w:tcPr>
          <w:p w14:paraId="57D8937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大型商业综合体</w:t>
            </w:r>
          </w:p>
        </w:tc>
        <w:tc>
          <w:tcPr>
            <w:tcW w:w="0" w:type="auto"/>
            <w:shd w:val="clear" w:color="auto" w:fill="auto"/>
            <w:vAlign w:val="center"/>
          </w:tcPr>
          <w:p w14:paraId="594DE00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暂定于2025年5月</w:t>
            </w:r>
          </w:p>
        </w:tc>
        <w:tc>
          <w:tcPr>
            <w:tcW w:w="0" w:type="auto"/>
            <w:shd w:val="clear" w:color="auto" w:fill="auto"/>
            <w:vAlign w:val="center"/>
          </w:tcPr>
          <w:p w14:paraId="5EB4530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6家</w:t>
            </w:r>
          </w:p>
        </w:tc>
        <w:tc>
          <w:tcPr>
            <w:tcW w:w="0" w:type="auto"/>
            <w:shd w:val="clear" w:color="auto" w:fill="auto"/>
            <w:vAlign w:val="center"/>
          </w:tcPr>
          <w:p w14:paraId="75B3993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一年一次</w:t>
            </w:r>
          </w:p>
        </w:tc>
        <w:tc>
          <w:tcPr>
            <w:tcW w:w="0" w:type="auto"/>
            <w:shd w:val="clear" w:color="auto" w:fill="auto"/>
            <w:vAlign w:val="center"/>
          </w:tcPr>
          <w:p w14:paraId="039CEEA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人力资源和社会保障局、住房城乡建设和交通</w:t>
            </w:r>
          </w:p>
          <w:p w14:paraId="20C7C0C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局、文化旅游体育广电局、卫生健康局、综合执法局、公安分局、市场监督管理局金凤分局、消防救援大队、属地镇街</w:t>
            </w:r>
          </w:p>
        </w:tc>
        <w:tc>
          <w:tcPr>
            <w:tcW w:w="0" w:type="auto"/>
          </w:tcPr>
          <w:p w14:paraId="7036F333">
            <w:pPr>
              <w:spacing w:line="240" w:lineRule="exact"/>
              <w:jc w:val="center"/>
              <w:rPr>
                <w:rFonts w:hint="eastAsia" w:ascii="Times New Roman" w:hAnsi="Times New Roman" w:eastAsia="宋体"/>
                <w:color w:val="000000"/>
                <w:kern w:val="0"/>
                <w:sz w:val="18"/>
                <w:szCs w:val="18"/>
                <w:lang w:val="en-US" w:eastAsia="zh-CN" w:bidi="ar"/>
              </w:rPr>
            </w:pPr>
          </w:p>
        </w:tc>
      </w:tr>
      <w:tr w14:paraId="1A8766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78CC5AD0">
            <w:pPr>
              <w:spacing w:line="240" w:lineRule="exact"/>
              <w:jc w:val="center"/>
              <w:rPr>
                <w:rFonts w:hint="eastAsia" w:ascii="Times New Roman" w:hAnsi="Times New Roman" w:eastAsia="宋体"/>
                <w:color w:val="000000"/>
                <w:kern w:val="0"/>
                <w:sz w:val="18"/>
                <w:szCs w:val="18"/>
                <w:lang w:val="en-US" w:eastAsia="zh-CN" w:bidi="ar"/>
              </w:rPr>
            </w:pPr>
          </w:p>
          <w:p w14:paraId="0A38A870">
            <w:pPr>
              <w:spacing w:line="240" w:lineRule="exact"/>
              <w:jc w:val="center"/>
              <w:rPr>
                <w:rFonts w:hint="eastAsia" w:ascii="Times New Roman" w:hAnsi="Times New Roman" w:eastAsia="宋体"/>
                <w:color w:val="000000"/>
                <w:kern w:val="0"/>
                <w:sz w:val="18"/>
                <w:szCs w:val="18"/>
                <w:lang w:val="en-US" w:eastAsia="zh-CN" w:bidi="ar"/>
              </w:rPr>
            </w:pPr>
          </w:p>
          <w:p w14:paraId="14EB7599">
            <w:pPr>
              <w:spacing w:line="240" w:lineRule="exact"/>
              <w:jc w:val="center"/>
              <w:rPr>
                <w:rFonts w:hint="eastAsia" w:ascii="Times New Roman" w:hAnsi="Times New Roman" w:eastAsia="宋体"/>
                <w:color w:val="000000"/>
                <w:kern w:val="0"/>
                <w:sz w:val="18"/>
                <w:szCs w:val="18"/>
                <w:lang w:val="en-US" w:eastAsia="zh-CN" w:bidi="ar"/>
              </w:rPr>
            </w:pPr>
          </w:p>
          <w:p w14:paraId="1EF4D1A0">
            <w:pPr>
              <w:spacing w:line="240" w:lineRule="exact"/>
              <w:jc w:val="center"/>
              <w:rPr>
                <w:rFonts w:hint="eastAsia" w:ascii="Times New Roman" w:hAnsi="Times New Roman" w:eastAsia="宋体"/>
                <w:color w:val="000000"/>
                <w:kern w:val="0"/>
                <w:sz w:val="18"/>
                <w:szCs w:val="18"/>
                <w:lang w:val="en-US" w:eastAsia="zh-CN" w:bidi="ar"/>
              </w:rPr>
            </w:pPr>
          </w:p>
          <w:p w14:paraId="2377D6BC">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13</w:t>
            </w:r>
          </w:p>
        </w:tc>
        <w:tc>
          <w:tcPr>
            <w:tcW w:w="1248" w:type="dxa"/>
            <w:shd w:val="clear" w:color="auto" w:fill="auto"/>
            <w:vAlign w:val="center"/>
          </w:tcPr>
          <w:p w14:paraId="2750586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金凤区统计局</w:t>
            </w:r>
          </w:p>
        </w:tc>
        <w:tc>
          <w:tcPr>
            <w:tcW w:w="1326" w:type="dxa"/>
            <w:shd w:val="clear" w:color="auto" w:fill="auto"/>
            <w:vAlign w:val="center"/>
          </w:tcPr>
          <w:p w14:paraId="175DEDC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统计执法检查</w:t>
            </w:r>
          </w:p>
        </w:tc>
        <w:tc>
          <w:tcPr>
            <w:tcW w:w="0" w:type="auto"/>
            <w:shd w:val="clear" w:color="auto" w:fill="auto"/>
            <w:vAlign w:val="center"/>
          </w:tcPr>
          <w:p w14:paraId="5419F67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《中华人民共和国统计法》（2024年修正）</w:t>
            </w:r>
          </w:p>
          <w:p w14:paraId="0C47439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2.《中华人民共和国统计法实施条例》</w:t>
            </w:r>
          </w:p>
          <w:p w14:paraId="2B41FC8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3.统计报表制度</w:t>
            </w:r>
          </w:p>
        </w:tc>
        <w:tc>
          <w:tcPr>
            <w:tcW w:w="0" w:type="auto"/>
            <w:shd w:val="clear" w:color="auto" w:fill="auto"/>
            <w:vAlign w:val="center"/>
          </w:tcPr>
          <w:p w14:paraId="442BF13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统计调查对象</w:t>
            </w:r>
          </w:p>
        </w:tc>
        <w:tc>
          <w:tcPr>
            <w:tcW w:w="0" w:type="auto"/>
            <w:shd w:val="clear" w:color="auto" w:fill="auto"/>
            <w:vAlign w:val="center"/>
          </w:tcPr>
          <w:p w14:paraId="411C6C4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第三季度</w:t>
            </w:r>
          </w:p>
          <w:p w14:paraId="00720B2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第四季度</w:t>
            </w:r>
          </w:p>
        </w:tc>
        <w:tc>
          <w:tcPr>
            <w:tcW w:w="0" w:type="auto"/>
            <w:shd w:val="clear" w:color="auto" w:fill="auto"/>
            <w:vAlign w:val="center"/>
          </w:tcPr>
          <w:p w14:paraId="68C78AC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10家</w:t>
            </w:r>
          </w:p>
        </w:tc>
        <w:tc>
          <w:tcPr>
            <w:tcW w:w="0" w:type="auto"/>
            <w:shd w:val="clear" w:color="auto" w:fill="auto"/>
            <w:vAlign w:val="center"/>
          </w:tcPr>
          <w:p w14:paraId="0DA7ADD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1次</w:t>
            </w:r>
          </w:p>
        </w:tc>
        <w:tc>
          <w:tcPr>
            <w:tcW w:w="0" w:type="auto"/>
            <w:shd w:val="clear" w:color="auto" w:fill="auto"/>
            <w:vAlign w:val="center"/>
          </w:tcPr>
          <w:p w14:paraId="10EC327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全年对同一企业的实施行政检查的频次1次</w:t>
            </w:r>
          </w:p>
        </w:tc>
        <w:tc>
          <w:tcPr>
            <w:tcW w:w="0" w:type="auto"/>
          </w:tcPr>
          <w:p w14:paraId="0C8D6348">
            <w:pPr>
              <w:spacing w:line="240" w:lineRule="exact"/>
              <w:jc w:val="center"/>
              <w:rPr>
                <w:rFonts w:hint="eastAsia" w:ascii="Times New Roman" w:hAnsi="Times New Roman" w:eastAsia="宋体"/>
                <w:color w:val="000000"/>
                <w:kern w:val="0"/>
                <w:sz w:val="18"/>
                <w:szCs w:val="18"/>
                <w:lang w:val="en-US" w:eastAsia="zh-CN" w:bidi="ar"/>
              </w:rPr>
            </w:pPr>
          </w:p>
        </w:tc>
      </w:tr>
      <w:tr w14:paraId="07D19F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58C69750">
            <w:pPr>
              <w:spacing w:line="240" w:lineRule="exact"/>
              <w:jc w:val="center"/>
              <w:rPr>
                <w:rFonts w:hint="eastAsia" w:ascii="Times New Roman" w:hAnsi="Times New Roman" w:eastAsia="宋体"/>
                <w:color w:val="000000"/>
                <w:kern w:val="0"/>
                <w:sz w:val="18"/>
                <w:szCs w:val="18"/>
                <w:lang w:val="en-US" w:eastAsia="zh-CN" w:bidi="ar"/>
              </w:rPr>
            </w:pPr>
          </w:p>
          <w:p w14:paraId="408AFA86">
            <w:pPr>
              <w:spacing w:line="240" w:lineRule="exact"/>
              <w:jc w:val="center"/>
              <w:rPr>
                <w:rFonts w:hint="eastAsia" w:ascii="Times New Roman" w:hAnsi="Times New Roman" w:eastAsia="宋体"/>
                <w:color w:val="000000"/>
                <w:kern w:val="0"/>
                <w:sz w:val="18"/>
                <w:szCs w:val="18"/>
                <w:lang w:val="en-US" w:eastAsia="zh-CN" w:bidi="ar"/>
              </w:rPr>
            </w:pPr>
          </w:p>
          <w:p w14:paraId="336CCC63">
            <w:pPr>
              <w:spacing w:line="240" w:lineRule="exact"/>
              <w:jc w:val="center"/>
              <w:rPr>
                <w:rFonts w:hint="eastAsia" w:ascii="Times New Roman" w:hAnsi="Times New Roman" w:eastAsia="宋体"/>
                <w:color w:val="000000"/>
                <w:kern w:val="0"/>
                <w:sz w:val="18"/>
                <w:szCs w:val="18"/>
                <w:lang w:val="en-US" w:eastAsia="zh-CN" w:bidi="ar"/>
              </w:rPr>
            </w:pPr>
          </w:p>
          <w:p w14:paraId="5905014F">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14</w:t>
            </w:r>
          </w:p>
        </w:tc>
        <w:tc>
          <w:tcPr>
            <w:tcW w:w="1248" w:type="dxa"/>
            <w:shd w:val="clear" w:color="auto" w:fill="auto"/>
            <w:vAlign w:val="center"/>
          </w:tcPr>
          <w:p w14:paraId="70C4BB8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金凤区卫生健康局</w:t>
            </w:r>
          </w:p>
        </w:tc>
        <w:tc>
          <w:tcPr>
            <w:tcW w:w="1326" w:type="dxa"/>
            <w:shd w:val="clear" w:color="auto" w:fill="auto"/>
            <w:vAlign w:val="center"/>
          </w:tcPr>
          <w:p w14:paraId="0DCA0BB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对宾馆等公共场所卫生监督的行政检查</w:t>
            </w:r>
          </w:p>
        </w:tc>
        <w:tc>
          <w:tcPr>
            <w:tcW w:w="0" w:type="auto"/>
            <w:shd w:val="clear" w:color="auto" w:fill="auto"/>
            <w:vAlign w:val="center"/>
          </w:tcPr>
          <w:p w14:paraId="0EC8B01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《公共场所卫生管理条例》、《公共场所卫生管理条例实施细则》、《住宿业卫生规范》</w:t>
            </w:r>
          </w:p>
        </w:tc>
        <w:tc>
          <w:tcPr>
            <w:tcW w:w="0" w:type="auto"/>
            <w:shd w:val="clear" w:color="auto" w:fill="auto"/>
            <w:vAlign w:val="center"/>
          </w:tcPr>
          <w:p w14:paraId="296A0CD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金凤区辖区公共场所企业</w:t>
            </w:r>
          </w:p>
        </w:tc>
        <w:tc>
          <w:tcPr>
            <w:tcW w:w="0" w:type="auto"/>
            <w:shd w:val="clear" w:color="auto" w:fill="auto"/>
            <w:vAlign w:val="center"/>
          </w:tcPr>
          <w:p w14:paraId="7B8AED9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08277C4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03547E3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1次</w:t>
            </w:r>
          </w:p>
        </w:tc>
        <w:tc>
          <w:tcPr>
            <w:tcW w:w="0" w:type="auto"/>
            <w:shd w:val="clear" w:color="auto" w:fill="auto"/>
            <w:vAlign w:val="center"/>
          </w:tcPr>
          <w:p w14:paraId="41E43A1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银川市金凤区市场监管局</w:t>
            </w:r>
          </w:p>
        </w:tc>
        <w:tc>
          <w:tcPr>
            <w:tcW w:w="0" w:type="auto"/>
          </w:tcPr>
          <w:p w14:paraId="38AACA69">
            <w:pPr>
              <w:spacing w:line="240" w:lineRule="exact"/>
              <w:jc w:val="center"/>
              <w:rPr>
                <w:rFonts w:hint="eastAsia" w:ascii="Times New Roman" w:hAnsi="Times New Roman" w:eastAsia="宋体"/>
                <w:color w:val="000000"/>
                <w:kern w:val="0"/>
                <w:sz w:val="18"/>
                <w:szCs w:val="18"/>
                <w:lang w:val="en-US" w:eastAsia="zh-CN" w:bidi="ar"/>
              </w:rPr>
            </w:pPr>
          </w:p>
        </w:tc>
      </w:tr>
      <w:tr w14:paraId="64DAF1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7B7AA236">
            <w:pPr>
              <w:spacing w:line="240" w:lineRule="exact"/>
              <w:jc w:val="center"/>
              <w:rPr>
                <w:rFonts w:hint="eastAsia" w:ascii="Times New Roman" w:hAnsi="Times New Roman" w:eastAsia="宋体"/>
                <w:color w:val="000000"/>
                <w:kern w:val="0"/>
                <w:sz w:val="18"/>
                <w:szCs w:val="18"/>
                <w:lang w:val="en-US" w:eastAsia="zh-CN" w:bidi="ar"/>
              </w:rPr>
            </w:pPr>
          </w:p>
          <w:p w14:paraId="590CB01B">
            <w:pPr>
              <w:spacing w:line="240" w:lineRule="exact"/>
              <w:jc w:val="center"/>
              <w:rPr>
                <w:rFonts w:hint="eastAsia" w:ascii="Times New Roman" w:hAnsi="Times New Roman" w:eastAsia="宋体"/>
                <w:color w:val="000000"/>
                <w:kern w:val="0"/>
                <w:sz w:val="18"/>
                <w:szCs w:val="18"/>
                <w:lang w:val="en-US" w:eastAsia="zh-CN" w:bidi="ar"/>
              </w:rPr>
            </w:pPr>
          </w:p>
          <w:p w14:paraId="49F52A73">
            <w:pPr>
              <w:spacing w:line="240" w:lineRule="exact"/>
              <w:jc w:val="center"/>
              <w:rPr>
                <w:rFonts w:hint="eastAsia" w:ascii="Times New Roman" w:hAnsi="Times New Roman" w:eastAsia="宋体"/>
                <w:color w:val="000000"/>
                <w:kern w:val="0"/>
                <w:sz w:val="18"/>
                <w:szCs w:val="18"/>
                <w:lang w:val="en-US" w:eastAsia="zh-CN" w:bidi="ar"/>
              </w:rPr>
            </w:pPr>
          </w:p>
          <w:p w14:paraId="0D71EE44">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15</w:t>
            </w:r>
          </w:p>
        </w:tc>
        <w:tc>
          <w:tcPr>
            <w:tcW w:w="1248" w:type="dxa"/>
            <w:shd w:val="clear" w:color="auto" w:fill="auto"/>
            <w:vAlign w:val="center"/>
          </w:tcPr>
          <w:p w14:paraId="1759807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金凤区卫生健康局</w:t>
            </w:r>
          </w:p>
        </w:tc>
        <w:tc>
          <w:tcPr>
            <w:tcW w:w="1326" w:type="dxa"/>
            <w:shd w:val="clear" w:color="auto" w:fill="auto"/>
            <w:vAlign w:val="center"/>
          </w:tcPr>
          <w:p w14:paraId="1036C61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对医疗卫生机构检查的行政检查</w:t>
            </w:r>
          </w:p>
        </w:tc>
        <w:tc>
          <w:tcPr>
            <w:tcW w:w="0" w:type="auto"/>
            <w:shd w:val="clear" w:color="auto" w:fill="auto"/>
            <w:vAlign w:val="center"/>
          </w:tcPr>
          <w:p w14:paraId="6DB945D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《中华人民共和国基本医疗卫生与健康促进法》、《医疗机构管理条例》、《中华人民共和国传染病防治法》、《医疗废物管理条例》</w:t>
            </w:r>
          </w:p>
        </w:tc>
        <w:tc>
          <w:tcPr>
            <w:tcW w:w="0" w:type="auto"/>
            <w:shd w:val="clear" w:color="auto" w:fill="auto"/>
            <w:vAlign w:val="center"/>
          </w:tcPr>
          <w:p w14:paraId="0BBD5D4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金凤区辖区监管医疗机构企业</w:t>
            </w:r>
          </w:p>
        </w:tc>
        <w:tc>
          <w:tcPr>
            <w:tcW w:w="0" w:type="auto"/>
            <w:shd w:val="clear" w:color="auto" w:fill="auto"/>
            <w:vAlign w:val="center"/>
          </w:tcPr>
          <w:p w14:paraId="2FF8A15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6A41EE2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569461C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1次</w:t>
            </w:r>
          </w:p>
        </w:tc>
        <w:tc>
          <w:tcPr>
            <w:tcW w:w="0" w:type="auto"/>
            <w:shd w:val="clear" w:color="auto" w:fill="auto"/>
            <w:vAlign w:val="center"/>
          </w:tcPr>
          <w:p w14:paraId="0404862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银川市金凤区市场监管局</w:t>
            </w:r>
          </w:p>
        </w:tc>
        <w:tc>
          <w:tcPr>
            <w:tcW w:w="0" w:type="auto"/>
          </w:tcPr>
          <w:p w14:paraId="45BE7AAB">
            <w:pPr>
              <w:spacing w:line="240" w:lineRule="exact"/>
              <w:jc w:val="center"/>
              <w:rPr>
                <w:rFonts w:hint="eastAsia" w:ascii="Times New Roman" w:hAnsi="Times New Roman" w:eastAsia="宋体"/>
                <w:color w:val="000000"/>
                <w:kern w:val="0"/>
                <w:sz w:val="18"/>
                <w:szCs w:val="18"/>
                <w:lang w:val="en-US" w:eastAsia="zh-CN" w:bidi="ar"/>
              </w:rPr>
            </w:pPr>
          </w:p>
        </w:tc>
      </w:tr>
      <w:tr w14:paraId="574F9D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04811073">
            <w:pPr>
              <w:spacing w:line="240" w:lineRule="exact"/>
              <w:jc w:val="center"/>
              <w:rPr>
                <w:rFonts w:hint="eastAsia" w:ascii="Times New Roman" w:hAnsi="Times New Roman" w:eastAsia="宋体"/>
                <w:color w:val="000000"/>
                <w:kern w:val="0"/>
                <w:sz w:val="18"/>
                <w:szCs w:val="18"/>
                <w:lang w:val="en-US" w:eastAsia="zh-CN" w:bidi="ar"/>
              </w:rPr>
            </w:pPr>
          </w:p>
          <w:p w14:paraId="7A3585F1">
            <w:pPr>
              <w:spacing w:line="240" w:lineRule="exact"/>
              <w:jc w:val="center"/>
              <w:rPr>
                <w:rFonts w:hint="eastAsia" w:ascii="Times New Roman" w:hAnsi="Times New Roman" w:eastAsia="宋体"/>
                <w:color w:val="000000"/>
                <w:kern w:val="0"/>
                <w:sz w:val="18"/>
                <w:szCs w:val="18"/>
                <w:lang w:val="en-US" w:eastAsia="zh-CN" w:bidi="ar"/>
              </w:rPr>
            </w:pPr>
          </w:p>
          <w:p w14:paraId="189A2E27">
            <w:pPr>
              <w:spacing w:line="240" w:lineRule="exact"/>
              <w:jc w:val="center"/>
              <w:rPr>
                <w:rFonts w:hint="eastAsia" w:ascii="Times New Roman" w:hAnsi="Times New Roman" w:eastAsia="宋体"/>
                <w:color w:val="000000"/>
                <w:kern w:val="0"/>
                <w:sz w:val="18"/>
                <w:szCs w:val="18"/>
                <w:lang w:val="en-US" w:eastAsia="zh-CN" w:bidi="ar"/>
              </w:rPr>
            </w:pPr>
          </w:p>
          <w:p w14:paraId="7774CFBA">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16</w:t>
            </w:r>
          </w:p>
        </w:tc>
        <w:tc>
          <w:tcPr>
            <w:tcW w:w="1248" w:type="dxa"/>
            <w:shd w:val="clear" w:color="auto" w:fill="auto"/>
            <w:vAlign w:val="center"/>
          </w:tcPr>
          <w:p w14:paraId="1C00030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金凤区卫生健康局</w:t>
            </w:r>
          </w:p>
        </w:tc>
        <w:tc>
          <w:tcPr>
            <w:tcW w:w="1326" w:type="dxa"/>
            <w:shd w:val="clear" w:color="auto" w:fill="auto"/>
            <w:vAlign w:val="center"/>
          </w:tcPr>
          <w:p w14:paraId="7F6F5D6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对生活饮用水的行政检查</w:t>
            </w:r>
          </w:p>
        </w:tc>
        <w:tc>
          <w:tcPr>
            <w:tcW w:w="0" w:type="auto"/>
            <w:shd w:val="clear" w:color="auto" w:fill="auto"/>
            <w:vAlign w:val="center"/>
          </w:tcPr>
          <w:p w14:paraId="08E4EF8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《生活饮用水卫生监督管理办法》、《宁夏回族自治区生活饮用水卫生监督管理条例》、《二次供水设施卫生规范》</w:t>
            </w:r>
          </w:p>
        </w:tc>
        <w:tc>
          <w:tcPr>
            <w:tcW w:w="0" w:type="auto"/>
            <w:shd w:val="clear" w:color="auto" w:fill="auto"/>
            <w:vAlign w:val="center"/>
          </w:tcPr>
          <w:p w14:paraId="4E617D0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二次供水单位</w:t>
            </w:r>
          </w:p>
        </w:tc>
        <w:tc>
          <w:tcPr>
            <w:tcW w:w="0" w:type="auto"/>
            <w:shd w:val="clear" w:color="auto" w:fill="auto"/>
            <w:vAlign w:val="center"/>
          </w:tcPr>
          <w:p w14:paraId="1959964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45853A7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4E08744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1次</w:t>
            </w:r>
          </w:p>
        </w:tc>
        <w:tc>
          <w:tcPr>
            <w:tcW w:w="0" w:type="auto"/>
            <w:shd w:val="clear" w:color="auto" w:fill="auto"/>
            <w:vAlign w:val="center"/>
          </w:tcPr>
          <w:p w14:paraId="6902F77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银川市金凤区市场监管局</w:t>
            </w:r>
          </w:p>
        </w:tc>
        <w:tc>
          <w:tcPr>
            <w:tcW w:w="0" w:type="auto"/>
          </w:tcPr>
          <w:p w14:paraId="4069C099">
            <w:pPr>
              <w:spacing w:line="240" w:lineRule="exact"/>
              <w:jc w:val="center"/>
              <w:rPr>
                <w:rFonts w:hint="eastAsia" w:ascii="Times New Roman" w:hAnsi="Times New Roman" w:eastAsia="宋体"/>
                <w:color w:val="000000"/>
                <w:kern w:val="0"/>
                <w:sz w:val="18"/>
                <w:szCs w:val="18"/>
                <w:lang w:val="en-US" w:eastAsia="zh-CN" w:bidi="ar"/>
              </w:rPr>
            </w:pPr>
          </w:p>
        </w:tc>
      </w:tr>
      <w:tr w14:paraId="68684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0ECD3BF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xml:space="preserve">  </w:t>
            </w:r>
          </w:p>
          <w:p w14:paraId="0C943130">
            <w:pPr>
              <w:spacing w:line="240" w:lineRule="exact"/>
              <w:jc w:val="center"/>
              <w:rPr>
                <w:rFonts w:hint="eastAsia" w:ascii="Times New Roman" w:hAnsi="Times New Roman" w:eastAsia="宋体"/>
                <w:color w:val="000000"/>
                <w:kern w:val="0"/>
                <w:sz w:val="18"/>
                <w:szCs w:val="18"/>
                <w:lang w:val="en-US" w:eastAsia="zh-CN" w:bidi="ar"/>
              </w:rPr>
            </w:pPr>
          </w:p>
          <w:p w14:paraId="180ABFF7">
            <w:pPr>
              <w:spacing w:line="240" w:lineRule="exact"/>
              <w:jc w:val="center"/>
              <w:rPr>
                <w:rFonts w:hint="eastAsia" w:ascii="Times New Roman" w:hAnsi="Times New Roman" w:eastAsia="宋体"/>
                <w:color w:val="000000"/>
                <w:kern w:val="0"/>
                <w:sz w:val="18"/>
                <w:szCs w:val="18"/>
                <w:lang w:val="en-US" w:eastAsia="zh-CN" w:bidi="ar"/>
              </w:rPr>
            </w:pPr>
          </w:p>
          <w:p w14:paraId="6ECCF13D">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17</w:t>
            </w:r>
          </w:p>
        </w:tc>
        <w:tc>
          <w:tcPr>
            <w:tcW w:w="1248" w:type="dxa"/>
            <w:shd w:val="clear" w:color="auto" w:fill="auto"/>
            <w:vAlign w:val="center"/>
          </w:tcPr>
          <w:p w14:paraId="57EF8A5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金凤区卫生健康局</w:t>
            </w:r>
          </w:p>
        </w:tc>
        <w:tc>
          <w:tcPr>
            <w:tcW w:w="1326" w:type="dxa"/>
            <w:shd w:val="clear" w:color="auto" w:fill="auto"/>
            <w:vAlign w:val="center"/>
          </w:tcPr>
          <w:p w14:paraId="4CA5360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对放射卫生和职业卫生的行政检查</w:t>
            </w:r>
          </w:p>
        </w:tc>
        <w:tc>
          <w:tcPr>
            <w:tcW w:w="0" w:type="auto"/>
            <w:shd w:val="clear" w:color="auto" w:fill="auto"/>
            <w:vAlign w:val="center"/>
          </w:tcPr>
          <w:p w14:paraId="71F557F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《放射诊疗管理规定》、《职业病防治法》、《国家职业卫生标准管理办法》等</w:t>
            </w:r>
          </w:p>
        </w:tc>
        <w:tc>
          <w:tcPr>
            <w:tcW w:w="0" w:type="auto"/>
            <w:shd w:val="clear" w:color="auto" w:fill="auto"/>
            <w:vAlign w:val="center"/>
          </w:tcPr>
          <w:p w14:paraId="042F3D8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放射诊疗机构、职业健康体检机构</w:t>
            </w:r>
          </w:p>
        </w:tc>
        <w:tc>
          <w:tcPr>
            <w:tcW w:w="0" w:type="auto"/>
            <w:shd w:val="clear" w:color="auto" w:fill="auto"/>
            <w:vAlign w:val="center"/>
          </w:tcPr>
          <w:p w14:paraId="61266F1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751784C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77CC378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1次</w:t>
            </w:r>
          </w:p>
        </w:tc>
        <w:tc>
          <w:tcPr>
            <w:tcW w:w="0" w:type="auto"/>
            <w:shd w:val="clear" w:color="auto" w:fill="auto"/>
            <w:vAlign w:val="center"/>
          </w:tcPr>
          <w:p w14:paraId="53B6F3C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银川市金凤区市场监管局</w:t>
            </w:r>
          </w:p>
        </w:tc>
        <w:tc>
          <w:tcPr>
            <w:tcW w:w="0" w:type="auto"/>
          </w:tcPr>
          <w:p w14:paraId="034F1470">
            <w:pPr>
              <w:spacing w:line="240" w:lineRule="exact"/>
              <w:jc w:val="center"/>
              <w:rPr>
                <w:rFonts w:hint="eastAsia" w:ascii="Times New Roman" w:hAnsi="Times New Roman" w:eastAsia="宋体"/>
                <w:color w:val="000000"/>
                <w:kern w:val="0"/>
                <w:sz w:val="18"/>
                <w:szCs w:val="18"/>
                <w:lang w:val="en-US" w:eastAsia="zh-CN" w:bidi="ar"/>
              </w:rPr>
            </w:pPr>
          </w:p>
        </w:tc>
      </w:tr>
      <w:tr w14:paraId="7887D8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4AA4B66D">
            <w:pPr>
              <w:spacing w:line="240" w:lineRule="exact"/>
              <w:jc w:val="center"/>
              <w:rPr>
                <w:rFonts w:hint="eastAsia" w:ascii="Times New Roman" w:hAnsi="Times New Roman" w:eastAsia="宋体"/>
                <w:color w:val="000000"/>
                <w:kern w:val="0"/>
                <w:sz w:val="18"/>
                <w:szCs w:val="18"/>
                <w:lang w:val="en-US" w:eastAsia="zh-CN" w:bidi="ar"/>
              </w:rPr>
            </w:pPr>
          </w:p>
          <w:p w14:paraId="4070D819">
            <w:pPr>
              <w:spacing w:line="240" w:lineRule="exact"/>
              <w:jc w:val="center"/>
              <w:rPr>
                <w:rFonts w:hint="eastAsia" w:ascii="Times New Roman" w:hAnsi="Times New Roman" w:eastAsia="宋体"/>
                <w:color w:val="000000"/>
                <w:kern w:val="0"/>
                <w:sz w:val="18"/>
                <w:szCs w:val="18"/>
                <w:lang w:val="en-US" w:eastAsia="zh-CN" w:bidi="ar"/>
              </w:rPr>
            </w:pPr>
          </w:p>
          <w:p w14:paraId="3580ACC3">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18</w:t>
            </w:r>
          </w:p>
        </w:tc>
        <w:tc>
          <w:tcPr>
            <w:tcW w:w="1248" w:type="dxa"/>
            <w:shd w:val="clear" w:color="auto" w:fill="auto"/>
            <w:vAlign w:val="center"/>
          </w:tcPr>
          <w:p w14:paraId="7F3F341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银川市金凤区文化旅游体育广电局</w:t>
            </w:r>
          </w:p>
        </w:tc>
        <w:tc>
          <w:tcPr>
            <w:tcW w:w="1326" w:type="dxa"/>
            <w:shd w:val="clear" w:color="auto" w:fill="auto"/>
            <w:vAlign w:val="center"/>
          </w:tcPr>
          <w:p w14:paraId="1F450F3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互联网上网服务经营场所规范检查</w:t>
            </w:r>
          </w:p>
        </w:tc>
        <w:tc>
          <w:tcPr>
            <w:tcW w:w="0" w:type="auto"/>
            <w:shd w:val="clear" w:color="auto" w:fill="auto"/>
            <w:vAlign w:val="center"/>
          </w:tcPr>
          <w:p w14:paraId="0646B03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《互联网上网服务场所管理条例》第四章第三十一条、第三十三条、第三十四条</w:t>
            </w:r>
          </w:p>
        </w:tc>
        <w:tc>
          <w:tcPr>
            <w:tcW w:w="0" w:type="auto"/>
            <w:shd w:val="clear" w:color="auto" w:fill="auto"/>
            <w:vAlign w:val="center"/>
          </w:tcPr>
          <w:p w14:paraId="661E10D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互联网上网服务场所</w:t>
            </w:r>
          </w:p>
        </w:tc>
        <w:tc>
          <w:tcPr>
            <w:tcW w:w="0" w:type="auto"/>
            <w:shd w:val="clear" w:color="auto" w:fill="auto"/>
            <w:vAlign w:val="center"/>
          </w:tcPr>
          <w:p w14:paraId="26AF41C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节前检查、每月一次</w:t>
            </w:r>
          </w:p>
        </w:tc>
        <w:tc>
          <w:tcPr>
            <w:tcW w:w="0" w:type="auto"/>
            <w:shd w:val="clear" w:color="auto" w:fill="auto"/>
            <w:vAlign w:val="center"/>
          </w:tcPr>
          <w:p w14:paraId="47B08F9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w:t>
            </w:r>
          </w:p>
        </w:tc>
        <w:tc>
          <w:tcPr>
            <w:tcW w:w="0" w:type="auto"/>
            <w:shd w:val="clear" w:color="auto" w:fill="auto"/>
            <w:vAlign w:val="center"/>
          </w:tcPr>
          <w:p w14:paraId="52FDC83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一次</w:t>
            </w:r>
          </w:p>
        </w:tc>
        <w:tc>
          <w:tcPr>
            <w:tcW w:w="0" w:type="auto"/>
            <w:shd w:val="clear" w:color="auto" w:fill="auto"/>
            <w:vAlign w:val="center"/>
          </w:tcPr>
          <w:p w14:paraId="68E7C959">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2B4E59BD">
            <w:pPr>
              <w:spacing w:line="240" w:lineRule="exact"/>
              <w:jc w:val="center"/>
              <w:rPr>
                <w:rFonts w:hint="eastAsia" w:ascii="Times New Roman" w:hAnsi="Times New Roman" w:eastAsia="宋体"/>
                <w:color w:val="000000"/>
                <w:kern w:val="0"/>
                <w:sz w:val="18"/>
                <w:szCs w:val="18"/>
                <w:lang w:val="en-US" w:eastAsia="zh-CN" w:bidi="ar"/>
              </w:rPr>
            </w:pPr>
          </w:p>
        </w:tc>
      </w:tr>
      <w:tr w14:paraId="4E840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0959AF8C">
            <w:pPr>
              <w:spacing w:line="240" w:lineRule="exact"/>
              <w:jc w:val="center"/>
              <w:rPr>
                <w:rFonts w:hint="eastAsia" w:ascii="Times New Roman" w:hAnsi="Times New Roman" w:eastAsia="宋体"/>
                <w:color w:val="000000"/>
                <w:kern w:val="0"/>
                <w:sz w:val="18"/>
                <w:szCs w:val="18"/>
                <w:lang w:val="en-US" w:eastAsia="zh-CN" w:bidi="ar"/>
              </w:rPr>
            </w:pPr>
          </w:p>
          <w:p w14:paraId="432C4014">
            <w:pPr>
              <w:spacing w:line="240" w:lineRule="exact"/>
              <w:jc w:val="center"/>
              <w:rPr>
                <w:rFonts w:hint="eastAsia" w:ascii="Times New Roman" w:hAnsi="Times New Roman" w:eastAsia="宋体"/>
                <w:color w:val="000000"/>
                <w:kern w:val="0"/>
                <w:sz w:val="18"/>
                <w:szCs w:val="18"/>
                <w:lang w:val="en-US" w:eastAsia="zh-CN" w:bidi="ar"/>
              </w:rPr>
            </w:pPr>
          </w:p>
          <w:p w14:paraId="7345FCA9">
            <w:pPr>
              <w:spacing w:line="240" w:lineRule="exact"/>
              <w:jc w:val="center"/>
              <w:rPr>
                <w:rFonts w:hint="eastAsia" w:ascii="Times New Roman" w:hAnsi="Times New Roman" w:eastAsia="宋体"/>
                <w:color w:val="000000"/>
                <w:kern w:val="0"/>
                <w:sz w:val="18"/>
                <w:szCs w:val="18"/>
                <w:lang w:val="en-US" w:eastAsia="zh-CN" w:bidi="ar"/>
              </w:rPr>
            </w:pPr>
          </w:p>
          <w:p w14:paraId="0CE039BE">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19</w:t>
            </w:r>
          </w:p>
        </w:tc>
        <w:tc>
          <w:tcPr>
            <w:tcW w:w="1248" w:type="dxa"/>
            <w:shd w:val="clear" w:color="auto" w:fill="auto"/>
            <w:vAlign w:val="center"/>
          </w:tcPr>
          <w:p w14:paraId="3E7CCD8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银川市金凤区文化旅游体育广电局</w:t>
            </w:r>
          </w:p>
        </w:tc>
        <w:tc>
          <w:tcPr>
            <w:tcW w:w="1326" w:type="dxa"/>
            <w:shd w:val="clear" w:color="auto" w:fill="auto"/>
            <w:vAlign w:val="center"/>
          </w:tcPr>
          <w:p w14:paraId="4F1045E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文化娱乐场所规范检查</w:t>
            </w:r>
          </w:p>
        </w:tc>
        <w:tc>
          <w:tcPr>
            <w:tcW w:w="0" w:type="auto"/>
            <w:shd w:val="clear" w:color="auto" w:fill="auto"/>
            <w:vAlign w:val="center"/>
          </w:tcPr>
          <w:p w14:paraId="78CFA1E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《娱乐场所管理条例》第五章第四十八条、第四十九条、第五十条、第五十一条</w:t>
            </w:r>
          </w:p>
        </w:tc>
        <w:tc>
          <w:tcPr>
            <w:tcW w:w="0" w:type="auto"/>
            <w:shd w:val="clear" w:color="auto" w:fill="auto"/>
            <w:vAlign w:val="center"/>
          </w:tcPr>
          <w:p w14:paraId="122FF06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歌舞娱乐场所、游艺娱乐场所、剧本娱乐场所</w:t>
            </w:r>
          </w:p>
        </w:tc>
        <w:tc>
          <w:tcPr>
            <w:tcW w:w="0" w:type="auto"/>
            <w:shd w:val="clear" w:color="auto" w:fill="auto"/>
            <w:vAlign w:val="center"/>
          </w:tcPr>
          <w:p w14:paraId="0B60471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节前检查、每月一次</w:t>
            </w:r>
          </w:p>
        </w:tc>
        <w:tc>
          <w:tcPr>
            <w:tcW w:w="0" w:type="auto"/>
            <w:shd w:val="clear" w:color="auto" w:fill="auto"/>
            <w:vAlign w:val="center"/>
          </w:tcPr>
          <w:p w14:paraId="6D03BBE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w:t>
            </w:r>
          </w:p>
        </w:tc>
        <w:tc>
          <w:tcPr>
            <w:tcW w:w="0" w:type="auto"/>
            <w:shd w:val="clear" w:color="auto" w:fill="auto"/>
            <w:vAlign w:val="center"/>
          </w:tcPr>
          <w:p w14:paraId="11EAA76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一次</w:t>
            </w:r>
          </w:p>
        </w:tc>
        <w:tc>
          <w:tcPr>
            <w:tcW w:w="0" w:type="auto"/>
            <w:shd w:val="clear" w:color="auto" w:fill="auto"/>
            <w:vAlign w:val="center"/>
          </w:tcPr>
          <w:p w14:paraId="4A4A4CB3">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57290495">
            <w:pPr>
              <w:spacing w:line="240" w:lineRule="exact"/>
              <w:jc w:val="center"/>
              <w:rPr>
                <w:rFonts w:hint="eastAsia" w:ascii="Times New Roman" w:hAnsi="Times New Roman" w:eastAsia="宋体"/>
                <w:color w:val="000000"/>
                <w:kern w:val="0"/>
                <w:sz w:val="18"/>
                <w:szCs w:val="18"/>
                <w:lang w:val="en-US" w:eastAsia="zh-CN" w:bidi="ar"/>
              </w:rPr>
            </w:pPr>
          </w:p>
        </w:tc>
      </w:tr>
      <w:tr w14:paraId="3675A6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18B6C1F8">
            <w:pPr>
              <w:spacing w:line="240" w:lineRule="exact"/>
              <w:jc w:val="center"/>
              <w:rPr>
                <w:rFonts w:hint="eastAsia" w:ascii="Times New Roman" w:hAnsi="Times New Roman" w:eastAsia="宋体"/>
                <w:color w:val="000000"/>
                <w:kern w:val="0"/>
                <w:sz w:val="18"/>
                <w:szCs w:val="18"/>
                <w:lang w:val="en-US" w:eastAsia="zh-CN" w:bidi="ar"/>
              </w:rPr>
            </w:pPr>
          </w:p>
          <w:p w14:paraId="29A53045">
            <w:pPr>
              <w:spacing w:line="240" w:lineRule="exact"/>
              <w:jc w:val="center"/>
              <w:rPr>
                <w:rFonts w:hint="eastAsia" w:ascii="Times New Roman" w:hAnsi="Times New Roman" w:eastAsia="宋体"/>
                <w:color w:val="000000"/>
                <w:kern w:val="0"/>
                <w:sz w:val="18"/>
                <w:szCs w:val="18"/>
                <w:lang w:val="en-US" w:eastAsia="zh-CN" w:bidi="ar"/>
              </w:rPr>
            </w:pPr>
          </w:p>
          <w:p w14:paraId="1E02EFF3">
            <w:pPr>
              <w:spacing w:line="240" w:lineRule="exact"/>
              <w:jc w:val="center"/>
              <w:rPr>
                <w:rFonts w:hint="eastAsia" w:ascii="Times New Roman" w:hAnsi="Times New Roman" w:eastAsia="宋体"/>
                <w:color w:val="000000"/>
                <w:kern w:val="0"/>
                <w:sz w:val="18"/>
                <w:szCs w:val="18"/>
                <w:lang w:val="en-US" w:eastAsia="zh-CN" w:bidi="ar"/>
              </w:rPr>
            </w:pPr>
          </w:p>
          <w:p w14:paraId="2B636120">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20</w:t>
            </w:r>
          </w:p>
        </w:tc>
        <w:tc>
          <w:tcPr>
            <w:tcW w:w="1248" w:type="dxa"/>
            <w:shd w:val="clear" w:color="auto" w:fill="auto"/>
            <w:vAlign w:val="center"/>
          </w:tcPr>
          <w:p w14:paraId="52EA5C2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银川市金凤区文化旅游体育广电局</w:t>
            </w:r>
          </w:p>
        </w:tc>
        <w:tc>
          <w:tcPr>
            <w:tcW w:w="1326" w:type="dxa"/>
            <w:shd w:val="clear" w:color="auto" w:fill="auto"/>
            <w:vAlign w:val="center"/>
          </w:tcPr>
          <w:p w14:paraId="09946DC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每月节前文旅场所安全生产检查</w:t>
            </w:r>
          </w:p>
        </w:tc>
        <w:tc>
          <w:tcPr>
            <w:tcW w:w="0" w:type="auto"/>
            <w:shd w:val="clear" w:color="auto" w:fill="auto"/>
            <w:vAlign w:val="center"/>
          </w:tcPr>
          <w:p w14:paraId="39C87B7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《中华人民共和国安全生产法》</w:t>
            </w:r>
          </w:p>
        </w:tc>
        <w:tc>
          <w:tcPr>
            <w:tcW w:w="0" w:type="auto"/>
            <w:shd w:val="clear" w:color="auto" w:fill="auto"/>
            <w:vAlign w:val="center"/>
          </w:tcPr>
          <w:p w14:paraId="2777DA8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旅游景区、星级宾馆、星级民宿、乡村示范点</w:t>
            </w:r>
          </w:p>
        </w:tc>
        <w:tc>
          <w:tcPr>
            <w:tcW w:w="0" w:type="auto"/>
            <w:shd w:val="clear" w:color="auto" w:fill="auto"/>
            <w:vAlign w:val="center"/>
          </w:tcPr>
          <w:p w14:paraId="2458019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每月一次，节假日前一次</w:t>
            </w:r>
          </w:p>
        </w:tc>
        <w:tc>
          <w:tcPr>
            <w:tcW w:w="0" w:type="auto"/>
            <w:shd w:val="clear" w:color="auto" w:fill="auto"/>
            <w:vAlign w:val="center"/>
          </w:tcPr>
          <w:p w14:paraId="488A011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064DB6D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一次</w:t>
            </w:r>
          </w:p>
        </w:tc>
        <w:tc>
          <w:tcPr>
            <w:tcW w:w="0" w:type="auto"/>
            <w:shd w:val="clear" w:color="auto" w:fill="auto"/>
            <w:vAlign w:val="center"/>
          </w:tcPr>
          <w:p w14:paraId="760D0536">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5F03086B">
            <w:pPr>
              <w:spacing w:line="240" w:lineRule="exact"/>
              <w:jc w:val="center"/>
              <w:rPr>
                <w:rFonts w:hint="eastAsia" w:ascii="Times New Roman" w:hAnsi="Times New Roman" w:eastAsia="宋体"/>
                <w:color w:val="000000"/>
                <w:kern w:val="0"/>
                <w:sz w:val="18"/>
                <w:szCs w:val="18"/>
                <w:lang w:val="en-US" w:eastAsia="zh-CN" w:bidi="ar"/>
              </w:rPr>
            </w:pPr>
          </w:p>
        </w:tc>
      </w:tr>
      <w:tr w14:paraId="5B4905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1071C3F9">
            <w:pPr>
              <w:spacing w:line="240" w:lineRule="exact"/>
              <w:jc w:val="center"/>
              <w:rPr>
                <w:rFonts w:hint="eastAsia" w:ascii="Times New Roman" w:hAnsi="Times New Roman" w:eastAsia="宋体"/>
                <w:color w:val="000000"/>
                <w:kern w:val="0"/>
                <w:sz w:val="18"/>
                <w:szCs w:val="18"/>
                <w:lang w:val="en-US" w:eastAsia="zh-CN" w:bidi="ar"/>
              </w:rPr>
            </w:pPr>
          </w:p>
          <w:p w14:paraId="397A10B4">
            <w:pPr>
              <w:spacing w:line="240" w:lineRule="exact"/>
              <w:jc w:val="center"/>
              <w:rPr>
                <w:rFonts w:hint="eastAsia" w:ascii="Times New Roman" w:hAnsi="Times New Roman" w:eastAsia="宋体"/>
                <w:color w:val="000000"/>
                <w:kern w:val="0"/>
                <w:sz w:val="18"/>
                <w:szCs w:val="18"/>
                <w:lang w:val="en-US" w:eastAsia="zh-CN" w:bidi="ar"/>
              </w:rPr>
            </w:pPr>
          </w:p>
          <w:p w14:paraId="6F1B182C">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21</w:t>
            </w:r>
          </w:p>
        </w:tc>
        <w:tc>
          <w:tcPr>
            <w:tcW w:w="1248" w:type="dxa"/>
            <w:shd w:val="clear" w:color="auto" w:fill="auto"/>
            <w:vAlign w:val="center"/>
          </w:tcPr>
          <w:p w14:paraId="0C73015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银川市金凤区文化旅游体育广电局</w:t>
            </w:r>
          </w:p>
        </w:tc>
        <w:tc>
          <w:tcPr>
            <w:tcW w:w="1326" w:type="dxa"/>
            <w:shd w:val="clear" w:color="auto" w:fill="auto"/>
            <w:vAlign w:val="center"/>
          </w:tcPr>
          <w:p w14:paraId="5D82CCE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体育场馆检查安全检查</w:t>
            </w:r>
          </w:p>
        </w:tc>
        <w:tc>
          <w:tcPr>
            <w:tcW w:w="0" w:type="auto"/>
            <w:shd w:val="clear" w:color="auto" w:fill="auto"/>
            <w:vAlign w:val="center"/>
          </w:tcPr>
          <w:p w14:paraId="136E2FB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《中华人民共和国安全生产法》</w:t>
            </w:r>
          </w:p>
        </w:tc>
        <w:tc>
          <w:tcPr>
            <w:tcW w:w="0" w:type="auto"/>
            <w:shd w:val="clear" w:color="auto" w:fill="auto"/>
            <w:vAlign w:val="center"/>
          </w:tcPr>
          <w:p w14:paraId="62C1BBE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体育场馆</w:t>
            </w:r>
          </w:p>
        </w:tc>
        <w:tc>
          <w:tcPr>
            <w:tcW w:w="0" w:type="auto"/>
            <w:shd w:val="clear" w:color="auto" w:fill="auto"/>
            <w:vAlign w:val="center"/>
          </w:tcPr>
          <w:p w14:paraId="6D8BC19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节前检查、每月一次</w:t>
            </w:r>
          </w:p>
        </w:tc>
        <w:tc>
          <w:tcPr>
            <w:tcW w:w="0" w:type="auto"/>
            <w:shd w:val="clear" w:color="auto" w:fill="auto"/>
            <w:vAlign w:val="center"/>
          </w:tcPr>
          <w:p w14:paraId="69B864A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w:t>
            </w:r>
          </w:p>
        </w:tc>
        <w:tc>
          <w:tcPr>
            <w:tcW w:w="0" w:type="auto"/>
            <w:shd w:val="clear" w:color="auto" w:fill="auto"/>
            <w:vAlign w:val="center"/>
          </w:tcPr>
          <w:p w14:paraId="4C5E6A3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一次</w:t>
            </w:r>
          </w:p>
        </w:tc>
        <w:tc>
          <w:tcPr>
            <w:tcW w:w="0" w:type="auto"/>
            <w:shd w:val="clear" w:color="auto" w:fill="auto"/>
            <w:vAlign w:val="center"/>
          </w:tcPr>
          <w:p w14:paraId="442045B9">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434471A2">
            <w:pPr>
              <w:spacing w:line="240" w:lineRule="exact"/>
              <w:jc w:val="center"/>
              <w:rPr>
                <w:rFonts w:hint="eastAsia" w:ascii="Times New Roman" w:hAnsi="Times New Roman" w:eastAsia="宋体"/>
                <w:color w:val="000000"/>
                <w:kern w:val="0"/>
                <w:sz w:val="18"/>
                <w:szCs w:val="18"/>
                <w:lang w:val="en-US" w:eastAsia="zh-CN" w:bidi="ar"/>
              </w:rPr>
            </w:pPr>
          </w:p>
        </w:tc>
      </w:tr>
      <w:tr w14:paraId="1949C3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1633A12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xml:space="preserve"> </w:t>
            </w:r>
          </w:p>
          <w:p w14:paraId="1995DB43">
            <w:pPr>
              <w:spacing w:line="240" w:lineRule="exact"/>
              <w:jc w:val="center"/>
              <w:rPr>
                <w:rFonts w:hint="eastAsia" w:ascii="Times New Roman" w:hAnsi="Times New Roman" w:eastAsia="宋体"/>
                <w:color w:val="000000"/>
                <w:kern w:val="0"/>
                <w:sz w:val="18"/>
                <w:szCs w:val="18"/>
                <w:lang w:val="en-US" w:eastAsia="zh-CN" w:bidi="ar"/>
              </w:rPr>
            </w:pPr>
          </w:p>
          <w:p w14:paraId="02686A9A">
            <w:pPr>
              <w:spacing w:line="240" w:lineRule="exact"/>
              <w:jc w:val="center"/>
              <w:rPr>
                <w:rFonts w:hint="eastAsia" w:ascii="Times New Roman" w:hAnsi="Times New Roman" w:eastAsia="宋体"/>
                <w:color w:val="000000"/>
                <w:kern w:val="0"/>
                <w:sz w:val="18"/>
                <w:szCs w:val="18"/>
                <w:lang w:val="en-US" w:eastAsia="zh-CN" w:bidi="ar"/>
              </w:rPr>
            </w:pPr>
          </w:p>
          <w:p w14:paraId="201C61C6">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22</w:t>
            </w:r>
          </w:p>
        </w:tc>
        <w:tc>
          <w:tcPr>
            <w:tcW w:w="1248" w:type="dxa"/>
            <w:shd w:val="clear" w:color="auto" w:fill="auto"/>
            <w:vAlign w:val="center"/>
          </w:tcPr>
          <w:p w14:paraId="2CB2720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银川市金凤区文化旅游体育广电局</w:t>
            </w:r>
          </w:p>
        </w:tc>
        <w:tc>
          <w:tcPr>
            <w:tcW w:w="1326" w:type="dxa"/>
            <w:shd w:val="clear" w:color="auto" w:fill="auto"/>
            <w:vAlign w:val="center"/>
          </w:tcPr>
          <w:p w14:paraId="1871610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高危场馆安全检查</w:t>
            </w:r>
          </w:p>
        </w:tc>
        <w:tc>
          <w:tcPr>
            <w:tcW w:w="0" w:type="auto"/>
            <w:shd w:val="clear" w:color="auto" w:fill="auto"/>
            <w:vAlign w:val="center"/>
          </w:tcPr>
          <w:p w14:paraId="2DEC646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《中华人民共和国安全生产法》</w:t>
            </w:r>
          </w:p>
        </w:tc>
        <w:tc>
          <w:tcPr>
            <w:tcW w:w="0" w:type="auto"/>
            <w:shd w:val="clear" w:color="auto" w:fill="auto"/>
            <w:vAlign w:val="center"/>
          </w:tcPr>
          <w:p w14:paraId="63636D6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辖区各高危场所</w:t>
            </w:r>
          </w:p>
        </w:tc>
        <w:tc>
          <w:tcPr>
            <w:tcW w:w="0" w:type="auto"/>
            <w:shd w:val="clear" w:color="auto" w:fill="auto"/>
            <w:vAlign w:val="center"/>
          </w:tcPr>
          <w:p w14:paraId="182661E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节前检查、每月一次</w:t>
            </w:r>
          </w:p>
        </w:tc>
        <w:tc>
          <w:tcPr>
            <w:tcW w:w="0" w:type="auto"/>
            <w:shd w:val="clear" w:color="auto" w:fill="auto"/>
            <w:vAlign w:val="center"/>
          </w:tcPr>
          <w:p w14:paraId="3BDF89F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5%</w:t>
            </w:r>
          </w:p>
        </w:tc>
        <w:tc>
          <w:tcPr>
            <w:tcW w:w="0" w:type="auto"/>
            <w:shd w:val="clear" w:color="auto" w:fill="auto"/>
            <w:vAlign w:val="center"/>
          </w:tcPr>
          <w:p w14:paraId="4D505C7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一次</w:t>
            </w:r>
          </w:p>
        </w:tc>
        <w:tc>
          <w:tcPr>
            <w:tcW w:w="0" w:type="auto"/>
            <w:shd w:val="clear" w:color="auto" w:fill="auto"/>
            <w:vAlign w:val="center"/>
          </w:tcPr>
          <w:p w14:paraId="206C3BF8">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1FBB5534">
            <w:pPr>
              <w:spacing w:line="240" w:lineRule="exact"/>
              <w:jc w:val="center"/>
              <w:rPr>
                <w:rFonts w:hint="eastAsia" w:ascii="Times New Roman" w:hAnsi="Times New Roman" w:eastAsia="宋体"/>
                <w:color w:val="000000"/>
                <w:kern w:val="0"/>
                <w:sz w:val="18"/>
                <w:szCs w:val="18"/>
                <w:lang w:val="en-US" w:eastAsia="zh-CN" w:bidi="ar"/>
              </w:rPr>
            </w:pPr>
          </w:p>
        </w:tc>
      </w:tr>
      <w:tr w14:paraId="4612FA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2237B5C2">
            <w:pPr>
              <w:spacing w:line="240" w:lineRule="exact"/>
              <w:jc w:val="center"/>
              <w:rPr>
                <w:rFonts w:hint="eastAsia" w:ascii="Times New Roman" w:hAnsi="Times New Roman" w:eastAsia="宋体"/>
                <w:color w:val="000000"/>
                <w:kern w:val="0"/>
                <w:sz w:val="18"/>
                <w:szCs w:val="18"/>
                <w:lang w:val="en-US" w:eastAsia="zh-CN" w:bidi="ar"/>
              </w:rPr>
            </w:pPr>
          </w:p>
          <w:p w14:paraId="10786351">
            <w:pPr>
              <w:spacing w:line="240" w:lineRule="exact"/>
              <w:jc w:val="center"/>
              <w:rPr>
                <w:rFonts w:hint="eastAsia" w:ascii="Times New Roman" w:hAnsi="Times New Roman" w:eastAsia="宋体"/>
                <w:color w:val="000000"/>
                <w:kern w:val="0"/>
                <w:sz w:val="18"/>
                <w:szCs w:val="18"/>
                <w:lang w:val="en-US" w:eastAsia="zh-CN" w:bidi="ar"/>
              </w:rPr>
            </w:pPr>
          </w:p>
          <w:p w14:paraId="6EC59F8C">
            <w:pPr>
              <w:spacing w:line="240" w:lineRule="exact"/>
              <w:jc w:val="center"/>
              <w:rPr>
                <w:rFonts w:hint="eastAsia" w:ascii="Times New Roman" w:hAnsi="Times New Roman" w:eastAsia="宋体"/>
                <w:color w:val="000000"/>
                <w:kern w:val="0"/>
                <w:sz w:val="18"/>
                <w:szCs w:val="18"/>
                <w:lang w:val="en-US" w:eastAsia="zh-CN" w:bidi="ar"/>
              </w:rPr>
            </w:pPr>
          </w:p>
          <w:p w14:paraId="4A3E2D62">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23</w:t>
            </w:r>
          </w:p>
        </w:tc>
        <w:tc>
          <w:tcPr>
            <w:tcW w:w="1248" w:type="dxa"/>
            <w:shd w:val="clear" w:color="auto" w:fill="auto"/>
            <w:vAlign w:val="center"/>
          </w:tcPr>
          <w:p w14:paraId="7F2A4A1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金凤区医疗保障局</w:t>
            </w:r>
          </w:p>
        </w:tc>
        <w:tc>
          <w:tcPr>
            <w:tcW w:w="1326" w:type="dxa"/>
            <w:shd w:val="clear" w:color="auto" w:fill="auto"/>
            <w:vAlign w:val="center"/>
          </w:tcPr>
          <w:p w14:paraId="14F8454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医疗保障基金使用检查</w:t>
            </w:r>
          </w:p>
        </w:tc>
        <w:tc>
          <w:tcPr>
            <w:tcW w:w="0" w:type="auto"/>
            <w:shd w:val="clear" w:color="auto" w:fill="auto"/>
            <w:vAlign w:val="center"/>
          </w:tcPr>
          <w:p w14:paraId="3297624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《中华人民共和国社会保险法》（2018年修正）；《医疗保障基金使用监督管理条例》（2021年国务院令第735号）</w:t>
            </w:r>
          </w:p>
        </w:tc>
        <w:tc>
          <w:tcPr>
            <w:tcW w:w="0" w:type="auto"/>
            <w:shd w:val="clear" w:color="auto" w:fill="auto"/>
            <w:vAlign w:val="center"/>
          </w:tcPr>
          <w:p w14:paraId="4503551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金凤区定点零售药店</w:t>
            </w:r>
          </w:p>
        </w:tc>
        <w:tc>
          <w:tcPr>
            <w:tcW w:w="0" w:type="auto"/>
            <w:shd w:val="clear" w:color="auto" w:fill="auto"/>
            <w:vAlign w:val="center"/>
          </w:tcPr>
          <w:p w14:paraId="22324DA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7D5C369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不超过5%</w:t>
            </w:r>
          </w:p>
        </w:tc>
        <w:tc>
          <w:tcPr>
            <w:tcW w:w="0" w:type="auto"/>
            <w:shd w:val="clear" w:color="auto" w:fill="auto"/>
            <w:vAlign w:val="center"/>
          </w:tcPr>
          <w:p w14:paraId="74241D0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不超过2次</w:t>
            </w:r>
          </w:p>
        </w:tc>
        <w:tc>
          <w:tcPr>
            <w:tcW w:w="0" w:type="auto"/>
            <w:shd w:val="clear" w:color="auto" w:fill="auto"/>
            <w:vAlign w:val="center"/>
          </w:tcPr>
          <w:p w14:paraId="675D0A3E">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28949476">
            <w:pPr>
              <w:spacing w:line="240" w:lineRule="exact"/>
              <w:jc w:val="center"/>
              <w:rPr>
                <w:rFonts w:hint="eastAsia" w:ascii="Times New Roman" w:hAnsi="Times New Roman" w:eastAsia="宋体"/>
                <w:color w:val="000000"/>
                <w:kern w:val="0"/>
                <w:sz w:val="18"/>
                <w:szCs w:val="18"/>
                <w:lang w:val="en-US" w:eastAsia="zh-CN" w:bidi="ar"/>
              </w:rPr>
            </w:pPr>
          </w:p>
        </w:tc>
      </w:tr>
      <w:tr w14:paraId="46FA6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44C036FA">
            <w:pPr>
              <w:spacing w:line="240" w:lineRule="exact"/>
              <w:jc w:val="center"/>
              <w:rPr>
                <w:rFonts w:hint="eastAsia" w:ascii="Times New Roman" w:hAnsi="Times New Roman" w:eastAsia="宋体"/>
                <w:color w:val="000000"/>
                <w:kern w:val="0"/>
                <w:sz w:val="18"/>
                <w:szCs w:val="18"/>
                <w:lang w:val="en-US" w:eastAsia="zh-CN" w:bidi="ar"/>
              </w:rPr>
            </w:pPr>
          </w:p>
          <w:p w14:paraId="673AC499">
            <w:pPr>
              <w:spacing w:line="240" w:lineRule="exact"/>
              <w:jc w:val="center"/>
              <w:rPr>
                <w:rFonts w:hint="eastAsia" w:ascii="Times New Roman" w:hAnsi="Times New Roman" w:eastAsia="宋体"/>
                <w:color w:val="000000"/>
                <w:kern w:val="0"/>
                <w:sz w:val="18"/>
                <w:szCs w:val="18"/>
                <w:lang w:val="en-US" w:eastAsia="zh-CN" w:bidi="ar"/>
              </w:rPr>
            </w:pPr>
          </w:p>
          <w:p w14:paraId="1ADCDC79">
            <w:pPr>
              <w:spacing w:line="240" w:lineRule="exact"/>
              <w:jc w:val="center"/>
              <w:rPr>
                <w:rFonts w:hint="eastAsia" w:ascii="Times New Roman" w:hAnsi="Times New Roman" w:eastAsia="宋体"/>
                <w:color w:val="000000"/>
                <w:kern w:val="0"/>
                <w:sz w:val="18"/>
                <w:szCs w:val="18"/>
                <w:lang w:val="en-US" w:eastAsia="zh-CN" w:bidi="ar"/>
              </w:rPr>
            </w:pPr>
          </w:p>
          <w:p w14:paraId="08AD6CC2">
            <w:pPr>
              <w:spacing w:line="240" w:lineRule="exact"/>
              <w:jc w:val="center"/>
              <w:rPr>
                <w:rFonts w:hint="eastAsia" w:ascii="Times New Roman" w:hAnsi="Times New Roman" w:eastAsia="宋体"/>
                <w:color w:val="000000"/>
                <w:kern w:val="0"/>
                <w:sz w:val="18"/>
                <w:szCs w:val="18"/>
                <w:lang w:val="en-US" w:eastAsia="zh-CN" w:bidi="ar"/>
              </w:rPr>
            </w:pPr>
          </w:p>
          <w:p w14:paraId="4A278234">
            <w:pPr>
              <w:spacing w:line="240" w:lineRule="exact"/>
              <w:jc w:val="center"/>
              <w:rPr>
                <w:rFonts w:hint="eastAsia" w:ascii="Times New Roman" w:hAnsi="Times New Roman" w:eastAsia="宋体"/>
                <w:color w:val="000000"/>
                <w:kern w:val="0"/>
                <w:sz w:val="18"/>
                <w:szCs w:val="18"/>
                <w:lang w:val="en-US" w:eastAsia="zh-CN" w:bidi="ar"/>
              </w:rPr>
            </w:pPr>
          </w:p>
          <w:p w14:paraId="0DA64804">
            <w:pPr>
              <w:spacing w:line="240" w:lineRule="exact"/>
              <w:jc w:val="center"/>
              <w:rPr>
                <w:rFonts w:hint="eastAsia" w:ascii="Times New Roman" w:hAnsi="Times New Roman" w:eastAsia="宋体"/>
                <w:color w:val="000000"/>
                <w:kern w:val="0"/>
                <w:sz w:val="18"/>
                <w:szCs w:val="18"/>
                <w:lang w:val="en-US" w:eastAsia="zh-CN" w:bidi="ar"/>
              </w:rPr>
            </w:pPr>
          </w:p>
          <w:p w14:paraId="1BA5F85A">
            <w:pPr>
              <w:spacing w:line="240" w:lineRule="exact"/>
              <w:jc w:val="center"/>
              <w:rPr>
                <w:rFonts w:hint="eastAsia" w:ascii="Times New Roman" w:hAnsi="Times New Roman" w:eastAsia="宋体"/>
                <w:color w:val="000000"/>
                <w:kern w:val="0"/>
                <w:sz w:val="18"/>
                <w:szCs w:val="18"/>
                <w:lang w:val="en-US" w:eastAsia="zh-CN" w:bidi="ar"/>
              </w:rPr>
            </w:pPr>
          </w:p>
          <w:p w14:paraId="21D807BB">
            <w:pPr>
              <w:spacing w:line="240" w:lineRule="exact"/>
              <w:jc w:val="center"/>
              <w:rPr>
                <w:rFonts w:hint="eastAsia" w:ascii="Times New Roman" w:hAnsi="Times New Roman" w:eastAsia="宋体"/>
                <w:color w:val="000000"/>
                <w:kern w:val="0"/>
                <w:sz w:val="18"/>
                <w:szCs w:val="18"/>
                <w:lang w:val="en-US" w:eastAsia="zh-CN" w:bidi="ar"/>
              </w:rPr>
            </w:pPr>
          </w:p>
          <w:p w14:paraId="3C7AE3BF">
            <w:pPr>
              <w:spacing w:line="240" w:lineRule="exact"/>
              <w:jc w:val="center"/>
              <w:rPr>
                <w:rFonts w:hint="eastAsia" w:ascii="Times New Roman" w:hAnsi="Times New Roman" w:eastAsia="宋体"/>
                <w:color w:val="000000"/>
                <w:kern w:val="0"/>
                <w:sz w:val="18"/>
                <w:szCs w:val="18"/>
                <w:lang w:val="en-US" w:eastAsia="zh-CN" w:bidi="ar"/>
              </w:rPr>
            </w:pPr>
          </w:p>
          <w:p w14:paraId="07F2143D">
            <w:pPr>
              <w:spacing w:line="240" w:lineRule="exact"/>
              <w:jc w:val="center"/>
              <w:rPr>
                <w:rFonts w:hint="eastAsia" w:ascii="Times New Roman" w:hAnsi="Times New Roman" w:eastAsia="宋体"/>
                <w:color w:val="000000"/>
                <w:kern w:val="0"/>
                <w:sz w:val="18"/>
                <w:szCs w:val="18"/>
                <w:lang w:val="en-US" w:eastAsia="zh-CN" w:bidi="ar"/>
              </w:rPr>
            </w:pPr>
          </w:p>
          <w:p w14:paraId="4AEB6C53">
            <w:pPr>
              <w:spacing w:line="240" w:lineRule="exact"/>
              <w:jc w:val="center"/>
              <w:rPr>
                <w:rFonts w:hint="eastAsia" w:ascii="Times New Roman" w:hAnsi="Times New Roman" w:eastAsia="宋体"/>
                <w:color w:val="000000"/>
                <w:kern w:val="0"/>
                <w:sz w:val="18"/>
                <w:szCs w:val="18"/>
                <w:lang w:val="en-US" w:eastAsia="zh-CN" w:bidi="ar"/>
              </w:rPr>
            </w:pPr>
          </w:p>
          <w:p w14:paraId="5566BE8E">
            <w:pPr>
              <w:spacing w:line="240" w:lineRule="exact"/>
              <w:jc w:val="center"/>
              <w:rPr>
                <w:rFonts w:hint="eastAsia" w:ascii="Times New Roman" w:hAnsi="Times New Roman" w:eastAsia="宋体"/>
                <w:color w:val="000000"/>
                <w:kern w:val="0"/>
                <w:sz w:val="18"/>
                <w:szCs w:val="18"/>
                <w:lang w:val="en-US" w:eastAsia="zh-CN" w:bidi="ar"/>
              </w:rPr>
            </w:pPr>
          </w:p>
          <w:p w14:paraId="4508ED9C">
            <w:pPr>
              <w:spacing w:line="240" w:lineRule="exact"/>
              <w:jc w:val="center"/>
              <w:rPr>
                <w:rFonts w:hint="eastAsia" w:ascii="Times New Roman" w:hAnsi="Times New Roman" w:eastAsia="宋体"/>
                <w:color w:val="000000"/>
                <w:kern w:val="0"/>
                <w:sz w:val="18"/>
                <w:szCs w:val="18"/>
                <w:lang w:val="en-US" w:eastAsia="zh-CN" w:bidi="ar"/>
              </w:rPr>
            </w:pPr>
          </w:p>
          <w:p w14:paraId="7197C2F9">
            <w:pPr>
              <w:spacing w:line="240" w:lineRule="exact"/>
              <w:jc w:val="center"/>
              <w:rPr>
                <w:rFonts w:hint="eastAsia" w:ascii="Times New Roman" w:hAnsi="Times New Roman" w:eastAsia="宋体"/>
                <w:color w:val="000000"/>
                <w:kern w:val="0"/>
                <w:sz w:val="18"/>
                <w:szCs w:val="18"/>
                <w:lang w:val="en-US" w:eastAsia="zh-CN" w:bidi="ar"/>
              </w:rPr>
            </w:pPr>
          </w:p>
          <w:p w14:paraId="309F7F3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24</w:t>
            </w:r>
          </w:p>
          <w:p w14:paraId="206F0E4F">
            <w:pPr>
              <w:spacing w:line="240" w:lineRule="exact"/>
              <w:jc w:val="center"/>
              <w:rPr>
                <w:rFonts w:hint="eastAsia" w:ascii="Times New Roman" w:hAnsi="Times New Roman" w:eastAsia="宋体"/>
                <w:color w:val="000000"/>
                <w:kern w:val="0"/>
                <w:sz w:val="18"/>
                <w:szCs w:val="18"/>
                <w:lang w:val="en-US" w:eastAsia="zh-CN" w:bidi="ar"/>
              </w:rPr>
            </w:pPr>
          </w:p>
          <w:p w14:paraId="574DB90D">
            <w:pPr>
              <w:spacing w:line="240" w:lineRule="exact"/>
              <w:jc w:val="center"/>
              <w:rPr>
                <w:rFonts w:hint="eastAsia" w:ascii="Times New Roman" w:hAnsi="Times New Roman" w:eastAsia="宋体"/>
                <w:color w:val="000000"/>
                <w:kern w:val="0"/>
                <w:sz w:val="18"/>
                <w:szCs w:val="18"/>
                <w:lang w:val="en-US" w:eastAsia="zh-CN" w:bidi="ar"/>
              </w:rPr>
            </w:pPr>
          </w:p>
          <w:p w14:paraId="197DE613">
            <w:pPr>
              <w:spacing w:line="240" w:lineRule="exact"/>
              <w:jc w:val="center"/>
              <w:rPr>
                <w:rFonts w:hint="default" w:ascii="Times New Roman" w:hAnsi="Times New Roman" w:eastAsia="宋体"/>
                <w:color w:val="000000"/>
                <w:kern w:val="0"/>
                <w:sz w:val="18"/>
                <w:szCs w:val="18"/>
                <w:lang w:val="en-US" w:eastAsia="zh-CN" w:bidi="ar"/>
              </w:rPr>
            </w:pPr>
          </w:p>
        </w:tc>
        <w:tc>
          <w:tcPr>
            <w:tcW w:w="1248" w:type="dxa"/>
            <w:shd w:val="clear" w:color="auto" w:fill="auto"/>
            <w:vAlign w:val="center"/>
          </w:tcPr>
          <w:p w14:paraId="175FEAE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金凤区综合执法局</w:t>
            </w:r>
          </w:p>
        </w:tc>
        <w:tc>
          <w:tcPr>
            <w:tcW w:w="1326" w:type="dxa"/>
            <w:shd w:val="clear" w:color="auto" w:fill="auto"/>
            <w:vAlign w:val="center"/>
          </w:tcPr>
          <w:p w14:paraId="0BDE17B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对金凤区燃气企业的监督检查</w:t>
            </w:r>
          </w:p>
        </w:tc>
        <w:tc>
          <w:tcPr>
            <w:tcW w:w="0" w:type="auto"/>
            <w:shd w:val="clear" w:color="auto" w:fill="auto"/>
            <w:vAlign w:val="center"/>
          </w:tcPr>
          <w:p w14:paraId="2349389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1.《中华人民共和国城镇燃气管理条例》第五条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w:t>
            </w:r>
          </w:p>
          <w:p w14:paraId="34A5E6E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2.《宁夏回族自治区燃气管理条例》第五条 县级以上人民政府住房和城乡建设主管部门或者县级以上人民政府确定的其他部门（以下统称燃气管理部门）负责本行政区域内的燃气管理工作。县级以上人民政府发展改革、公安、自然资源、交通运输、商务、应急管理、市场监管等部门和消防救援机构，应当在各自职责范围内负责有关燃气管理工作。</w:t>
            </w:r>
          </w:p>
          <w:p w14:paraId="38A13F7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第六条 燃气经营企业应当落实安全生产主体责任，建立健全并严格执行安全管理制度，负责燃气供应安全、燃气设施安全管理，对燃气使用安全进行服务指导和技术保障。燃气用户应当对燃气使用安全负责，遵守安全用气规则，履行安全使用义务；单位燃气用户应当将燃气安全纳入本单位的安全生产管理工作。</w:t>
            </w:r>
          </w:p>
          <w:p w14:paraId="3A845A8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第十一条 城乡建设应当按照国土空间规划和燃气发展规划配套建设燃气设施或者预留燃气设施建设用地。预留的燃气设施建设用地未经法定程序批准，任何单位和个人不得占用或者改变用途。对燃气发展规划范围内的燃气设施建设工程，自然资源主管部门在依法核发用地预审与选址意见书、建设用地规划许可证或者乡村建设规划许可证时，应当就燃气设施建设是否符合燃气发展规划征求燃气管理部门的意见。</w:t>
            </w:r>
          </w:p>
          <w:p w14:paraId="727ACED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第十三条 燃气设施建设工程的勘察、设计、施工、监理和验收，应当遵守有关法律、法规规定，执行国家和自治区有关标准及技术规范。燃气设施建设工程选用的设备、材料，应当符合国家和自治区有关标准。燃气设施建设工程应当按照国家有关规定进行安全评价，其安全设施设计应当报有关部门审查，项目竣工投入生产或者使用前，建设单位应当组织有关单位对安全设施进行验收；未经验收或者验收不合格的，不得投入生产和使用。燃气设施建设工程自竣工验收合格之日起十五日内，建设单位应当将竣工验收情况报燃气管理部门备案，并在三个月内向城建档案管理机构移交建设项目档案。</w:t>
            </w:r>
          </w:p>
          <w:p w14:paraId="2E1C4A1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第十四条 县级以上人民政府应当建立健全燃气应急储备制度，组织编制燃气应急预案，采取综合措施提高燃气应急保障能力。燃气供应严重短缺、供应中断等突发事件发生后，县级以上人民政府应当及时采取动用储备、紧急调度等应急措施，优先保障居民生活用气、集中供热用气以及医院、学校、公交车等民生用气。燃气经营企业以及其他有关单位和个人应当予以配合，承担相关应急任务。燃气经营企业应当具备符合国家规定的储气能力，并根据供气规模设立应急气源 储备。</w:t>
            </w:r>
          </w:p>
          <w:p w14:paraId="669CB32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第二十五条 燃气用户应当遵守安全用气规则，使用合格的燃气燃烧器具、气瓶和燃气相关产品，及时更换国家明令淘汰或者使用年限已届满的燃气燃烧器具、连接管等，并按照约定期限支付燃气费用。单位燃气用户还应当建立健全安全管理制度，加强对操作维护人员燃气安全知识和操作技能的培训。</w:t>
            </w:r>
          </w:p>
          <w:p w14:paraId="5802D5C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第二十七条 餐饮等行业的生产经营单位使用燃气的，应当依法配备安全生产管理人员，安装符合要求的可燃气体报警装置、切断装置和连接管，并保障其正常使用。积极推进居民燃气用户安装可燃气体报警装置、切断装置。</w:t>
            </w:r>
          </w:p>
          <w:p w14:paraId="201E755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第二十九条 瓶装燃气用户及相关单位和个人，除应当遵守本条例第二十八条的规定外，还不得有下列行为：（一）使用非法制造、非法改装以及报废的气瓶和超期限未检验或者检验不合格的气瓶；（二）违规使用气液两相气瓶和瓶组供气；（三）在高层民用建筑、地下室和半地下室、密闭空间等场所使用瓶装燃气；（四）将气瓶放置于室内人员就餐场所；（五）破坏或者改变电子标签、气瓶标识；（六）擅自处理气瓶内的残液或者更换气瓶减压装置；（七）加热、撞击、倒卧、曝晒气瓶；（八）安装可调节出口压力的调压器；（九）法律、法规禁止的其他行为。第三十条 生产和销售的燃气燃烧器具、可燃气体报警装置、减压装置、切断装置、连接管等燃气相关产品，应当符合安全标准或者强制性产品认证要求。</w:t>
            </w:r>
          </w:p>
          <w:p w14:paraId="1A72939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第三十三条 燃气经营企业应当设置并向社会公布抢险抢修电话，设专岗每天二十四小时值班。燃气经营企业接到燃气用户的服务请求后，应当按照承诺的时限或者与燃气用户约定的时间派人到现场服务。对燃气泄漏的报修，燃气经营企业应当先行告知燃气用户须采取的应急措施，并立即派人到现场抢修；燃气用户应当按照要求立即采取应急措施。</w:t>
            </w:r>
          </w:p>
          <w:p w14:paraId="0925CCF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3.《银川市燃气管理条例》第四条 市、县（市）区人民政府应当加强对燃气工作的领导，将燃气工作纳入国民经济和社会发展规划，明确相关管理部门职责分工，建立燃气工作监督管理和协调机制。燃气工作所需经费纳入本级财政预算。乡（镇）人民政府和街道办事处应当按照职责对本行政区域内燃气安全生产状况进行监督检查，协助有关部门做好燃气管理相关工作。</w:t>
            </w:r>
          </w:p>
          <w:p w14:paraId="3066DD7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xml:space="preserve">第十四条 燃气设施建设工程应当按照国家有关规定进行安全评价。项目竣工投入生产或者使用前，建设单位应当组织设计、施工、监理等有关单位对安全设施进行验收；未经验收或者验收不合格的，不得投入生产和使用。燃气设施建设工程自竣工验收合格之日起十五日内，建设单位应当将竣工验收情况报燃气管理部门备案，并在三个月内向城建档案管理机构移交建设项目档案。 </w:t>
            </w:r>
          </w:p>
          <w:p w14:paraId="607E2B0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第十五条 任何单位和个人不得阻碍经批准的燃气工程项目施工建设。</w:t>
            </w:r>
          </w:p>
          <w:p w14:paraId="79E051B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第十六条 市、县（市）区人民政府应当建立健全燃气应急储备制度。燃气管理部门应当建立燃气应急预案，对燃气供求状况实施监测、预测和预警，采取综合措施提高燃气应急保障能力。燃气供应严重短缺、供应中断等突发事件发生后，市、县（市）区人民政府应当及时采取相关应急措施。采取限制用气措施的，应当优先保障居民生活用气、集中供热用气以及医院、学校、公交车等民生用气。燃气经营企业以及其他有关单位和个人应当予以配合，承担相关应急任务。</w:t>
            </w:r>
          </w:p>
          <w:p w14:paraId="72FB62B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第三十二条 燃气用户及相关单位和个人不得有下列行为：（一）擅自操作公用燃气阀门；（二）将燃气管道作为负重支架或者接地引线；（三）在不具备安全条件的场所储存、使用燃气；（四）盗用燃气、改变燃气用途或者转供燃气；（五）在同一用气场所内使用两种以上气源；（六）实施危害室内燃气设施安全的装饰、装修活动；（七）拒绝配合燃气经营企业对燃气设施进行巡查、检测、维修、维护和入户安全检查；（八）自行安装、改装、拆除户内燃气设施和燃气计量装置；（九）安装、使用不符合气源要求或者存在安全隐患的燃气燃烧器具；（十）使用不具有熄火保护装置的燃气灶；（十一）拒绝对燃气安全隐患及时整改；（十二）法律、法规禁止的其他行为。</w:t>
            </w:r>
          </w:p>
          <w:p w14:paraId="1B5DD6F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第三十三条 瓶装燃气用户及相关单位和个人，除应当遵守本条例第三十二条的规定外，还不得有下列行为：</w:t>
            </w:r>
          </w:p>
          <w:p w14:paraId="0D30F04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（一）使用非法制造、非法改装以及报废的气瓶和超期限未检验或者检验不合格 的气瓶；（二）违规使用气液两相气瓶和瓶组供气；（三）在高层民用建筑、地下室和半地下室、密闭空间等场所使用瓶装燃气；（四）将气瓶放置于室内人员就餐场所；（五）破坏或者改变电子标签、气瓶标识；（六）擅自处理气瓶内的残液或者更换气瓶减压装置；（七）加热、撞击、倒卧、曝晒气瓶；（八）擅自安装可调节出口压力的调压器；（九）法律、法规禁止的其他行为。</w:t>
            </w:r>
          </w:p>
        </w:tc>
        <w:tc>
          <w:tcPr>
            <w:tcW w:w="0" w:type="auto"/>
            <w:shd w:val="clear" w:color="auto" w:fill="auto"/>
            <w:vAlign w:val="center"/>
          </w:tcPr>
          <w:p w14:paraId="57DB52D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金凤区管道气经营企业、液化气经营企业、加气站</w:t>
            </w:r>
          </w:p>
        </w:tc>
        <w:tc>
          <w:tcPr>
            <w:tcW w:w="0" w:type="auto"/>
            <w:shd w:val="clear" w:color="auto" w:fill="auto"/>
            <w:vAlign w:val="center"/>
          </w:tcPr>
          <w:p w14:paraId="3282FE8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根据金凤区应急局“综合查一次”时间要求配合检查</w:t>
            </w:r>
          </w:p>
        </w:tc>
        <w:tc>
          <w:tcPr>
            <w:tcW w:w="0" w:type="auto"/>
            <w:shd w:val="clear" w:color="auto" w:fill="auto"/>
            <w:vAlign w:val="center"/>
          </w:tcPr>
          <w:p w14:paraId="5A8AB2E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根据金凤区应急局“综合查一次”检查比例要求配合检查</w:t>
            </w:r>
          </w:p>
        </w:tc>
        <w:tc>
          <w:tcPr>
            <w:tcW w:w="0" w:type="auto"/>
            <w:shd w:val="clear" w:color="auto" w:fill="auto"/>
            <w:vAlign w:val="center"/>
          </w:tcPr>
          <w:p w14:paraId="5EAEB74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根据金凤区应急局“综合查一次”工作要求配合检查</w:t>
            </w:r>
          </w:p>
        </w:tc>
        <w:tc>
          <w:tcPr>
            <w:tcW w:w="0" w:type="auto"/>
            <w:shd w:val="clear" w:color="auto" w:fill="auto"/>
            <w:vAlign w:val="center"/>
          </w:tcPr>
          <w:p w14:paraId="193A0F5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配合金凤区应急局开展“综合查一次”</w:t>
            </w:r>
          </w:p>
        </w:tc>
        <w:tc>
          <w:tcPr>
            <w:tcW w:w="0" w:type="auto"/>
          </w:tcPr>
          <w:p w14:paraId="14BC3037">
            <w:pPr>
              <w:spacing w:line="240" w:lineRule="exact"/>
              <w:jc w:val="center"/>
              <w:rPr>
                <w:rFonts w:hint="eastAsia" w:ascii="Times New Roman" w:hAnsi="Times New Roman" w:eastAsia="宋体"/>
                <w:color w:val="000000"/>
                <w:kern w:val="0"/>
                <w:sz w:val="18"/>
                <w:szCs w:val="18"/>
                <w:lang w:val="en-US" w:eastAsia="zh-CN" w:bidi="ar"/>
              </w:rPr>
            </w:pPr>
          </w:p>
        </w:tc>
      </w:tr>
      <w:tr w14:paraId="6E21A7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46ED2C9A">
            <w:pPr>
              <w:spacing w:line="240" w:lineRule="exact"/>
              <w:jc w:val="center"/>
              <w:rPr>
                <w:rFonts w:hint="eastAsia" w:ascii="Times New Roman" w:hAnsi="Times New Roman" w:eastAsia="宋体"/>
                <w:color w:val="000000"/>
                <w:kern w:val="0"/>
                <w:sz w:val="18"/>
                <w:szCs w:val="18"/>
                <w:lang w:val="en-US" w:eastAsia="zh-CN" w:bidi="ar"/>
              </w:rPr>
            </w:pPr>
          </w:p>
          <w:p w14:paraId="6BA12DBF">
            <w:pPr>
              <w:spacing w:line="240" w:lineRule="exact"/>
              <w:jc w:val="center"/>
              <w:rPr>
                <w:rFonts w:hint="eastAsia" w:ascii="Times New Roman" w:hAnsi="Times New Roman" w:eastAsia="宋体"/>
                <w:color w:val="000000"/>
                <w:kern w:val="0"/>
                <w:sz w:val="18"/>
                <w:szCs w:val="18"/>
                <w:lang w:val="en-US" w:eastAsia="zh-CN" w:bidi="ar"/>
              </w:rPr>
            </w:pPr>
          </w:p>
          <w:p w14:paraId="0F915CD7">
            <w:pPr>
              <w:spacing w:line="240" w:lineRule="exact"/>
              <w:jc w:val="center"/>
              <w:rPr>
                <w:rFonts w:hint="eastAsia" w:ascii="Times New Roman" w:hAnsi="Times New Roman" w:eastAsia="宋体"/>
                <w:color w:val="000000"/>
                <w:kern w:val="0"/>
                <w:sz w:val="18"/>
                <w:szCs w:val="18"/>
                <w:lang w:val="en-US" w:eastAsia="zh-CN" w:bidi="ar"/>
              </w:rPr>
            </w:pPr>
          </w:p>
          <w:p w14:paraId="1B2C0BEF">
            <w:pPr>
              <w:spacing w:line="240" w:lineRule="exact"/>
              <w:jc w:val="center"/>
              <w:rPr>
                <w:rFonts w:hint="eastAsia" w:ascii="Times New Roman" w:hAnsi="Times New Roman" w:eastAsia="宋体"/>
                <w:color w:val="000000"/>
                <w:kern w:val="0"/>
                <w:sz w:val="18"/>
                <w:szCs w:val="18"/>
                <w:lang w:val="en-US" w:eastAsia="zh-CN" w:bidi="ar"/>
              </w:rPr>
            </w:pPr>
          </w:p>
          <w:p w14:paraId="324FC6B4">
            <w:pPr>
              <w:spacing w:line="240" w:lineRule="exact"/>
              <w:jc w:val="center"/>
              <w:rPr>
                <w:rFonts w:hint="eastAsia" w:ascii="Times New Roman" w:hAnsi="Times New Roman" w:eastAsia="宋体"/>
                <w:color w:val="000000"/>
                <w:kern w:val="0"/>
                <w:sz w:val="18"/>
                <w:szCs w:val="18"/>
                <w:lang w:val="en-US" w:eastAsia="zh-CN" w:bidi="ar"/>
              </w:rPr>
            </w:pPr>
          </w:p>
          <w:p w14:paraId="72789E84">
            <w:pPr>
              <w:spacing w:line="240" w:lineRule="exact"/>
              <w:ind w:firstLine="180" w:firstLineChars="100"/>
              <w:jc w:val="both"/>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25</w:t>
            </w:r>
          </w:p>
        </w:tc>
        <w:tc>
          <w:tcPr>
            <w:tcW w:w="1248" w:type="dxa"/>
          </w:tcPr>
          <w:p w14:paraId="0D9D7EAA">
            <w:pPr>
              <w:spacing w:line="240" w:lineRule="exact"/>
              <w:jc w:val="center"/>
              <w:rPr>
                <w:rFonts w:hint="eastAsia" w:ascii="Times New Roman" w:hAnsi="Times New Roman" w:eastAsia="宋体"/>
                <w:color w:val="000000"/>
                <w:kern w:val="0"/>
                <w:sz w:val="18"/>
                <w:szCs w:val="18"/>
                <w:lang w:val="en-US" w:eastAsia="zh-CN" w:bidi="ar"/>
              </w:rPr>
            </w:pPr>
          </w:p>
          <w:p w14:paraId="5E41BC94">
            <w:pPr>
              <w:spacing w:line="240" w:lineRule="exact"/>
              <w:jc w:val="center"/>
              <w:rPr>
                <w:rFonts w:hint="eastAsia" w:ascii="Times New Roman" w:hAnsi="Times New Roman" w:eastAsia="宋体"/>
                <w:color w:val="000000"/>
                <w:kern w:val="0"/>
                <w:sz w:val="18"/>
                <w:szCs w:val="18"/>
                <w:lang w:val="en-US" w:eastAsia="zh-CN" w:bidi="ar"/>
              </w:rPr>
            </w:pPr>
          </w:p>
          <w:p w14:paraId="7A7D25DF">
            <w:pPr>
              <w:spacing w:line="240" w:lineRule="exact"/>
              <w:jc w:val="center"/>
              <w:rPr>
                <w:rFonts w:hint="eastAsia" w:ascii="Times New Roman" w:hAnsi="Times New Roman" w:eastAsia="宋体"/>
                <w:color w:val="000000"/>
                <w:kern w:val="0"/>
                <w:sz w:val="18"/>
                <w:szCs w:val="18"/>
                <w:lang w:val="en-US" w:eastAsia="zh-CN" w:bidi="ar"/>
              </w:rPr>
            </w:pPr>
          </w:p>
          <w:p w14:paraId="4EB2A2F3">
            <w:pPr>
              <w:spacing w:line="240" w:lineRule="exact"/>
              <w:jc w:val="center"/>
              <w:rPr>
                <w:rFonts w:hint="eastAsia" w:ascii="Times New Roman" w:hAnsi="Times New Roman" w:eastAsia="宋体"/>
                <w:color w:val="000000"/>
                <w:kern w:val="0"/>
                <w:sz w:val="18"/>
                <w:szCs w:val="18"/>
                <w:lang w:val="en-US" w:eastAsia="zh-CN" w:bidi="ar"/>
              </w:rPr>
            </w:pPr>
          </w:p>
          <w:p w14:paraId="6682813E">
            <w:pPr>
              <w:spacing w:line="240" w:lineRule="exact"/>
              <w:jc w:val="center"/>
              <w:rPr>
                <w:rFonts w:hint="eastAsia" w:ascii="Times New Roman" w:hAnsi="Times New Roman" w:eastAsia="宋体"/>
                <w:color w:val="000000"/>
                <w:kern w:val="0"/>
                <w:sz w:val="18"/>
                <w:szCs w:val="18"/>
                <w:lang w:val="en-US" w:eastAsia="zh-CN" w:bidi="ar"/>
              </w:rPr>
            </w:pPr>
          </w:p>
          <w:p w14:paraId="77C3D64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金凤区综合执法局</w:t>
            </w:r>
          </w:p>
        </w:tc>
        <w:tc>
          <w:tcPr>
            <w:tcW w:w="1326" w:type="dxa"/>
            <w:shd w:val="clear" w:color="auto" w:fill="auto"/>
            <w:vAlign w:val="center"/>
          </w:tcPr>
          <w:p w14:paraId="69A41CF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对城市供水企业的监督检查</w:t>
            </w:r>
          </w:p>
        </w:tc>
        <w:tc>
          <w:tcPr>
            <w:tcW w:w="0" w:type="auto"/>
            <w:shd w:val="clear" w:color="auto" w:fill="auto"/>
            <w:vAlign w:val="center"/>
          </w:tcPr>
          <w:p w14:paraId="42BB8A3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《城市供水水质管理规定》（2007年建设部令第156号）</w:t>
            </w:r>
          </w:p>
          <w:p w14:paraId="13F2D29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第十五条 国务院建设主管部门，省、自治区建设主管部门以及直辖市、市、县人民政府城市供水主管部门 [以下简称建设（城市供水）主管部门]应当建立健全城市供水水质检查和督察制度，对本规定的执行情况进行监督检查。</w:t>
            </w:r>
          </w:p>
          <w:p w14:paraId="2944B34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第十六条 建设（城市供水）主管部门实施监督检查时，可以采取以下措施：（一）进入现场实施检查；（二）对供水水质进行抽样检测；（三）查阅、复制相关报表、数据、原始记录等文件和资料；（四）要求被检查的单位就有关问题做出说明；（五）纠正违反有关法律、法规和本办法规定的行为。</w:t>
            </w:r>
          </w:p>
          <w:p w14:paraId="1FF327B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第十七条 实施监督检查 , 不得妨碍被检查单位正常的生产经营活动。建设（城市供水）主管部门及其工作人员对知悉的被检查单位的商业秘密负有保密义务。</w:t>
            </w:r>
          </w:p>
          <w:p w14:paraId="7947A6A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第十八条 建设（城市供水）主管部门依法实施监督检查，有关单位和个人不得拒绝或者阻挠。被检查单位应当接受监督检查和督察，并提供工作方便。</w:t>
            </w:r>
          </w:p>
          <w:p w14:paraId="530024EB">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第十九条 建设（城市供水）主管部门实施现场检查时应当做好检查记录，并在取得抽检水样检测报告十五日内，向被检查单位出具检查意见书。发现供水水质不合格或存在安全隐患的，建设（城市供水）主管部门应当责令被检查单位限期改正。</w:t>
            </w:r>
          </w:p>
          <w:p w14:paraId="49C5C55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第二十条 建设（城市供水）主管部门实施监督检查，应当委托城市供水水质监测网监测站或者其他经质量技术监督部门资质认定的水质检测机构进行水质检测。</w:t>
            </w:r>
          </w:p>
          <w:p w14:paraId="4AE649D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《银川市城市供水节水条例》全文适用</w:t>
            </w:r>
          </w:p>
        </w:tc>
        <w:tc>
          <w:tcPr>
            <w:tcW w:w="0" w:type="auto"/>
            <w:shd w:val="clear" w:color="auto" w:fill="auto"/>
            <w:vAlign w:val="center"/>
          </w:tcPr>
          <w:p w14:paraId="4E3B631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二次供水涉及物业公司、中铁水务直管的泵房</w:t>
            </w:r>
          </w:p>
        </w:tc>
        <w:tc>
          <w:tcPr>
            <w:tcW w:w="0" w:type="auto"/>
            <w:shd w:val="clear" w:color="auto" w:fill="auto"/>
            <w:vAlign w:val="center"/>
          </w:tcPr>
          <w:p w14:paraId="4E854AF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全年普查一次</w:t>
            </w:r>
          </w:p>
        </w:tc>
        <w:tc>
          <w:tcPr>
            <w:tcW w:w="0" w:type="auto"/>
            <w:shd w:val="clear" w:color="auto" w:fill="auto"/>
            <w:vAlign w:val="center"/>
          </w:tcPr>
          <w:p w14:paraId="4592862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6112F0C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1次</w:t>
            </w:r>
          </w:p>
        </w:tc>
        <w:tc>
          <w:tcPr>
            <w:tcW w:w="0" w:type="auto"/>
            <w:shd w:val="clear" w:color="auto" w:fill="auto"/>
            <w:vAlign w:val="center"/>
          </w:tcPr>
          <w:p w14:paraId="52F9AEB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联合检查的部门名称</w:t>
            </w:r>
          </w:p>
        </w:tc>
        <w:tc>
          <w:tcPr>
            <w:tcW w:w="0" w:type="auto"/>
          </w:tcPr>
          <w:p w14:paraId="7881EB0F">
            <w:pPr>
              <w:spacing w:line="240" w:lineRule="exact"/>
              <w:jc w:val="center"/>
              <w:rPr>
                <w:rFonts w:hint="eastAsia" w:ascii="Times New Roman" w:hAnsi="Times New Roman" w:eastAsia="宋体"/>
                <w:color w:val="000000"/>
                <w:kern w:val="0"/>
                <w:sz w:val="18"/>
                <w:szCs w:val="18"/>
                <w:lang w:val="en-US" w:eastAsia="zh-CN" w:bidi="ar"/>
              </w:rPr>
            </w:pPr>
          </w:p>
        </w:tc>
      </w:tr>
      <w:tr w14:paraId="103CA7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79E61ECE">
            <w:pPr>
              <w:spacing w:line="240" w:lineRule="exact"/>
              <w:jc w:val="center"/>
              <w:rPr>
                <w:rFonts w:hint="eastAsia" w:ascii="Times New Roman" w:hAnsi="Times New Roman" w:eastAsia="宋体"/>
                <w:color w:val="000000"/>
                <w:kern w:val="0"/>
                <w:sz w:val="18"/>
                <w:szCs w:val="18"/>
                <w:lang w:val="en-US" w:eastAsia="zh-CN" w:bidi="ar"/>
              </w:rPr>
            </w:pPr>
          </w:p>
          <w:p w14:paraId="578BF328">
            <w:pPr>
              <w:spacing w:line="240" w:lineRule="exact"/>
              <w:jc w:val="center"/>
              <w:rPr>
                <w:rFonts w:hint="eastAsia" w:ascii="Times New Roman" w:hAnsi="Times New Roman" w:eastAsia="宋体"/>
                <w:color w:val="000000"/>
                <w:kern w:val="0"/>
                <w:sz w:val="18"/>
                <w:szCs w:val="18"/>
                <w:lang w:val="en-US" w:eastAsia="zh-CN" w:bidi="ar"/>
              </w:rPr>
            </w:pPr>
          </w:p>
          <w:p w14:paraId="3B26B7C9">
            <w:pPr>
              <w:spacing w:line="240" w:lineRule="exact"/>
              <w:jc w:val="center"/>
              <w:rPr>
                <w:rFonts w:hint="eastAsia" w:ascii="Times New Roman" w:hAnsi="Times New Roman" w:eastAsia="宋体"/>
                <w:color w:val="000000"/>
                <w:kern w:val="0"/>
                <w:sz w:val="18"/>
                <w:szCs w:val="18"/>
                <w:lang w:val="en-US" w:eastAsia="zh-CN" w:bidi="ar"/>
              </w:rPr>
            </w:pPr>
          </w:p>
          <w:p w14:paraId="7A170C1D">
            <w:pPr>
              <w:spacing w:line="240" w:lineRule="exact"/>
              <w:jc w:val="center"/>
              <w:rPr>
                <w:rFonts w:hint="eastAsia" w:ascii="Times New Roman" w:hAnsi="Times New Roman" w:eastAsia="宋体"/>
                <w:color w:val="000000"/>
                <w:kern w:val="0"/>
                <w:sz w:val="18"/>
                <w:szCs w:val="18"/>
                <w:lang w:val="en-US" w:eastAsia="zh-CN" w:bidi="ar"/>
              </w:rPr>
            </w:pPr>
          </w:p>
          <w:p w14:paraId="4F432B75">
            <w:pPr>
              <w:spacing w:line="240" w:lineRule="exact"/>
              <w:jc w:val="center"/>
              <w:rPr>
                <w:rFonts w:hint="eastAsia" w:ascii="Times New Roman" w:hAnsi="Times New Roman" w:eastAsia="宋体"/>
                <w:color w:val="000000"/>
                <w:kern w:val="0"/>
                <w:sz w:val="18"/>
                <w:szCs w:val="18"/>
                <w:lang w:val="en-US" w:eastAsia="zh-CN" w:bidi="ar"/>
              </w:rPr>
            </w:pPr>
          </w:p>
          <w:p w14:paraId="0E6E2D00">
            <w:pPr>
              <w:spacing w:line="240" w:lineRule="exact"/>
              <w:jc w:val="center"/>
              <w:rPr>
                <w:rFonts w:hint="eastAsia" w:ascii="Times New Roman" w:hAnsi="Times New Roman" w:eastAsia="宋体"/>
                <w:color w:val="000000"/>
                <w:kern w:val="0"/>
                <w:sz w:val="18"/>
                <w:szCs w:val="18"/>
                <w:lang w:val="en-US" w:eastAsia="zh-CN" w:bidi="ar"/>
              </w:rPr>
            </w:pPr>
          </w:p>
          <w:p w14:paraId="06B9E653">
            <w:pPr>
              <w:spacing w:line="240" w:lineRule="exact"/>
              <w:jc w:val="center"/>
              <w:rPr>
                <w:rFonts w:hint="eastAsia" w:ascii="Times New Roman" w:hAnsi="Times New Roman" w:eastAsia="宋体"/>
                <w:color w:val="000000"/>
                <w:kern w:val="0"/>
                <w:sz w:val="18"/>
                <w:szCs w:val="18"/>
                <w:lang w:val="en-US" w:eastAsia="zh-CN" w:bidi="ar"/>
              </w:rPr>
            </w:pPr>
          </w:p>
          <w:p w14:paraId="5188E22A">
            <w:pPr>
              <w:spacing w:line="240" w:lineRule="exact"/>
              <w:jc w:val="center"/>
              <w:rPr>
                <w:rFonts w:hint="eastAsia" w:ascii="Times New Roman" w:hAnsi="Times New Roman" w:eastAsia="宋体"/>
                <w:color w:val="000000"/>
                <w:kern w:val="0"/>
                <w:sz w:val="18"/>
                <w:szCs w:val="18"/>
                <w:lang w:val="en-US" w:eastAsia="zh-CN" w:bidi="ar"/>
              </w:rPr>
            </w:pPr>
          </w:p>
          <w:p w14:paraId="61583810">
            <w:pPr>
              <w:spacing w:line="240" w:lineRule="exact"/>
              <w:jc w:val="center"/>
              <w:rPr>
                <w:rFonts w:hint="eastAsia" w:ascii="Times New Roman" w:hAnsi="Times New Roman" w:eastAsia="宋体"/>
                <w:color w:val="000000"/>
                <w:kern w:val="0"/>
                <w:sz w:val="18"/>
                <w:szCs w:val="18"/>
                <w:lang w:val="en-US" w:eastAsia="zh-CN" w:bidi="ar"/>
              </w:rPr>
            </w:pPr>
          </w:p>
          <w:p w14:paraId="750AEE2C">
            <w:pPr>
              <w:spacing w:line="240" w:lineRule="exact"/>
              <w:jc w:val="center"/>
              <w:rPr>
                <w:rFonts w:hint="eastAsia" w:ascii="Times New Roman" w:hAnsi="Times New Roman" w:eastAsia="宋体"/>
                <w:color w:val="000000"/>
                <w:kern w:val="0"/>
                <w:sz w:val="18"/>
                <w:szCs w:val="18"/>
                <w:lang w:val="en-US" w:eastAsia="zh-CN" w:bidi="ar"/>
              </w:rPr>
            </w:pPr>
          </w:p>
          <w:p w14:paraId="1B0BD5B9">
            <w:pPr>
              <w:spacing w:line="240" w:lineRule="exact"/>
              <w:jc w:val="center"/>
              <w:rPr>
                <w:rFonts w:hint="eastAsia" w:ascii="Times New Roman" w:hAnsi="Times New Roman" w:eastAsia="宋体"/>
                <w:color w:val="000000"/>
                <w:kern w:val="0"/>
                <w:sz w:val="18"/>
                <w:szCs w:val="18"/>
                <w:lang w:val="en-US" w:eastAsia="zh-CN" w:bidi="ar"/>
              </w:rPr>
            </w:pPr>
          </w:p>
          <w:p w14:paraId="422F12BD">
            <w:pPr>
              <w:spacing w:line="240" w:lineRule="exact"/>
              <w:jc w:val="center"/>
              <w:rPr>
                <w:rFonts w:hint="eastAsia" w:ascii="Times New Roman" w:hAnsi="Times New Roman" w:eastAsia="宋体"/>
                <w:color w:val="000000"/>
                <w:kern w:val="0"/>
                <w:sz w:val="18"/>
                <w:szCs w:val="18"/>
                <w:lang w:val="en-US" w:eastAsia="zh-CN" w:bidi="ar"/>
              </w:rPr>
            </w:pPr>
          </w:p>
          <w:p w14:paraId="0088FA54">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26</w:t>
            </w:r>
          </w:p>
        </w:tc>
        <w:tc>
          <w:tcPr>
            <w:tcW w:w="1248" w:type="dxa"/>
          </w:tcPr>
          <w:p w14:paraId="341CCFEC">
            <w:pPr>
              <w:spacing w:line="240" w:lineRule="exact"/>
              <w:jc w:val="center"/>
              <w:rPr>
                <w:rFonts w:hint="eastAsia" w:ascii="Times New Roman" w:hAnsi="Times New Roman" w:eastAsia="宋体"/>
                <w:color w:val="000000"/>
                <w:kern w:val="0"/>
                <w:sz w:val="18"/>
                <w:szCs w:val="18"/>
                <w:lang w:val="en-US" w:eastAsia="zh-CN" w:bidi="ar"/>
              </w:rPr>
            </w:pPr>
          </w:p>
          <w:p w14:paraId="2D07F6DD">
            <w:pPr>
              <w:spacing w:line="240" w:lineRule="exact"/>
              <w:jc w:val="center"/>
              <w:rPr>
                <w:rFonts w:hint="eastAsia" w:ascii="Times New Roman" w:hAnsi="Times New Roman" w:eastAsia="宋体"/>
                <w:color w:val="000000"/>
                <w:kern w:val="0"/>
                <w:sz w:val="18"/>
                <w:szCs w:val="18"/>
                <w:lang w:val="en-US" w:eastAsia="zh-CN" w:bidi="ar"/>
              </w:rPr>
            </w:pPr>
          </w:p>
          <w:p w14:paraId="6FC5ED6E">
            <w:pPr>
              <w:spacing w:line="240" w:lineRule="exact"/>
              <w:jc w:val="center"/>
              <w:rPr>
                <w:rFonts w:hint="eastAsia" w:ascii="Times New Roman" w:hAnsi="Times New Roman" w:eastAsia="宋体"/>
                <w:color w:val="000000"/>
                <w:kern w:val="0"/>
                <w:sz w:val="18"/>
                <w:szCs w:val="18"/>
                <w:lang w:val="en-US" w:eastAsia="zh-CN" w:bidi="ar"/>
              </w:rPr>
            </w:pPr>
          </w:p>
          <w:p w14:paraId="0B7E01A0">
            <w:pPr>
              <w:spacing w:line="240" w:lineRule="exact"/>
              <w:jc w:val="center"/>
              <w:rPr>
                <w:rFonts w:hint="eastAsia" w:ascii="Times New Roman" w:hAnsi="Times New Roman" w:eastAsia="宋体"/>
                <w:color w:val="000000"/>
                <w:kern w:val="0"/>
                <w:sz w:val="18"/>
                <w:szCs w:val="18"/>
                <w:lang w:val="en-US" w:eastAsia="zh-CN" w:bidi="ar"/>
              </w:rPr>
            </w:pPr>
          </w:p>
          <w:p w14:paraId="0E9A7979">
            <w:pPr>
              <w:spacing w:line="240" w:lineRule="exact"/>
              <w:jc w:val="center"/>
              <w:rPr>
                <w:rFonts w:hint="eastAsia" w:ascii="Times New Roman" w:hAnsi="Times New Roman" w:eastAsia="宋体"/>
                <w:color w:val="000000"/>
                <w:kern w:val="0"/>
                <w:sz w:val="18"/>
                <w:szCs w:val="18"/>
                <w:lang w:val="en-US" w:eastAsia="zh-CN" w:bidi="ar"/>
              </w:rPr>
            </w:pPr>
          </w:p>
          <w:p w14:paraId="0006FB0A">
            <w:pPr>
              <w:spacing w:line="240" w:lineRule="exact"/>
              <w:jc w:val="center"/>
              <w:rPr>
                <w:rFonts w:hint="eastAsia" w:ascii="Times New Roman" w:hAnsi="Times New Roman" w:eastAsia="宋体"/>
                <w:color w:val="000000"/>
                <w:kern w:val="0"/>
                <w:sz w:val="18"/>
                <w:szCs w:val="18"/>
                <w:lang w:val="en-US" w:eastAsia="zh-CN" w:bidi="ar"/>
              </w:rPr>
            </w:pPr>
          </w:p>
          <w:p w14:paraId="53FE2F59">
            <w:pPr>
              <w:spacing w:line="240" w:lineRule="exact"/>
              <w:jc w:val="center"/>
              <w:rPr>
                <w:rFonts w:hint="eastAsia" w:ascii="Times New Roman" w:hAnsi="Times New Roman" w:eastAsia="宋体"/>
                <w:color w:val="000000"/>
                <w:kern w:val="0"/>
                <w:sz w:val="18"/>
                <w:szCs w:val="18"/>
                <w:lang w:val="en-US" w:eastAsia="zh-CN" w:bidi="ar"/>
              </w:rPr>
            </w:pPr>
          </w:p>
          <w:p w14:paraId="271050C6">
            <w:pPr>
              <w:spacing w:line="240" w:lineRule="exact"/>
              <w:jc w:val="center"/>
              <w:rPr>
                <w:rFonts w:hint="eastAsia" w:ascii="Times New Roman" w:hAnsi="Times New Roman" w:eastAsia="宋体"/>
                <w:color w:val="000000"/>
                <w:kern w:val="0"/>
                <w:sz w:val="18"/>
                <w:szCs w:val="18"/>
                <w:lang w:val="en-US" w:eastAsia="zh-CN" w:bidi="ar"/>
              </w:rPr>
            </w:pPr>
          </w:p>
          <w:p w14:paraId="2273463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金凤区综合执法局</w:t>
            </w:r>
          </w:p>
        </w:tc>
        <w:tc>
          <w:tcPr>
            <w:tcW w:w="1326" w:type="dxa"/>
            <w:shd w:val="clear" w:color="auto" w:fill="auto"/>
            <w:vAlign w:val="center"/>
          </w:tcPr>
          <w:p w14:paraId="61C603C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对城市集中供热企业的监督检查</w:t>
            </w:r>
          </w:p>
        </w:tc>
        <w:tc>
          <w:tcPr>
            <w:tcW w:w="0" w:type="auto"/>
            <w:shd w:val="clear" w:color="auto" w:fill="auto"/>
            <w:vAlign w:val="center"/>
          </w:tcPr>
          <w:p w14:paraId="1E37FD8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依据《宁夏回族自治区供热条例》第四条 县级以上人民政府供热主管部门（以下简称供热主管部门）负责本行政 区域内的供热管理工作。 发展改革、财政、规划、环境保护、价格、质量技术监督等有关部门，在各自的 职责范围内负责有关供热管理工作。</w:t>
            </w:r>
          </w:p>
          <w:p w14:paraId="0C156395">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《银川市城市供热条例》第三条  本条例所称城市供热，是指利用热源所产生的热能，通过集中供热管网向热用户有偿提供用热的行为。 本条例所称热源单位，是指为供热单位提供热能的单位。 本条例所称供热单位，是指利用热源单位提供或者自身生产的热能从事供热经营 的单位。本条例所称热用户，是指消费供热单位热能的单位和个人。</w:t>
            </w:r>
          </w:p>
          <w:p w14:paraId="1EDF80A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第十五条 设立供热单位，应当符合下列条件： （一）有稳定的热源； （二）有符合国家标准且与供热规模相适应的供热设施； （三）有固定的符合安全条件的经营场所； （四）有与经营规模相适应的资金； （五）有相应从业资格的供热技术人员和安全管理人员；（六）有完善的管理制度、服务规范和健全的经营方案； （七）法律法规规定的其他条件。 符合前款规定的，供热主管部门应当自受理申请之日起三十日内作出决定。供热 单位取得供热经营许可证后，方可从事供热经营活动。 本条例实施前设立的供热单位符合前款规定的，供热主管部门应当核发供热经营 许可证。供热经营许可证的有效期为四年。</w:t>
            </w:r>
          </w:p>
          <w:p w14:paraId="0110675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xml:space="preserve">第十九条 供热期间，居民用户卧室、起居室温度一般不得低于 20℃，其他部位 温度应当符合设计规范标准要求。非居民用户的室内温度执行国家规范标准或者由供 用热双方在供用热合同中约定。 </w:t>
            </w:r>
          </w:p>
          <w:p w14:paraId="43C8804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第二十条 供热单位应当建立居民热用户室温检测制度，使用符合标准并检定合 格的检测器具。 居民热用户认为室内温度不达标的，可以要求供热单位测温。供热单位应当在十 二小时内测温，测温结果由双方签字确认。 居民热用户与供热单位对室温达标有争议的，由双方协商确定的具备室温检测资 质的机构进行检测。协商不成的，由供热主管部门委托。</w:t>
            </w:r>
          </w:p>
          <w:p w14:paraId="35ABA84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居民室内温度的测量、鉴定办法按照自治区城镇居民住宅供热室温检测的有关规 定执行。</w:t>
            </w:r>
          </w:p>
          <w:p w14:paraId="3CE7D62E">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 xml:space="preserve">第二十二条 在供热期内供热单位不得擅自停止供热。因设备故障或者不可抗力 原因停止供热十二小时以上的，供热单位应当及时通知热用户，向供热主管部门报告， 并立即组织抢修，恢复供热。 </w:t>
            </w:r>
          </w:p>
          <w:p w14:paraId="2D2FA84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第二十三条 供热单位应当履行下列责任： （一）向热用户持续、稳定、安全供热； （二）建立供热服务承诺制度，公开便民服务电话，供热期间安排工作人员二十 四小时值班，及时处理热用户的投诉； （三）建立共用供热设施巡检制度，对管理范围内的共用供热设施进行检查，并 作好记录。发现共用供热设施存在隐患的，应当及时消除； （四）在供热期开始前应当做好准备工作，供热设施注水前七十二小时通知热 用户；（五）供热管网发生泄漏的，一小时内到达现场处置； （六）建立并妥善保管热用户档案； （七）法律法规规定和供用热合同约定的其他责任。</w:t>
            </w:r>
          </w:p>
          <w:p w14:paraId="56FCE80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第三十四条 供热单位应当配备相应的专业维修人员以及维修设施、设备，按照 供热设施、设备维修管理的技术规程和质量标准，定期进行维修、养护，保证供热设 施正常运转。</w:t>
            </w:r>
          </w:p>
          <w:p w14:paraId="5F7F41A1">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第三十六条 热源单位和供热单位应当按照规定对其维护管理的重要供热设施， 设置明显、统一的安全警示标志，并采取相应的安全保障措施。</w:t>
            </w:r>
          </w:p>
          <w:p w14:paraId="6157F78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第三十八条 供热单位应当制定供热运行、设施维护、检修、事故处理等操作规 程和制度，建立健全供热保障体系，保证供热系统安全运行。 供热单位的司炉、热力运行、维修、检验等从业人员应当持证上岗。</w:t>
            </w:r>
          </w:p>
          <w:p w14:paraId="6943ED6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第三十九条第三十九条 市、县（市）区人民政府应当制定供热突发事件应急预案，建立相 应的组织指挥系统和保障体系。 热源单位和供热单位应当制定供热突发事件应急预案，组建应急抢险队伍。</w:t>
            </w:r>
          </w:p>
        </w:tc>
        <w:tc>
          <w:tcPr>
            <w:tcW w:w="0" w:type="auto"/>
            <w:shd w:val="clear" w:color="auto" w:fill="auto"/>
            <w:vAlign w:val="center"/>
          </w:tcPr>
          <w:p w14:paraId="4D0395B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供暖企业</w:t>
            </w:r>
          </w:p>
        </w:tc>
        <w:tc>
          <w:tcPr>
            <w:tcW w:w="0" w:type="auto"/>
            <w:shd w:val="clear" w:color="auto" w:fill="auto"/>
            <w:vAlign w:val="center"/>
          </w:tcPr>
          <w:p w14:paraId="0D0A991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095E6583">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100%</w:t>
            </w:r>
          </w:p>
        </w:tc>
        <w:tc>
          <w:tcPr>
            <w:tcW w:w="0" w:type="auto"/>
            <w:shd w:val="clear" w:color="auto" w:fill="auto"/>
            <w:vAlign w:val="center"/>
          </w:tcPr>
          <w:p w14:paraId="7FF073E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不定期</w:t>
            </w:r>
          </w:p>
        </w:tc>
        <w:tc>
          <w:tcPr>
            <w:tcW w:w="0" w:type="auto"/>
            <w:shd w:val="clear" w:color="auto" w:fill="auto"/>
            <w:vAlign w:val="center"/>
          </w:tcPr>
          <w:p w14:paraId="6B09AF84">
            <w:pPr>
              <w:spacing w:line="240" w:lineRule="exact"/>
              <w:jc w:val="center"/>
              <w:rPr>
                <w:rFonts w:hint="eastAsia" w:ascii="Times New Roman" w:hAnsi="Times New Roman" w:eastAsia="宋体"/>
                <w:color w:val="000000"/>
                <w:kern w:val="0"/>
                <w:sz w:val="18"/>
                <w:szCs w:val="18"/>
                <w:lang w:val="en-US" w:eastAsia="zh-CN" w:bidi="ar"/>
              </w:rPr>
            </w:pPr>
          </w:p>
        </w:tc>
        <w:tc>
          <w:tcPr>
            <w:tcW w:w="0" w:type="auto"/>
          </w:tcPr>
          <w:p w14:paraId="78C7DEAC">
            <w:pPr>
              <w:spacing w:line="240" w:lineRule="exact"/>
              <w:jc w:val="center"/>
              <w:rPr>
                <w:rFonts w:hint="eastAsia" w:ascii="Times New Roman" w:hAnsi="Times New Roman" w:eastAsia="宋体"/>
                <w:color w:val="000000"/>
                <w:kern w:val="0"/>
                <w:sz w:val="18"/>
                <w:szCs w:val="18"/>
                <w:lang w:val="en-US" w:eastAsia="zh-CN" w:bidi="ar"/>
              </w:rPr>
            </w:pPr>
          </w:p>
        </w:tc>
      </w:tr>
      <w:tr w14:paraId="68B400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1ACDDF96">
            <w:pPr>
              <w:spacing w:line="240" w:lineRule="exact"/>
              <w:jc w:val="center"/>
              <w:rPr>
                <w:rFonts w:hint="eastAsia" w:ascii="Times New Roman" w:hAnsi="Times New Roman" w:eastAsia="宋体"/>
                <w:color w:val="000000"/>
                <w:kern w:val="0"/>
                <w:sz w:val="18"/>
                <w:szCs w:val="18"/>
                <w:lang w:val="en-US" w:eastAsia="zh-CN" w:bidi="ar"/>
              </w:rPr>
            </w:pPr>
          </w:p>
          <w:p w14:paraId="26107070">
            <w:pPr>
              <w:spacing w:line="240" w:lineRule="exact"/>
              <w:jc w:val="center"/>
              <w:rPr>
                <w:rFonts w:hint="eastAsia" w:ascii="Times New Roman" w:hAnsi="Times New Roman" w:eastAsia="宋体"/>
                <w:color w:val="000000"/>
                <w:kern w:val="0"/>
                <w:sz w:val="18"/>
                <w:szCs w:val="18"/>
                <w:lang w:val="en-US" w:eastAsia="zh-CN" w:bidi="ar"/>
              </w:rPr>
            </w:pPr>
          </w:p>
          <w:p w14:paraId="143CD07E">
            <w:pPr>
              <w:spacing w:line="240" w:lineRule="exact"/>
              <w:jc w:val="center"/>
              <w:rPr>
                <w:rFonts w:hint="eastAsia" w:ascii="Times New Roman" w:hAnsi="Times New Roman" w:eastAsia="宋体"/>
                <w:color w:val="000000"/>
                <w:kern w:val="0"/>
                <w:sz w:val="18"/>
                <w:szCs w:val="18"/>
                <w:lang w:val="en-US" w:eastAsia="zh-CN" w:bidi="ar"/>
              </w:rPr>
            </w:pPr>
          </w:p>
          <w:p w14:paraId="44483E96">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27</w:t>
            </w:r>
          </w:p>
        </w:tc>
        <w:tc>
          <w:tcPr>
            <w:tcW w:w="1248" w:type="dxa"/>
            <w:vAlign w:val="center"/>
          </w:tcPr>
          <w:p w14:paraId="459D775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金凤区工业信息化和科学技术局</w:t>
            </w:r>
          </w:p>
        </w:tc>
        <w:tc>
          <w:tcPr>
            <w:tcW w:w="1326" w:type="dxa"/>
            <w:shd w:val="clear" w:color="auto" w:fill="auto"/>
            <w:vAlign w:val="center"/>
          </w:tcPr>
          <w:p w14:paraId="792E1568">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工业节能监察</w:t>
            </w:r>
          </w:p>
        </w:tc>
        <w:tc>
          <w:tcPr>
            <w:tcW w:w="0" w:type="auto"/>
            <w:shd w:val="clear" w:color="auto" w:fill="auto"/>
            <w:vAlign w:val="center"/>
          </w:tcPr>
          <w:p w14:paraId="2951FF8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《工业节能监察办法》（2022年工业和信息化部令第58号）</w:t>
            </w:r>
          </w:p>
        </w:tc>
        <w:tc>
          <w:tcPr>
            <w:tcW w:w="0" w:type="auto"/>
            <w:shd w:val="clear" w:color="auto" w:fill="auto"/>
            <w:vAlign w:val="center"/>
          </w:tcPr>
          <w:p w14:paraId="795F4A0C">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工业企业</w:t>
            </w:r>
          </w:p>
        </w:tc>
        <w:tc>
          <w:tcPr>
            <w:tcW w:w="0" w:type="auto"/>
            <w:shd w:val="clear" w:color="auto" w:fill="auto"/>
            <w:vAlign w:val="center"/>
          </w:tcPr>
          <w:p w14:paraId="2F34138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7574193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10家</w:t>
            </w:r>
          </w:p>
        </w:tc>
        <w:tc>
          <w:tcPr>
            <w:tcW w:w="0" w:type="auto"/>
            <w:shd w:val="clear" w:color="auto" w:fill="auto"/>
            <w:vAlign w:val="center"/>
          </w:tcPr>
          <w:p w14:paraId="77C1353A">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1次</w:t>
            </w:r>
          </w:p>
        </w:tc>
        <w:tc>
          <w:tcPr>
            <w:tcW w:w="0" w:type="auto"/>
            <w:shd w:val="clear" w:color="auto" w:fill="auto"/>
            <w:vAlign w:val="center"/>
          </w:tcPr>
          <w:p w14:paraId="3CBB8547">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金凤区发改局</w:t>
            </w:r>
          </w:p>
        </w:tc>
        <w:tc>
          <w:tcPr>
            <w:tcW w:w="0" w:type="auto"/>
          </w:tcPr>
          <w:p w14:paraId="79C1E2E9">
            <w:pPr>
              <w:spacing w:line="240" w:lineRule="exact"/>
              <w:jc w:val="center"/>
              <w:rPr>
                <w:rFonts w:hint="eastAsia" w:ascii="Times New Roman" w:hAnsi="Times New Roman" w:eastAsia="宋体"/>
                <w:color w:val="000000"/>
                <w:kern w:val="0"/>
                <w:sz w:val="18"/>
                <w:szCs w:val="18"/>
                <w:lang w:val="en-US" w:eastAsia="zh-CN" w:bidi="ar"/>
              </w:rPr>
            </w:pPr>
          </w:p>
        </w:tc>
      </w:tr>
      <w:tr w14:paraId="6A5D98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0D2C33C1">
            <w:pPr>
              <w:spacing w:line="240" w:lineRule="exact"/>
              <w:jc w:val="center"/>
              <w:rPr>
                <w:rFonts w:hint="eastAsia" w:ascii="Times New Roman" w:hAnsi="Times New Roman"/>
                <w:color w:val="000000"/>
                <w:kern w:val="0"/>
                <w:sz w:val="18"/>
                <w:szCs w:val="18"/>
                <w:lang w:val="en-US" w:eastAsia="zh-CN" w:bidi="ar"/>
              </w:rPr>
            </w:pPr>
          </w:p>
          <w:p w14:paraId="60D407C4">
            <w:pPr>
              <w:spacing w:line="240" w:lineRule="exact"/>
              <w:jc w:val="center"/>
              <w:rPr>
                <w:rFonts w:hint="eastAsia" w:ascii="Times New Roman" w:hAnsi="Times New Roman"/>
                <w:color w:val="000000"/>
                <w:kern w:val="0"/>
                <w:sz w:val="18"/>
                <w:szCs w:val="18"/>
                <w:lang w:val="en-US" w:eastAsia="zh-CN" w:bidi="ar"/>
              </w:rPr>
            </w:pPr>
          </w:p>
          <w:p w14:paraId="74D21845">
            <w:pPr>
              <w:spacing w:line="240" w:lineRule="exact"/>
              <w:jc w:val="center"/>
              <w:rPr>
                <w:rFonts w:hint="eastAsia" w:ascii="Times New Roman" w:hAnsi="Times New Roman"/>
                <w:color w:val="000000"/>
                <w:kern w:val="0"/>
                <w:sz w:val="18"/>
                <w:szCs w:val="18"/>
                <w:lang w:val="en-US" w:eastAsia="zh-CN" w:bidi="ar"/>
              </w:rPr>
            </w:pPr>
          </w:p>
          <w:p w14:paraId="3091DCF7">
            <w:pPr>
              <w:spacing w:line="240" w:lineRule="exact"/>
              <w:jc w:val="center"/>
              <w:rPr>
                <w:rFonts w:hint="eastAsia" w:ascii="Times New Roman" w:hAnsi="Times New Roman"/>
                <w:color w:val="000000"/>
                <w:kern w:val="0"/>
                <w:sz w:val="18"/>
                <w:szCs w:val="18"/>
                <w:lang w:val="en-US" w:eastAsia="zh-CN" w:bidi="ar"/>
              </w:rPr>
            </w:pPr>
          </w:p>
          <w:p w14:paraId="2F0C4B34">
            <w:pPr>
              <w:spacing w:line="240" w:lineRule="exact"/>
              <w:jc w:val="center"/>
              <w:rPr>
                <w:rFonts w:hint="eastAsia" w:ascii="Times New Roman" w:hAnsi="Times New Roman"/>
                <w:color w:val="000000"/>
                <w:kern w:val="0"/>
                <w:sz w:val="18"/>
                <w:szCs w:val="18"/>
                <w:lang w:val="en-US" w:eastAsia="zh-CN" w:bidi="ar"/>
              </w:rPr>
            </w:pPr>
          </w:p>
          <w:p w14:paraId="153F0065">
            <w:pPr>
              <w:spacing w:line="240" w:lineRule="exact"/>
              <w:jc w:val="center"/>
              <w:rPr>
                <w:rFonts w:hint="eastAsia" w:ascii="Times New Roman" w:hAnsi="Times New Roman"/>
                <w:color w:val="000000"/>
                <w:kern w:val="0"/>
                <w:sz w:val="18"/>
                <w:szCs w:val="18"/>
                <w:lang w:val="en-US" w:eastAsia="zh-CN" w:bidi="ar"/>
              </w:rPr>
            </w:pPr>
          </w:p>
          <w:p w14:paraId="2B44E214">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28</w:t>
            </w:r>
          </w:p>
        </w:tc>
        <w:tc>
          <w:tcPr>
            <w:tcW w:w="1248" w:type="dxa"/>
            <w:shd w:val="clear" w:color="auto" w:fill="auto"/>
            <w:vAlign w:val="center"/>
          </w:tcPr>
          <w:p w14:paraId="7D3EFDE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1326" w:type="dxa"/>
            <w:shd w:val="clear" w:color="auto" w:fill="auto"/>
            <w:vAlign w:val="center"/>
          </w:tcPr>
          <w:p w14:paraId="1AB2838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市场主体登记事项检查</w:t>
            </w:r>
          </w:p>
        </w:tc>
        <w:tc>
          <w:tcPr>
            <w:tcW w:w="0" w:type="auto"/>
            <w:shd w:val="clear" w:color="auto" w:fill="auto"/>
            <w:vAlign w:val="center"/>
          </w:tcPr>
          <w:p w14:paraId="3782D5B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《中华人民共和国市场主体登记管理条例》</w:t>
            </w:r>
            <w:r>
              <w:rPr>
                <w:rFonts w:hint="eastAsia" w:ascii="Times New Roman" w:hAnsi="Times New Roman" w:eastAsia="宋体"/>
                <w:color w:val="000000"/>
                <w:kern w:val="0"/>
                <w:sz w:val="18"/>
                <w:szCs w:val="18"/>
                <w:highlight w:val="none"/>
                <w:lang w:val="en-US" w:eastAsia="zh-CN" w:bidi="ar"/>
              </w:rPr>
              <w:t>第三十八条　　</w:t>
            </w:r>
          </w:p>
        </w:tc>
        <w:tc>
          <w:tcPr>
            <w:tcW w:w="0" w:type="auto"/>
            <w:shd w:val="clear" w:color="auto" w:fill="auto"/>
            <w:vAlign w:val="center"/>
          </w:tcPr>
          <w:p w14:paraId="0FB64DA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建设领域市场主体</w:t>
            </w:r>
          </w:p>
        </w:tc>
        <w:tc>
          <w:tcPr>
            <w:tcW w:w="0" w:type="auto"/>
            <w:shd w:val="clear" w:color="auto" w:fill="auto"/>
            <w:vAlign w:val="center"/>
          </w:tcPr>
          <w:p w14:paraId="53A1B4B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w:t>
            </w:r>
          </w:p>
        </w:tc>
        <w:tc>
          <w:tcPr>
            <w:tcW w:w="0" w:type="auto"/>
            <w:shd w:val="clear" w:color="auto" w:fill="auto"/>
            <w:vAlign w:val="center"/>
          </w:tcPr>
          <w:p w14:paraId="18092F5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 xml:space="preserve">企业A类1%，B类1%，C类8%，D类100%； </w:t>
            </w:r>
            <w:r>
              <w:rPr>
                <w:rFonts w:hint="eastAsia" w:ascii="Times New Roman" w:hAnsi="Times New Roman" w:eastAsia="宋体"/>
                <w:color w:val="000000"/>
                <w:kern w:val="0"/>
                <w:sz w:val="18"/>
                <w:szCs w:val="18"/>
                <w:highlight w:val="none"/>
                <w:lang w:val="en-US" w:eastAsia="zh-CN" w:bidi="ar"/>
              </w:rPr>
              <w:br w:type="textWrapping"/>
            </w:r>
            <w:r>
              <w:rPr>
                <w:rFonts w:hint="eastAsia" w:ascii="Times New Roman" w:hAnsi="Times New Roman" w:eastAsia="宋体"/>
                <w:color w:val="000000"/>
                <w:kern w:val="0"/>
                <w:sz w:val="18"/>
                <w:szCs w:val="18"/>
                <w:highlight w:val="none"/>
                <w:lang w:val="en-US" w:eastAsia="zh-CN" w:bidi="ar"/>
              </w:rPr>
              <w:t>农民专业合作社3%；</w:t>
            </w:r>
            <w:r>
              <w:rPr>
                <w:rFonts w:hint="eastAsia" w:ascii="Times New Roman" w:hAnsi="Times New Roman" w:eastAsia="宋体"/>
                <w:color w:val="000000"/>
                <w:kern w:val="0"/>
                <w:sz w:val="18"/>
                <w:szCs w:val="18"/>
                <w:highlight w:val="none"/>
                <w:lang w:val="en-US" w:eastAsia="zh-CN" w:bidi="ar"/>
              </w:rPr>
              <w:br w:type="textWrapping"/>
            </w:r>
            <w:r>
              <w:rPr>
                <w:rFonts w:hint="eastAsia" w:ascii="Times New Roman" w:hAnsi="Times New Roman" w:eastAsia="宋体"/>
                <w:color w:val="000000"/>
                <w:kern w:val="0"/>
                <w:sz w:val="18"/>
                <w:szCs w:val="18"/>
                <w:highlight w:val="none"/>
                <w:lang w:val="en-US" w:eastAsia="zh-CN" w:bidi="ar"/>
              </w:rPr>
              <w:t>个体工商户0.5%</w:t>
            </w:r>
          </w:p>
        </w:tc>
        <w:tc>
          <w:tcPr>
            <w:tcW w:w="0" w:type="auto"/>
            <w:shd w:val="clear" w:color="auto" w:fill="auto"/>
            <w:vAlign w:val="center"/>
          </w:tcPr>
          <w:p w14:paraId="1A439E4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2889051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金凤区住建局</w:t>
            </w:r>
          </w:p>
        </w:tc>
        <w:tc>
          <w:tcPr>
            <w:tcW w:w="0" w:type="auto"/>
            <w:shd w:val="clear" w:color="auto" w:fill="auto"/>
            <w:vAlign w:val="center"/>
          </w:tcPr>
          <w:p w14:paraId="0BF6D06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4A81EE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77B92A04">
            <w:pPr>
              <w:spacing w:line="240" w:lineRule="exact"/>
              <w:jc w:val="center"/>
              <w:rPr>
                <w:rFonts w:hint="eastAsia" w:ascii="Times New Roman" w:hAnsi="Times New Roman"/>
                <w:color w:val="000000"/>
                <w:kern w:val="0"/>
                <w:sz w:val="18"/>
                <w:szCs w:val="18"/>
                <w:lang w:val="en-US" w:eastAsia="zh-CN" w:bidi="ar"/>
              </w:rPr>
            </w:pPr>
          </w:p>
          <w:p w14:paraId="14CF97C8">
            <w:pPr>
              <w:spacing w:line="240" w:lineRule="exact"/>
              <w:jc w:val="center"/>
              <w:rPr>
                <w:rFonts w:hint="eastAsia" w:ascii="Times New Roman" w:hAnsi="Times New Roman"/>
                <w:color w:val="000000"/>
                <w:kern w:val="0"/>
                <w:sz w:val="18"/>
                <w:szCs w:val="18"/>
                <w:lang w:val="en-US" w:eastAsia="zh-CN" w:bidi="ar"/>
              </w:rPr>
            </w:pPr>
          </w:p>
          <w:p w14:paraId="3C2DFB3D">
            <w:pPr>
              <w:spacing w:line="240" w:lineRule="exact"/>
              <w:jc w:val="center"/>
              <w:rPr>
                <w:rFonts w:hint="eastAsia" w:ascii="Times New Roman" w:hAnsi="Times New Roman"/>
                <w:color w:val="000000"/>
                <w:kern w:val="0"/>
                <w:sz w:val="18"/>
                <w:szCs w:val="18"/>
                <w:lang w:val="en-US" w:eastAsia="zh-CN" w:bidi="ar"/>
              </w:rPr>
            </w:pPr>
          </w:p>
          <w:p w14:paraId="1F9B357B">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29</w:t>
            </w:r>
          </w:p>
        </w:tc>
        <w:tc>
          <w:tcPr>
            <w:tcW w:w="1248" w:type="dxa"/>
            <w:shd w:val="clear" w:color="auto" w:fill="auto"/>
            <w:vAlign w:val="center"/>
          </w:tcPr>
          <w:p w14:paraId="1C433E9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60A103F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企业年度报告、即时公示信息抽查</w:t>
            </w:r>
          </w:p>
        </w:tc>
        <w:tc>
          <w:tcPr>
            <w:tcW w:w="0" w:type="auto"/>
            <w:shd w:val="clear" w:color="auto" w:fill="auto"/>
            <w:vAlign w:val="center"/>
          </w:tcPr>
          <w:p w14:paraId="1605EF7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《企业信息公示暂行条例》</w:t>
            </w:r>
            <w:r>
              <w:rPr>
                <w:rFonts w:hint="eastAsia" w:ascii="Times New Roman" w:hAnsi="Times New Roman" w:eastAsia="宋体"/>
                <w:color w:val="000000"/>
                <w:kern w:val="0"/>
                <w:sz w:val="18"/>
                <w:szCs w:val="18"/>
                <w:highlight w:val="none"/>
                <w:lang w:val="en-US" w:eastAsia="zh-CN" w:bidi="ar"/>
              </w:rPr>
              <w:t>第十四条</w:t>
            </w:r>
            <w:r>
              <w:rPr>
                <w:rFonts w:hint="eastAsia" w:ascii="Times New Roman" w:hAnsi="Times New Roman"/>
                <w:color w:val="000000"/>
                <w:kern w:val="0"/>
                <w:sz w:val="18"/>
                <w:szCs w:val="18"/>
                <w:highlight w:val="none"/>
                <w:lang w:val="en-US" w:eastAsia="zh-CN" w:bidi="ar"/>
              </w:rPr>
              <w:t>、第十五条、第十六条、《企业公示信息抽查暂行办法》第七条、第十六条</w:t>
            </w:r>
          </w:p>
        </w:tc>
        <w:tc>
          <w:tcPr>
            <w:tcW w:w="0" w:type="auto"/>
            <w:shd w:val="clear" w:color="auto" w:fill="auto"/>
            <w:vAlign w:val="center"/>
          </w:tcPr>
          <w:p w14:paraId="222D6CE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企业、个体工商户、农民专业合作社</w:t>
            </w:r>
          </w:p>
        </w:tc>
        <w:tc>
          <w:tcPr>
            <w:tcW w:w="0" w:type="auto"/>
            <w:shd w:val="clear" w:color="auto" w:fill="auto"/>
            <w:vAlign w:val="center"/>
          </w:tcPr>
          <w:p w14:paraId="3C09CBF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w:t>
            </w:r>
          </w:p>
        </w:tc>
        <w:tc>
          <w:tcPr>
            <w:tcW w:w="0" w:type="auto"/>
            <w:shd w:val="clear" w:color="auto" w:fill="auto"/>
            <w:vAlign w:val="center"/>
          </w:tcPr>
          <w:p w14:paraId="2A75972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企业A类1%，B类1%，C类8%，D类100%</w:t>
            </w:r>
          </w:p>
        </w:tc>
        <w:tc>
          <w:tcPr>
            <w:tcW w:w="0" w:type="auto"/>
            <w:shd w:val="clear" w:color="auto" w:fill="auto"/>
            <w:vAlign w:val="center"/>
          </w:tcPr>
          <w:p w14:paraId="3C6C1C6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210FF0F5">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c>
          <w:tcPr>
            <w:tcW w:w="0" w:type="auto"/>
            <w:shd w:val="clear" w:color="auto" w:fill="auto"/>
            <w:vAlign w:val="center"/>
          </w:tcPr>
          <w:p w14:paraId="0620B84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47CC04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17CCFCD6">
            <w:pPr>
              <w:spacing w:line="240" w:lineRule="exact"/>
              <w:jc w:val="center"/>
              <w:rPr>
                <w:rFonts w:hint="eastAsia" w:ascii="Times New Roman" w:hAnsi="Times New Roman"/>
                <w:color w:val="000000"/>
                <w:kern w:val="0"/>
                <w:sz w:val="18"/>
                <w:szCs w:val="18"/>
                <w:lang w:val="en-US" w:eastAsia="zh-CN" w:bidi="ar"/>
              </w:rPr>
            </w:pPr>
          </w:p>
          <w:p w14:paraId="7F81AE47">
            <w:pPr>
              <w:spacing w:line="240" w:lineRule="exact"/>
              <w:jc w:val="center"/>
              <w:rPr>
                <w:rFonts w:hint="eastAsia" w:ascii="Times New Roman" w:hAnsi="Times New Roman"/>
                <w:color w:val="000000"/>
                <w:kern w:val="0"/>
                <w:sz w:val="18"/>
                <w:szCs w:val="18"/>
                <w:lang w:val="en-US" w:eastAsia="zh-CN" w:bidi="ar"/>
              </w:rPr>
            </w:pPr>
          </w:p>
          <w:p w14:paraId="48FF25B5">
            <w:pPr>
              <w:spacing w:line="240" w:lineRule="exact"/>
              <w:jc w:val="center"/>
              <w:rPr>
                <w:rFonts w:hint="eastAsia" w:ascii="Times New Roman" w:hAnsi="Times New Roman"/>
                <w:color w:val="000000"/>
                <w:kern w:val="0"/>
                <w:sz w:val="18"/>
                <w:szCs w:val="18"/>
                <w:lang w:val="en-US" w:eastAsia="zh-CN" w:bidi="ar"/>
              </w:rPr>
            </w:pPr>
          </w:p>
          <w:p w14:paraId="090ED059">
            <w:pPr>
              <w:spacing w:line="240" w:lineRule="exact"/>
              <w:jc w:val="center"/>
              <w:rPr>
                <w:rFonts w:hint="eastAsia" w:ascii="Times New Roman" w:hAnsi="Times New Roman"/>
                <w:color w:val="000000"/>
                <w:kern w:val="0"/>
                <w:sz w:val="18"/>
                <w:szCs w:val="18"/>
                <w:lang w:val="en-US" w:eastAsia="zh-CN" w:bidi="ar"/>
              </w:rPr>
            </w:pPr>
          </w:p>
          <w:p w14:paraId="6CFD2C28">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30</w:t>
            </w:r>
          </w:p>
        </w:tc>
        <w:tc>
          <w:tcPr>
            <w:tcW w:w="1248" w:type="dxa"/>
            <w:shd w:val="clear" w:color="auto" w:fill="auto"/>
            <w:vAlign w:val="center"/>
          </w:tcPr>
          <w:p w14:paraId="4A72C07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4DC4C5C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餐饮服务监督检查</w:t>
            </w:r>
          </w:p>
        </w:tc>
        <w:tc>
          <w:tcPr>
            <w:tcW w:w="0" w:type="auto"/>
            <w:shd w:val="clear" w:color="auto" w:fill="auto"/>
            <w:vAlign w:val="center"/>
          </w:tcPr>
          <w:p w14:paraId="43463FB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食品安全法》第一百一十条</w:t>
            </w:r>
          </w:p>
        </w:tc>
        <w:tc>
          <w:tcPr>
            <w:tcW w:w="0" w:type="auto"/>
            <w:shd w:val="clear" w:color="auto" w:fill="auto"/>
            <w:vAlign w:val="center"/>
          </w:tcPr>
          <w:p w14:paraId="178FA78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餐饮服务经营者</w:t>
            </w:r>
          </w:p>
        </w:tc>
        <w:tc>
          <w:tcPr>
            <w:tcW w:w="0" w:type="auto"/>
            <w:shd w:val="clear" w:color="auto" w:fill="auto"/>
            <w:vAlign w:val="center"/>
          </w:tcPr>
          <w:p w14:paraId="6189AE00">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2025年3月至10月</w:t>
            </w:r>
          </w:p>
        </w:tc>
        <w:tc>
          <w:tcPr>
            <w:tcW w:w="0" w:type="auto"/>
            <w:shd w:val="clear" w:color="auto" w:fill="auto"/>
            <w:vAlign w:val="center"/>
          </w:tcPr>
          <w:p w14:paraId="7681482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企业A类1%，B类10%，C类70%，D类100%；</w:t>
            </w:r>
            <w:r>
              <w:rPr>
                <w:rFonts w:hint="eastAsia" w:ascii="Times New Roman" w:hAnsi="Times New Roman" w:eastAsia="宋体"/>
                <w:color w:val="000000"/>
                <w:kern w:val="0"/>
                <w:sz w:val="18"/>
                <w:szCs w:val="18"/>
                <w:highlight w:val="none"/>
                <w:lang w:val="en-US" w:eastAsia="zh-CN" w:bidi="ar"/>
              </w:rPr>
              <w:br w:type="textWrapping"/>
            </w:r>
            <w:r>
              <w:rPr>
                <w:rFonts w:hint="eastAsia" w:ascii="Times New Roman" w:hAnsi="Times New Roman" w:eastAsia="宋体"/>
                <w:color w:val="000000"/>
                <w:kern w:val="0"/>
                <w:sz w:val="18"/>
                <w:szCs w:val="18"/>
                <w:highlight w:val="none"/>
                <w:lang w:val="en-US" w:eastAsia="zh-CN" w:bidi="ar"/>
              </w:rPr>
              <w:t>个体工商户：5%</w:t>
            </w:r>
          </w:p>
        </w:tc>
        <w:tc>
          <w:tcPr>
            <w:tcW w:w="0" w:type="auto"/>
            <w:shd w:val="clear" w:color="auto" w:fill="auto"/>
            <w:vAlign w:val="center"/>
          </w:tcPr>
          <w:p w14:paraId="439856A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不超过3次。针对投诉举报、转办交办等涉嫌违法行为，依法依规及时快速开展行政检查和调查核实，可以不受频次上限限制</w:t>
            </w:r>
          </w:p>
        </w:tc>
        <w:tc>
          <w:tcPr>
            <w:tcW w:w="0" w:type="auto"/>
            <w:shd w:val="clear" w:color="auto" w:fill="auto"/>
            <w:vAlign w:val="center"/>
          </w:tcPr>
          <w:p w14:paraId="42D41F4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金凤区商务局</w:t>
            </w:r>
          </w:p>
        </w:tc>
        <w:tc>
          <w:tcPr>
            <w:tcW w:w="0" w:type="auto"/>
            <w:shd w:val="clear" w:color="auto" w:fill="auto"/>
            <w:vAlign w:val="center"/>
          </w:tcPr>
          <w:p w14:paraId="01EE881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579F18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0A80701E">
            <w:pPr>
              <w:spacing w:line="240" w:lineRule="exact"/>
              <w:jc w:val="center"/>
              <w:rPr>
                <w:rFonts w:hint="eastAsia" w:ascii="Times New Roman" w:hAnsi="Times New Roman"/>
                <w:color w:val="000000"/>
                <w:kern w:val="0"/>
                <w:sz w:val="18"/>
                <w:szCs w:val="18"/>
                <w:lang w:val="en-US" w:eastAsia="zh-CN" w:bidi="ar"/>
              </w:rPr>
            </w:pPr>
          </w:p>
          <w:p w14:paraId="12DDC73A">
            <w:pPr>
              <w:spacing w:line="240" w:lineRule="exact"/>
              <w:jc w:val="center"/>
              <w:rPr>
                <w:rFonts w:hint="eastAsia" w:ascii="Times New Roman" w:hAnsi="Times New Roman"/>
                <w:color w:val="000000"/>
                <w:kern w:val="0"/>
                <w:sz w:val="18"/>
                <w:szCs w:val="18"/>
                <w:lang w:val="en-US" w:eastAsia="zh-CN" w:bidi="ar"/>
              </w:rPr>
            </w:pPr>
          </w:p>
          <w:p w14:paraId="2E65EA36">
            <w:pPr>
              <w:spacing w:line="240" w:lineRule="exact"/>
              <w:jc w:val="center"/>
              <w:rPr>
                <w:rFonts w:hint="eastAsia" w:ascii="Times New Roman" w:hAnsi="Times New Roman"/>
                <w:color w:val="000000"/>
                <w:kern w:val="0"/>
                <w:sz w:val="18"/>
                <w:szCs w:val="18"/>
                <w:lang w:val="en-US" w:eastAsia="zh-CN" w:bidi="ar"/>
              </w:rPr>
            </w:pPr>
          </w:p>
          <w:p w14:paraId="3B48D9D6">
            <w:pPr>
              <w:spacing w:line="240" w:lineRule="exact"/>
              <w:jc w:val="center"/>
              <w:rPr>
                <w:rFonts w:hint="eastAsia" w:ascii="Times New Roman" w:hAnsi="Times New Roman"/>
                <w:color w:val="000000"/>
                <w:kern w:val="0"/>
                <w:sz w:val="18"/>
                <w:szCs w:val="18"/>
                <w:lang w:val="en-US" w:eastAsia="zh-CN" w:bidi="ar"/>
              </w:rPr>
            </w:pPr>
          </w:p>
          <w:p w14:paraId="484E8F45">
            <w:pPr>
              <w:spacing w:line="240" w:lineRule="exact"/>
              <w:jc w:val="center"/>
              <w:rPr>
                <w:rFonts w:hint="eastAsia" w:ascii="Times New Roman" w:hAnsi="Times New Roman"/>
                <w:color w:val="000000"/>
                <w:kern w:val="0"/>
                <w:sz w:val="18"/>
                <w:szCs w:val="18"/>
                <w:lang w:val="en-US" w:eastAsia="zh-CN" w:bidi="ar"/>
              </w:rPr>
            </w:pPr>
          </w:p>
          <w:p w14:paraId="3A235F2A">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31</w:t>
            </w:r>
          </w:p>
        </w:tc>
        <w:tc>
          <w:tcPr>
            <w:tcW w:w="1248" w:type="dxa"/>
            <w:shd w:val="clear" w:color="auto" w:fill="auto"/>
            <w:vAlign w:val="center"/>
          </w:tcPr>
          <w:p w14:paraId="3A3B92B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3EA7D8C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学校（含幼儿园）食品安全监管检查</w:t>
            </w:r>
          </w:p>
        </w:tc>
        <w:tc>
          <w:tcPr>
            <w:tcW w:w="0" w:type="auto"/>
            <w:shd w:val="clear" w:color="auto" w:fill="auto"/>
            <w:vAlign w:val="center"/>
          </w:tcPr>
          <w:p w14:paraId="6D1C5F2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食品安全法》第一百一十条</w:t>
            </w:r>
          </w:p>
        </w:tc>
        <w:tc>
          <w:tcPr>
            <w:tcW w:w="0" w:type="auto"/>
            <w:shd w:val="clear" w:color="auto" w:fill="auto"/>
            <w:vAlign w:val="center"/>
          </w:tcPr>
          <w:p w14:paraId="7C18224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学校（含幼儿园）食堂、校外供餐单位</w:t>
            </w:r>
          </w:p>
        </w:tc>
        <w:tc>
          <w:tcPr>
            <w:tcW w:w="0" w:type="auto"/>
            <w:shd w:val="clear" w:color="auto" w:fill="auto"/>
            <w:vAlign w:val="center"/>
          </w:tcPr>
          <w:p w14:paraId="3197479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2025年3月至10月</w:t>
            </w:r>
          </w:p>
        </w:tc>
        <w:tc>
          <w:tcPr>
            <w:tcW w:w="0" w:type="auto"/>
            <w:shd w:val="clear" w:color="auto" w:fill="auto"/>
            <w:vAlign w:val="center"/>
          </w:tcPr>
          <w:p w14:paraId="4C6B184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企业D类10%</w:t>
            </w:r>
          </w:p>
        </w:tc>
        <w:tc>
          <w:tcPr>
            <w:tcW w:w="0" w:type="auto"/>
            <w:shd w:val="clear" w:color="auto" w:fill="auto"/>
            <w:vAlign w:val="center"/>
          </w:tcPr>
          <w:p w14:paraId="5D124F5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不超过3次。针对投诉举报、转办交办等涉嫌违法行为，依法依规及时快速开展行政检查和调查核实，可以不受频次上限限制</w:t>
            </w:r>
          </w:p>
        </w:tc>
        <w:tc>
          <w:tcPr>
            <w:tcW w:w="0" w:type="auto"/>
            <w:shd w:val="clear" w:color="auto" w:fill="auto"/>
            <w:vAlign w:val="center"/>
          </w:tcPr>
          <w:p w14:paraId="46E6762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金凤区教育局</w:t>
            </w:r>
          </w:p>
        </w:tc>
        <w:tc>
          <w:tcPr>
            <w:tcW w:w="0" w:type="auto"/>
            <w:shd w:val="clear" w:color="auto" w:fill="auto"/>
            <w:vAlign w:val="center"/>
          </w:tcPr>
          <w:p w14:paraId="0F494DA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79D59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3544DA97">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32</w:t>
            </w:r>
          </w:p>
        </w:tc>
        <w:tc>
          <w:tcPr>
            <w:tcW w:w="1248" w:type="dxa"/>
            <w:shd w:val="clear" w:color="auto" w:fill="auto"/>
            <w:vAlign w:val="center"/>
          </w:tcPr>
          <w:p w14:paraId="6D38238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39BD679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校外托管机构食品安全餐饮及企业食堂、养老机构等集中用餐单位食品安全监督检查</w:t>
            </w:r>
          </w:p>
        </w:tc>
        <w:tc>
          <w:tcPr>
            <w:tcW w:w="0" w:type="auto"/>
            <w:shd w:val="clear" w:color="auto" w:fill="auto"/>
            <w:vAlign w:val="center"/>
          </w:tcPr>
          <w:p w14:paraId="7EF1E6C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食品安全法》第一百一十条</w:t>
            </w:r>
          </w:p>
        </w:tc>
        <w:tc>
          <w:tcPr>
            <w:tcW w:w="0" w:type="auto"/>
            <w:shd w:val="clear" w:color="auto" w:fill="auto"/>
            <w:vAlign w:val="center"/>
          </w:tcPr>
          <w:p w14:paraId="7A388F6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校外托管机构食品安全餐饮及企业食堂、养老机构等集中用餐单位食品安全监督检查</w:t>
            </w:r>
          </w:p>
        </w:tc>
        <w:tc>
          <w:tcPr>
            <w:tcW w:w="0" w:type="auto"/>
            <w:shd w:val="clear" w:color="auto" w:fill="auto"/>
            <w:vAlign w:val="center"/>
          </w:tcPr>
          <w:p w14:paraId="210AE4B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2025年3月至10月</w:t>
            </w:r>
          </w:p>
        </w:tc>
        <w:tc>
          <w:tcPr>
            <w:tcW w:w="0" w:type="auto"/>
            <w:shd w:val="clear" w:color="auto" w:fill="auto"/>
            <w:vAlign w:val="center"/>
          </w:tcPr>
          <w:p w14:paraId="0194B9D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10%</w:t>
            </w:r>
          </w:p>
        </w:tc>
        <w:tc>
          <w:tcPr>
            <w:tcW w:w="0" w:type="auto"/>
            <w:shd w:val="clear" w:color="auto" w:fill="auto"/>
            <w:vAlign w:val="center"/>
          </w:tcPr>
          <w:p w14:paraId="2BA29D2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不超过3次。针对投诉举报、转办交办等涉嫌违法行为，依法依规及时快速开展行政检查和调查核实，可以不受频次上限限制</w:t>
            </w:r>
          </w:p>
        </w:tc>
        <w:tc>
          <w:tcPr>
            <w:tcW w:w="0" w:type="auto"/>
            <w:shd w:val="clear" w:color="auto" w:fill="auto"/>
            <w:vAlign w:val="center"/>
          </w:tcPr>
          <w:p w14:paraId="25D612C0">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金凤区教育局、金凤区民政局</w:t>
            </w:r>
          </w:p>
        </w:tc>
        <w:tc>
          <w:tcPr>
            <w:tcW w:w="0" w:type="auto"/>
            <w:shd w:val="clear" w:color="auto" w:fill="auto"/>
            <w:vAlign w:val="center"/>
          </w:tcPr>
          <w:p w14:paraId="4AD4A99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2FFBCD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3B1AED75">
            <w:pPr>
              <w:spacing w:line="240" w:lineRule="exact"/>
              <w:jc w:val="center"/>
              <w:rPr>
                <w:rFonts w:hint="eastAsia" w:ascii="Times New Roman" w:hAnsi="Times New Roman"/>
                <w:color w:val="000000"/>
                <w:kern w:val="0"/>
                <w:sz w:val="18"/>
                <w:szCs w:val="18"/>
                <w:lang w:val="en-US" w:eastAsia="zh-CN" w:bidi="ar"/>
              </w:rPr>
            </w:pPr>
          </w:p>
          <w:p w14:paraId="405CDAA3">
            <w:pPr>
              <w:spacing w:line="240" w:lineRule="exact"/>
              <w:jc w:val="center"/>
              <w:rPr>
                <w:rFonts w:hint="eastAsia" w:ascii="Times New Roman" w:hAnsi="Times New Roman"/>
                <w:color w:val="000000"/>
                <w:kern w:val="0"/>
                <w:sz w:val="18"/>
                <w:szCs w:val="18"/>
                <w:lang w:val="en-US" w:eastAsia="zh-CN" w:bidi="ar"/>
              </w:rPr>
            </w:pPr>
          </w:p>
          <w:p w14:paraId="47A57A1D">
            <w:pPr>
              <w:spacing w:line="240" w:lineRule="exact"/>
              <w:jc w:val="center"/>
              <w:rPr>
                <w:rFonts w:hint="eastAsia" w:ascii="Times New Roman" w:hAnsi="Times New Roman"/>
                <w:color w:val="000000"/>
                <w:kern w:val="0"/>
                <w:sz w:val="18"/>
                <w:szCs w:val="18"/>
                <w:lang w:val="en-US" w:eastAsia="zh-CN" w:bidi="ar"/>
              </w:rPr>
            </w:pPr>
          </w:p>
          <w:p w14:paraId="72474780">
            <w:pPr>
              <w:spacing w:line="240" w:lineRule="exact"/>
              <w:jc w:val="center"/>
              <w:rPr>
                <w:rFonts w:hint="eastAsia" w:ascii="Times New Roman" w:hAnsi="Times New Roman"/>
                <w:color w:val="000000"/>
                <w:kern w:val="0"/>
                <w:sz w:val="18"/>
                <w:szCs w:val="18"/>
                <w:lang w:val="en-US" w:eastAsia="zh-CN" w:bidi="ar"/>
              </w:rPr>
            </w:pPr>
          </w:p>
          <w:p w14:paraId="4E6B6980">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33</w:t>
            </w:r>
          </w:p>
        </w:tc>
        <w:tc>
          <w:tcPr>
            <w:tcW w:w="1248" w:type="dxa"/>
            <w:shd w:val="clear" w:color="auto" w:fill="auto"/>
            <w:vAlign w:val="center"/>
          </w:tcPr>
          <w:p w14:paraId="3CBF7A3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53C6A82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广告行为抽查</w:t>
            </w:r>
          </w:p>
        </w:tc>
        <w:tc>
          <w:tcPr>
            <w:tcW w:w="0" w:type="auto"/>
            <w:shd w:val="clear" w:color="auto" w:fill="auto"/>
            <w:vAlign w:val="center"/>
          </w:tcPr>
          <w:p w14:paraId="3818567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广告法》</w:t>
            </w:r>
            <w:r>
              <w:rPr>
                <w:rFonts w:hint="eastAsia" w:ascii="Times New Roman" w:hAnsi="Times New Roman"/>
                <w:color w:val="000000"/>
                <w:kern w:val="0"/>
                <w:sz w:val="18"/>
                <w:szCs w:val="18"/>
                <w:highlight w:val="none"/>
                <w:lang w:val="en-US" w:eastAsia="zh-CN" w:bidi="ar"/>
              </w:rPr>
              <w:t>第四十九条</w:t>
            </w:r>
          </w:p>
        </w:tc>
        <w:tc>
          <w:tcPr>
            <w:tcW w:w="0" w:type="auto"/>
            <w:shd w:val="clear" w:color="auto" w:fill="auto"/>
            <w:vAlign w:val="center"/>
          </w:tcPr>
          <w:p w14:paraId="42E39ED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卷烟零售户</w:t>
            </w:r>
          </w:p>
        </w:tc>
        <w:tc>
          <w:tcPr>
            <w:tcW w:w="0" w:type="auto"/>
            <w:shd w:val="clear" w:color="auto" w:fill="auto"/>
            <w:vAlign w:val="center"/>
          </w:tcPr>
          <w:p w14:paraId="7B96C10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2025年1月至10月</w:t>
            </w:r>
          </w:p>
        </w:tc>
        <w:tc>
          <w:tcPr>
            <w:tcW w:w="0" w:type="auto"/>
            <w:shd w:val="clear" w:color="auto" w:fill="auto"/>
            <w:vAlign w:val="center"/>
          </w:tcPr>
          <w:p w14:paraId="7362872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企业、个体工商户（B、C、D类3%）</w:t>
            </w:r>
          </w:p>
        </w:tc>
        <w:tc>
          <w:tcPr>
            <w:tcW w:w="0" w:type="auto"/>
            <w:shd w:val="clear" w:color="auto" w:fill="auto"/>
            <w:vAlign w:val="center"/>
          </w:tcPr>
          <w:p w14:paraId="1C4E1895">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57BB3D9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金凤区烟草专卖局</w:t>
            </w:r>
          </w:p>
        </w:tc>
        <w:tc>
          <w:tcPr>
            <w:tcW w:w="0" w:type="auto"/>
            <w:shd w:val="clear" w:color="auto" w:fill="auto"/>
            <w:vAlign w:val="center"/>
          </w:tcPr>
          <w:p w14:paraId="5402C33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2EE1FE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527" w:type="dxa"/>
          </w:tcPr>
          <w:p w14:paraId="44F144E6">
            <w:pPr>
              <w:spacing w:line="240" w:lineRule="exact"/>
              <w:jc w:val="center"/>
              <w:rPr>
                <w:rFonts w:hint="eastAsia" w:ascii="Times New Roman" w:hAnsi="Times New Roman"/>
                <w:color w:val="000000"/>
                <w:kern w:val="0"/>
                <w:sz w:val="18"/>
                <w:szCs w:val="18"/>
                <w:lang w:val="en-US" w:eastAsia="zh-CN" w:bidi="ar"/>
              </w:rPr>
            </w:pPr>
          </w:p>
          <w:p w14:paraId="3051BFC1">
            <w:pPr>
              <w:spacing w:line="240" w:lineRule="exact"/>
              <w:jc w:val="center"/>
              <w:rPr>
                <w:rFonts w:hint="eastAsia" w:ascii="Times New Roman" w:hAnsi="Times New Roman"/>
                <w:color w:val="000000"/>
                <w:kern w:val="0"/>
                <w:sz w:val="18"/>
                <w:szCs w:val="18"/>
                <w:lang w:val="en-US" w:eastAsia="zh-CN" w:bidi="ar"/>
              </w:rPr>
            </w:pPr>
          </w:p>
          <w:p w14:paraId="46D3B3E0">
            <w:pPr>
              <w:spacing w:line="240" w:lineRule="exact"/>
              <w:jc w:val="center"/>
              <w:rPr>
                <w:rFonts w:hint="eastAsia" w:ascii="Times New Roman" w:hAnsi="Times New Roman"/>
                <w:color w:val="000000"/>
                <w:kern w:val="0"/>
                <w:sz w:val="18"/>
                <w:szCs w:val="18"/>
                <w:lang w:val="en-US" w:eastAsia="zh-CN" w:bidi="ar"/>
              </w:rPr>
            </w:pPr>
          </w:p>
          <w:p w14:paraId="0ACBB438">
            <w:pPr>
              <w:spacing w:line="240" w:lineRule="exact"/>
              <w:jc w:val="center"/>
              <w:rPr>
                <w:rFonts w:hint="eastAsia" w:ascii="Times New Roman" w:hAnsi="Times New Roman"/>
                <w:color w:val="000000"/>
                <w:kern w:val="0"/>
                <w:sz w:val="18"/>
                <w:szCs w:val="18"/>
                <w:lang w:val="en-US" w:eastAsia="zh-CN" w:bidi="ar"/>
              </w:rPr>
            </w:pPr>
          </w:p>
          <w:p w14:paraId="35DCC587">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34</w:t>
            </w:r>
          </w:p>
        </w:tc>
        <w:tc>
          <w:tcPr>
            <w:tcW w:w="1248" w:type="dxa"/>
            <w:shd w:val="clear" w:color="auto" w:fill="auto"/>
            <w:vAlign w:val="center"/>
          </w:tcPr>
          <w:p w14:paraId="1109038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6F86C7C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机动车排放检验机构资质认定监督检查</w:t>
            </w:r>
          </w:p>
        </w:tc>
        <w:tc>
          <w:tcPr>
            <w:tcW w:w="0" w:type="auto"/>
            <w:shd w:val="clear" w:color="auto" w:fill="auto"/>
            <w:vAlign w:val="center"/>
          </w:tcPr>
          <w:p w14:paraId="06284995">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《中华人民共和国环境保护法》第十条 、第二十四条</w:t>
            </w:r>
          </w:p>
        </w:tc>
        <w:tc>
          <w:tcPr>
            <w:tcW w:w="0" w:type="auto"/>
            <w:shd w:val="clear" w:color="auto" w:fill="auto"/>
            <w:vAlign w:val="center"/>
          </w:tcPr>
          <w:p w14:paraId="680F302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注册地在银川市辖三区的机动车排放检验机构</w:t>
            </w:r>
          </w:p>
        </w:tc>
        <w:tc>
          <w:tcPr>
            <w:tcW w:w="0" w:type="auto"/>
            <w:shd w:val="clear" w:color="auto" w:fill="auto"/>
            <w:vAlign w:val="center"/>
          </w:tcPr>
          <w:p w14:paraId="62446E9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w:t>
            </w:r>
          </w:p>
        </w:tc>
        <w:tc>
          <w:tcPr>
            <w:tcW w:w="0" w:type="auto"/>
            <w:shd w:val="clear" w:color="auto" w:fill="auto"/>
            <w:vAlign w:val="center"/>
          </w:tcPr>
          <w:p w14:paraId="5B9159C9">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企业A类2%， B类20%， C类80%， D类 100%</w:t>
            </w:r>
          </w:p>
        </w:tc>
        <w:tc>
          <w:tcPr>
            <w:tcW w:w="0" w:type="auto"/>
            <w:shd w:val="clear" w:color="auto" w:fill="auto"/>
            <w:vAlign w:val="center"/>
          </w:tcPr>
          <w:p w14:paraId="0C20B45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28D2751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金凤区生态环境分局</w:t>
            </w:r>
          </w:p>
        </w:tc>
        <w:tc>
          <w:tcPr>
            <w:tcW w:w="0" w:type="auto"/>
            <w:shd w:val="clear" w:color="auto" w:fill="auto"/>
            <w:vAlign w:val="center"/>
          </w:tcPr>
          <w:p w14:paraId="4690556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466529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tcPr>
          <w:p w14:paraId="0C6F2298">
            <w:pPr>
              <w:spacing w:line="240" w:lineRule="exact"/>
              <w:jc w:val="center"/>
              <w:rPr>
                <w:rFonts w:hint="eastAsia" w:ascii="Times New Roman" w:hAnsi="Times New Roman"/>
                <w:color w:val="000000"/>
                <w:kern w:val="0"/>
                <w:sz w:val="18"/>
                <w:szCs w:val="18"/>
                <w:lang w:val="en-US" w:eastAsia="zh-CN" w:bidi="ar"/>
              </w:rPr>
            </w:pPr>
          </w:p>
          <w:p w14:paraId="3A1CDDA6">
            <w:pPr>
              <w:spacing w:line="240" w:lineRule="exact"/>
              <w:jc w:val="center"/>
              <w:rPr>
                <w:rFonts w:hint="eastAsia" w:ascii="Times New Roman" w:hAnsi="Times New Roman"/>
                <w:color w:val="000000"/>
                <w:kern w:val="0"/>
                <w:sz w:val="18"/>
                <w:szCs w:val="18"/>
                <w:lang w:val="en-US" w:eastAsia="zh-CN" w:bidi="ar"/>
              </w:rPr>
            </w:pPr>
          </w:p>
          <w:p w14:paraId="4A4C1ABA">
            <w:pPr>
              <w:spacing w:line="240" w:lineRule="exact"/>
              <w:jc w:val="center"/>
              <w:rPr>
                <w:rFonts w:hint="eastAsia" w:ascii="Times New Roman" w:hAnsi="Times New Roman"/>
                <w:color w:val="000000"/>
                <w:kern w:val="0"/>
                <w:sz w:val="18"/>
                <w:szCs w:val="18"/>
                <w:lang w:val="en-US" w:eastAsia="zh-CN" w:bidi="ar"/>
              </w:rPr>
            </w:pPr>
          </w:p>
          <w:p w14:paraId="461AA807">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35</w:t>
            </w:r>
          </w:p>
        </w:tc>
        <w:tc>
          <w:tcPr>
            <w:tcW w:w="0" w:type="auto"/>
            <w:shd w:val="clear" w:color="auto" w:fill="auto"/>
            <w:vAlign w:val="center"/>
          </w:tcPr>
          <w:p w14:paraId="4E7F8A9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2D0EFB2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2025年重大节假日、重点时段市场价格行为专项检查</w:t>
            </w:r>
          </w:p>
        </w:tc>
        <w:tc>
          <w:tcPr>
            <w:tcW w:w="0" w:type="auto"/>
            <w:shd w:val="clear" w:color="auto" w:fill="auto"/>
            <w:vAlign w:val="center"/>
          </w:tcPr>
          <w:p w14:paraId="6BB92A53">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《中华人民共和国价格法》第三十三条、三十四条</w:t>
            </w:r>
          </w:p>
        </w:tc>
        <w:tc>
          <w:tcPr>
            <w:tcW w:w="0" w:type="auto"/>
            <w:shd w:val="clear" w:color="auto" w:fill="auto"/>
            <w:vAlign w:val="center"/>
          </w:tcPr>
          <w:p w14:paraId="4841D5D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批发市场、商场、超市、蔬菜或肉类直销店</w:t>
            </w:r>
          </w:p>
        </w:tc>
        <w:tc>
          <w:tcPr>
            <w:tcW w:w="0" w:type="auto"/>
            <w:shd w:val="clear" w:color="auto" w:fill="auto"/>
            <w:vAlign w:val="center"/>
          </w:tcPr>
          <w:p w14:paraId="2B104D0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2025年1月至10月</w:t>
            </w:r>
          </w:p>
        </w:tc>
        <w:tc>
          <w:tcPr>
            <w:tcW w:w="0" w:type="auto"/>
            <w:shd w:val="clear" w:color="auto" w:fill="auto"/>
            <w:vAlign w:val="center"/>
          </w:tcPr>
          <w:p w14:paraId="77C1C5E6">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企业A类1%，B类2%，C类5%，D类20%</w:t>
            </w:r>
          </w:p>
        </w:tc>
        <w:tc>
          <w:tcPr>
            <w:tcW w:w="0" w:type="auto"/>
            <w:shd w:val="clear" w:color="auto" w:fill="auto"/>
            <w:vAlign w:val="center"/>
          </w:tcPr>
          <w:p w14:paraId="1AC64A0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68AA917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c>
          <w:tcPr>
            <w:tcW w:w="0" w:type="auto"/>
            <w:shd w:val="clear" w:color="auto" w:fill="auto"/>
            <w:vAlign w:val="center"/>
          </w:tcPr>
          <w:p w14:paraId="06B4C44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324262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tcPr>
          <w:p w14:paraId="703BCCC2">
            <w:pPr>
              <w:spacing w:line="240" w:lineRule="exact"/>
              <w:jc w:val="center"/>
              <w:rPr>
                <w:rFonts w:hint="eastAsia" w:ascii="Times New Roman" w:hAnsi="Times New Roman"/>
                <w:color w:val="000000"/>
                <w:kern w:val="0"/>
                <w:sz w:val="18"/>
                <w:szCs w:val="18"/>
                <w:lang w:val="en-US" w:eastAsia="zh-CN" w:bidi="ar"/>
              </w:rPr>
            </w:pPr>
          </w:p>
          <w:p w14:paraId="482FD3E7">
            <w:pPr>
              <w:spacing w:line="240" w:lineRule="exact"/>
              <w:jc w:val="center"/>
              <w:rPr>
                <w:rFonts w:hint="eastAsia" w:ascii="Times New Roman" w:hAnsi="Times New Roman"/>
                <w:color w:val="000000"/>
                <w:kern w:val="0"/>
                <w:sz w:val="18"/>
                <w:szCs w:val="18"/>
                <w:lang w:val="en-US" w:eastAsia="zh-CN" w:bidi="ar"/>
              </w:rPr>
            </w:pPr>
          </w:p>
          <w:p w14:paraId="680D8EC3">
            <w:pPr>
              <w:spacing w:line="240" w:lineRule="exact"/>
              <w:jc w:val="center"/>
              <w:rPr>
                <w:rFonts w:hint="eastAsia" w:ascii="Times New Roman" w:hAnsi="Times New Roman"/>
                <w:color w:val="000000"/>
                <w:kern w:val="0"/>
                <w:sz w:val="18"/>
                <w:szCs w:val="18"/>
                <w:lang w:val="en-US" w:eastAsia="zh-CN" w:bidi="ar"/>
              </w:rPr>
            </w:pPr>
          </w:p>
          <w:p w14:paraId="267B5BAE">
            <w:pPr>
              <w:spacing w:line="240" w:lineRule="exact"/>
              <w:jc w:val="center"/>
              <w:rPr>
                <w:rFonts w:hint="eastAsia" w:ascii="Times New Roman" w:hAnsi="Times New Roman"/>
                <w:color w:val="000000"/>
                <w:kern w:val="0"/>
                <w:sz w:val="18"/>
                <w:szCs w:val="18"/>
                <w:lang w:val="en-US" w:eastAsia="zh-CN" w:bidi="ar"/>
              </w:rPr>
            </w:pPr>
          </w:p>
          <w:p w14:paraId="289554E6">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36</w:t>
            </w:r>
          </w:p>
        </w:tc>
        <w:tc>
          <w:tcPr>
            <w:tcW w:w="0" w:type="auto"/>
            <w:shd w:val="clear" w:color="auto" w:fill="auto"/>
            <w:vAlign w:val="center"/>
          </w:tcPr>
          <w:p w14:paraId="223AB7B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442F2E7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2025年充电设施收费及非直供电收费专项检查</w:t>
            </w:r>
          </w:p>
        </w:tc>
        <w:tc>
          <w:tcPr>
            <w:tcW w:w="0" w:type="auto"/>
            <w:shd w:val="clear" w:color="auto" w:fill="auto"/>
            <w:vAlign w:val="center"/>
          </w:tcPr>
          <w:p w14:paraId="1A08E3D3">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《中华人民共和国价格法》第三十三条、三十四条</w:t>
            </w:r>
          </w:p>
        </w:tc>
        <w:tc>
          <w:tcPr>
            <w:tcW w:w="0" w:type="auto"/>
            <w:shd w:val="clear" w:color="auto" w:fill="auto"/>
            <w:vAlign w:val="center"/>
          </w:tcPr>
          <w:p w14:paraId="70EEAC5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电动汽车充电桩运营企业、电动自行车充电设施运营企业、非直供电主体</w:t>
            </w:r>
          </w:p>
        </w:tc>
        <w:tc>
          <w:tcPr>
            <w:tcW w:w="0" w:type="auto"/>
            <w:shd w:val="clear" w:color="auto" w:fill="auto"/>
            <w:vAlign w:val="center"/>
          </w:tcPr>
          <w:p w14:paraId="2726BAA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2025年2月至8月</w:t>
            </w:r>
          </w:p>
        </w:tc>
        <w:tc>
          <w:tcPr>
            <w:tcW w:w="0" w:type="auto"/>
            <w:shd w:val="clear" w:color="auto" w:fill="auto"/>
            <w:vAlign w:val="center"/>
          </w:tcPr>
          <w:p w14:paraId="37EA5DF9">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企业A类1%，B类2%，C类5%，D类20%</w:t>
            </w:r>
          </w:p>
        </w:tc>
        <w:tc>
          <w:tcPr>
            <w:tcW w:w="0" w:type="auto"/>
            <w:shd w:val="clear" w:color="auto" w:fill="auto"/>
            <w:vAlign w:val="center"/>
          </w:tcPr>
          <w:p w14:paraId="2047D47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74D4335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金凤区住建交通局</w:t>
            </w:r>
          </w:p>
        </w:tc>
        <w:tc>
          <w:tcPr>
            <w:tcW w:w="0" w:type="auto"/>
            <w:shd w:val="clear" w:color="auto" w:fill="auto"/>
            <w:vAlign w:val="center"/>
          </w:tcPr>
          <w:p w14:paraId="2193A18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68F9D4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tcPr>
          <w:p w14:paraId="23F0C0FF">
            <w:pPr>
              <w:spacing w:line="240" w:lineRule="exact"/>
              <w:jc w:val="center"/>
              <w:rPr>
                <w:rFonts w:hint="eastAsia" w:ascii="Times New Roman" w:hAnsi="Times New Roman"/>
                <w:color w:val="000000"/>
                <w:kern w:val="0"/>
                <w:sz w:val="18"/>
                <w:szCs w:val="18"/>
                <w:lang w:val="en-US" w:eastAsia="zh-CN" w:bidi="ar"/>
              </w:rPr>
            </w:pPr>
          </w:p>
          <w:p w14:paraId="3FFF22D2">
            <w:pPr>
              <w:spacing w:line="240" w:lineRule="exact"/>
              <w:jc w:val="center"/>
              <w:rPr>
                <w:rFonts w:hint="eastAsia" w:ascii="Times New Roman" w:hAnsi="Times New Roman"/>
                <w:color w:val="000000"/>
                <w:kern w:val="0"/>
                <w:sz w:val="18"/>
                <w:szCs w:val="18"/>
                <w:lang w:val="en-US" w:eastAsia="zh-CN" w:bidi="ar"/>
              </w:rPr>
            </w:pPr>
          </w:p>
          <w:p w14:paraId="2AE73486">
            <w:pPr>
              <w:spacing w:line="240" w:lineRule="exact"/>
              <w:jc w:val="center"/>
              <w:rPr>
                <w:rFonts w:hint="eastAsia" w:ascii="Times New Roman" w:hAnsi="Times New Roman"/>
                <w:color w:val="000000"/>
                <w:kern w:val="0"/>
                <w:sz w:val="18"/>
                <w:szCs w:val="18"/>
                <w:lang w:val="en-US" w:eastAsia="zh-CN" w:bidi="ar"/>
              </w:rPr>
            </w:pPr>
          </w:p>
          <w:p w14:paraId="7D83CB52">
            <w:pPr>
              <w:spacing w:line="240" w:lineRule="exact"/>
              <w:jc w:val="center"/>
              <w:rPr>
                <w:rFonts w:hint="eastAsia" w:ascii="Times New Roman" w:hAnsi="Times New Roman"/>
                <w:color w:val="000000"/>
                <w:kern w:val="0"/>
                <w:sz w:val="18"/>
                <w:szCs w:val="18"/>
                <w:lang w:val="en-US" w:eastAsia="zh-CN" w:bidi="ar"/>
              </w:rPr>
            </w:pPr>
          </w:p>
          <w:p w14:paraId="5AD84AFA">
            <w:pPr>
              <w:spacing w:line="240" w:lineRule="exact"/>
              <w:jc w:val="center"/>
              <w:rPr>
                <w:rFonts w:hint="eastAsia" w:ascii="Times New Roman" w:hAnsi="Times New Roman"/>
                <w:color w:val="000000"/>
                <w:kern w:val="0"/>
                <w:sz w:val="18"/>
                <w:szCs w:val="18"/>
                <w:lang w:val="en-US" w:eastAsia="zh-CN" w:bidi="ar"/>
              </w:rPr>
            </w:pPr>
          </w:p>
          <w:p w14:paraId="5BB908BC">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37</w:t>
            </w:r>
          </w:p>
        </w:tc>
        <w:tc>
          <w:tcPr>
            <w:tcW w:w="0" w:type="auto"/>
            <w:shd w:val="clear" w:color="auto" w:fill="auto"/>
            <w:vAlign w:val="center"/>
          </w:tcPr>
          <w:p w14:paraId="4B3439F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3A186E3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2025年旅游市场价格行为抽查检查</w:t>
            </w:r>
          </w:p>
        </w:tc>
        <w:tc>
          <w:tcPr>
            <w:tcW w:w="0" w:type="auto"/>
            <w:shd w:val="clear" w:color="auto" w:fill="auto"/>
            <w:vAlign w:val="center"/>
          </w:tcPr>
          <w:p w14:paraId="4399F69A">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《中华人民共和国价格法》第三十三条、三十四条</w:t>
            </w:r>
          </w:p>
        </w:tc>
        <w:tc>
          <w:tcPr>
            <w:tcW w:w="0" w:type="auto"/>
            <w:shd w:val="clear" w:color="auto" w:fill="auto"/>
            <w:vAlign w:val="center"/>
          </w:tcPr>
          <w:p w14:paraId="78FC6F8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宾馆酒店、民宿、旅游商品销售及周边餐饮、经营性停车场等</w:t>
            </w:r>
          </w:p>
        </w:tc>
        <w:tc>
          <w:tcPr>
            <w:tcW w:w="0" w:type="auto"/>
            <w:shd w:val="clear" w:color="auto" w:fill="auto"/>
            <w:vAlign w:val="center"/>
          </w:tcPr>
          <w:p w14:paraId="6414C26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2025年5月至10月</w:t>
            </w:r>
          </w:p>
        </w:tc>
        <w:tc>
          <w:tcPr>
            <w:tcW w:w="0" w:type="auto"/>
            <w:shd w:val="clear" w:color="auto" w:fill="auto"/>
            <w:vAlign w:val="center"/>
          </w:tcPr>
          <w:p w14:paraId="0890CB1A">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企业A类1%，B类2%，C类5%，D类20%</w:t>
            </w:r>
          </w:p>
        </w:tc>
        <w:tc>
          <w:tcPr>
            <w:tcW w:w="0" w:type="auto"/>
            <w:shd w:val="clear" w:color="auto" w:fill="auto"/>
            <w:vAlign w:val="center"/>
          </w:tcPr>
          <w:p w14:paraId="5687985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499CEA5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金凤区文旅体育局</w:t>
            </w:r>
          </w:p>
        </w:tc>
        <w:tc>
          <w:tcPr>
            <w:tcW w:w="0" w:type="auto"/>
            <w:shd w:val="clear" w:color="auto" w:fill="auto"/>
            <w:vAlign w:val="center"/>
          </w:tcPr>
          <w:p w14:paraId="6D8E638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6E13AD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tcPr>
          <w:p w14:paraId="30DAB0D3">
            <w:pPr>
              <w:spacing w:line="240" w:lineRule="exact"/>
              <w:jc w:val="center"/>
              <w:rPr>
                <w:rFonts w:hint="eastAsia" w:ascii="Times New Roman" w:hAnsi="Times New Roman"/>
                <w:color w:val="000000"/>
                <w:kern w:val="0"/>
                <w:sz w:val="18"/>
                <w:szCs w:val="18"/>
                <w:lang w:val="en-US" w:eastAsia="zh-CN" w:bidi="ar"/>
              </w:rPr>
            </w:pPr>
          </w:p>
          <w:p w14:paraId="48AA3549">
            <w:pPr>
              <w:spacing w:line="240" w:lineRule="exact"/>
              <w:jc w:val="center"/>
              <w:rPr>
                <w:rFonts w:hint="eastAsia" w:ascii="Times New Roman" w:hAnsi="Times New Roman"/>
                <w:color w:val="000000"/>
                <w:kern w:val="0"/>
                <w:sz w:val="18"/>
                <w:szCs w:val="18"/>
                <w:lang w:val="en-US" w:eastAsia="zh-CN" w:bidi="ar"/>
              </w:rPr>
            </w:pPr>
          </w:p>
          <w:p w14:paraId="68FEA405">
            <w:pPr>
              <w:spacing w:line="240" w:lineRule="exact"/>
              <w:jc w:val="center"/>
              <w:rPr>
                <w:rFonts w:hint="eastAsia" w:ascii="Times New Roman" w:hAnsi="Times New Roman"/>
                <w:color w:val="000000"/>
                <w:kern w:val="0"/>
                <w:sz w:val="18"/>
                <w:szCs w:val="18"/>
                <w:lang w:val="en-US" w:eastAsia="zh-CN" w:bidi="ar"/>
              </w:rPr>
            </w:pPr>
          </w:p>
          <w:p w14:paraId="2396AC3F">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38</w:t>
            </w:r>
          </w:p>
        </w:tc>
        <w:tc>
          <w:tcPr>
            <w:tcW w:w="0" w:type="auto"/>
            <w:shd w:val="clear" w:color="auto" w:fill="auto"/>
            <w:vAlign w:val="center"/>
          </w:tcPr>
          <w:p w14:paraId="1D4FD4A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55F104D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2025年托育养老及培训机构的价格检查</w:t>
            </w:r>
          </w:p>
        </w:tc>
        <w:tc>
          <w:tcPr>
            <w:tcW w:w="0" w:type="auto"/>
            <w:shd w:val="clear" w:color="auto" w:fill="auto"/>
            <w:vAlign w:val="center"/>
          </w:tcPr>
          <w:p w14:paraId="2B05FF0E">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《中华人民共和国价格法》第三十三条、三十四条</w:t>
            </w:r>
          </w:p>
        </w:tc>
        <w:tc>
          <w:tcPr>
            <w:tcW w:w="0" w:type="auto"/>
            <w:shd w:val="clear" w:color="auto" w:fill="auto"/>
            <w:vAlign w:val="center"/>
          </w:tcPr>
          <w:p w14:paraId="2BBD2BE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幼儿园、托育机构、养老机构、学科类或非学科类培训机构</w:t>
            </w:r>
          </w:p>
        </w:tc>
        <w:tc>
          <w:tcPr>
            <w:tcW w:w="0" w:type="auto"/>
            <w:shd w:val="clear" w:color="auto" w:fill="auto"/>
            <w:vAlign w:val="center"/>
          </w:tcPr>
          <w:p w14:paraId="1312B30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2025年5月至10月</w:t>
            </w:r>
          </w:p>
        </w:tc>
        <w:tc>
          <w:tcPr>
            <w:tcW w:w="0" w:type="auto"/>
            <w:shd w:val="clear" w:color="auto" w:fill="auto"/>
            <w:vAlign w:val="center"/>
          </w:tcPr>
          <w:p w14:paraId="7E3EB043">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企业A类1%，B类2%，C类5%，D类20%</w:t>
            </w:r>
          </w:p>
        </w:tc>
        <w:tc>
          <w:tcPr>
            <w:tcW w:w="0" w:type="auto"/>
            <w:shd w:val="clear" w:color="auto" w:fill="auto"/>
            <w:vAlign w:val="center"/>
          </w:tcPr>
          <w:p w14:paraId="46E33B0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030B2A9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金凤区教育局、金凤区民政局</w:t>
            </w:r>
          </w:p>
        </w:tc>
        <w:tc>
          <w:tcPr>
            <w:tcW w:w="0" w:type="auto"/>
            <w:shd w:val="clear" w:color="auto" w:fill="auto"/>
            <w:vAlign w:val="center"/>
          </w:tcPr>
          <w:p w14:paraId="63A713D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0FF522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tcPr>
          <w:p w14:paraId="41E20DEA">
            <w:pPr>
              <w:spacing w:line="240" w:lineRule="exact"/>
              <w:jc w:val="center"/>
              <w:rPr>
                <w:rFonts w:hint="eastAsia" w:ascii="Times New Roman" w:hAnsi="Times New Roman"/>
                <w:color w:val="000000"/>
                <w:kern w:val="0"/>
                <w:sz w:val="18"/>
                <w:szCs w:val="18"/>
                <w:lang w:val="en-US" w:eastAsia="zh-CN" w:bidi="ar"/>
              </w:rPr>
            </w:pPr>
          </w:p>
          <w:p w14:paraId="5DC5CC1B">
            <w:pPr>
              <w:spacing w:line="240" w:lineRule="exact"/>
              <w:jc w:val="center"/>
              <w:rPr>
                <w:rFonts w:hint="eastAsia" w:ascii="Times New Roman" w:hAnsi="Times New Roman"/>
                <w:color w:val="000000"/>
                <w:kern w:val="0"/>
                <w:sz w:val="18"/>
                <w:szCs w:val="18"/>
                <w:lang w:val="en-US" w:eastAsia="zh-CN" w:bidi="ar"/>
              </w:rPr>
            </w:pPr>
          </w:p>
          <w:p w14:paraId="46CAA266">
            <w:pPr>
              <w:spacing w:line="240" w:lineRule="exact"/>
              <w:jc w:val="center"/>
              <w:rPr>
                <w:rFonts w:hint="eastAsia" w:ascii="Times New Roman" w:hAnsi="Times New Roman"/>
                <w:color w:val="000000"/>
                <w:kern w:val="0"/>
                <w:sz w:val="18"/>
                <w:szCs w:val="18"/>
                <w:lang w:val="en-US" w:eastAsia="zh-CN" w:bidi="ar"/>
              </w:rPr>
            </w:pPr>
          </w:p>
          <w:p w14:paraId="5E85851F">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39</w:t>
            </w:r>
          </w:p>
        </w:tc>
        <w:tc>
          <w:tcPr>
            <w:tcW w:w="0" w:type="auto"/>
            <w:shd w:val="clear" w:color="auto" w:fill="auto"/>
            <w:vAlign w:val="center"/>
          </w:tcPr>
          <w:p w14:paraId="45311D97">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16B8F62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2025年民营医疗医美机构的价格检查</w:t>
            </w:r>
          </w:p>
        </w:tc>
        <w:tc>
          <w:tcPr>
            <w:tcW w:w="0" w:type="auto"/>
            <w:shd w:val="clear" w:color="auto" w:fill="auto"/>
            <w:vAlign w:val="center"/>
          </w:tcPr>
          <w:p w14:paraId="07D62E6F">
            <w:pPr>
              <w:spacing w:line="240" w:lineRule="exact"/>
              <w:jc w:val="center"/>
              <w:rPr>
                <w:rFonts w:hint="eastAsia" w:ascii="Times New Roman" w:hAnsi="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《中华人民共和国价格法》第三十三条、三十四条</w:t>
            </w:r>
          </w:p>
          <w:p w14:paraId="7A3A67AD">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p>
        </w:tc>
        <w:tc>
          <w:tcPr>
            <w:tcW w:w="0" w:type="auto"/>
            <w:shd w:val="clear" w:color="auto" w:fill="auto"/>
            <w:vAlign w:val="center"/>
          </w:tcPr>
          <w:p w14:paraId="4FAC003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民营医疗医美机构</w:t>
            </w:r>
          </w:p>
        </w:tc>
        <w:tc>
          <w:tcPr>
            <w:tcW w:w="0" w:type="auto"/>
            <w:shd w:val="clear" w:color="auto" w:fill="auto"/>
            <w:vAlign w:val="center"/>
          </w:tcPr>
          <w:p w14:paraId="271C168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2025年5月至10月</w:t>
            </w:r>
          </w:p>
        </w:tc>
        <w:tc>
          <w:tcPr>
            <w:tcW w:w="0" w:type="auto"/>
            <w:shd w:val="clear" w:color="auto" w:fill="auto"/>
            <w:vAlign w:val="center"/>
          </w:tcPr>
          <w:p w14:paraId="539007B9">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企业A类1%，B类2%，C类5%，D类20%</w:t>
            </w:r>
          </w:p>
        </w:tc>
        <w:tc>
          <w:tcPr>
            <w:tcW w:w="0" w:type="auto"/>
            <w:shd w:val="clear" w:color="auto" w:fill="auto"/>
            <w:vAlign w:val="center"/>
          </w:tcPr>
          <w:p w14:paraId="4A5685A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686F0F5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金凤区卫生健康局</w:t>
            </w:r>
          </w:p>
        </w:tc>
        <w:tc>
          <w:tcPr>
            <w:tcW w:w="0" w:type="auto"/>
            <w:shd w:val="clear" w:color="auto" w:fill="auto"/>
            <w:vAlign w:val="center"/>
          </w:tcPr>
          <w:p w14:paraId="5326E33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4E9374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5B05446B">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40</w:t>
            </w:r>
          </w:p>
        </w:tc>
        <w:tc>
          <w:tcPr>
            <w:tcW w:w="0" w:type="auto"/>
            <w:shd w:val="clear" w:color="auto" w:fill="auto"/>
            <w:vAlign w:val="center"/>
          </w:tcPr>
          <w:p w14:paraId="67AFC6B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63189D8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2025年房地产经纪机构的价格检查</w:t>
            </w:r>
          </w:p>
        </w:tc>
        <w:tc>
          <w:tcPr>
            <w:tcW w:w="0" w:type="auto"/>
            <w:shd w:val="clear" w:color="auto" w:fill="auto"/>
            <w:vAlign w:val="center"/>
          </w:tcPr>
          <w:p w14:paraId="4A80AD1D">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《中华人民共和国价格法》第三十三条、三十四条</w:t>
            </w:r>
          </w:p>
        </w:tc>
        <w:tc>
          <w:tcPr>
            <w:tcW w:w="0" w:type="auto"/>
            <w:shd w:val="clear" w:color="auto" w:fill="auto"/>
            <w:vAlign w:val="center"/>
          </w:tcPr>
          <w:p w14:paraId="56DBCA8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房地产经纪机构</w:t>
            </w:r>
          </w:p>
        </w:tc>
        <w:tc>
          <w:tcPr>
            <w:tcW w:w="0" w:type="auto"/>
            <w:shd w:val="clear" w:color="auto" w:fill="auto"/>
            <w:vAlign w:val="center"/>
          </w:tcPr>
          <w:p w14:paraId="7C908C5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2025年5月至10月</w:t>
            </w:r>
          </w:p>
        </w:tc>
        <w:tc>
          <w:tcPr>
            <w:tcW w:w="0" w:type="auto"/>
            <w:shd w:val="clear" w:color="auto" w:fill="auto"/>
            <w:vAlign w:val="center"/>
          </w:tcPr>
          <w:p w14:paraId="721CB827">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企业A类1%，B类2%，C类5%，D类21%</w:t>
            </w:r>
          </w:p>
        </w:tc>
        <w:tc>
          <w:tcPr>
            <w:tcW w:w="0" w:type="auto"/>
            <w:shd w:val="clear" w:color="auto" w:fill="auto"/>
            <w:vAlign w:val="center"/>
          </w:tcPr>
          <w:p w14:paraId="51BE570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2BB82BA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金凤区住建交通局</w:t>
            </w:r>
          </w:p>
        </w:tc>
        <w:tc>
          <w:tcPr>
            <w:tcW w:w="0" w:type="auto"/>
            <w:shd w:val="clear" w:color="auto" w:fill="auto"/>
            <w:vAlign w:val="center"/>
          </w:tcPr>
          <w:p w14:paraId="6CCD4D4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4113B6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7DAD7043">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41</w:t>
            </w:r>
          </w:p>
        </w:tc>
        <w:tc>
          <w:tcPr>
            <w:tcW w:w="0" w:type="auto"/>
            <w:shd w:val="clear" w:color="auto" w:fill="auto"/>
            <w:vAlign w:val="center"/>
          </w:tcPr>
          <w:p w14:paraId="5846D470">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26A0F47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2025年行业协会的价格检查</w:t>
            </w:r>
          </w:p>
        </w:tc>
        <w:tc>
          <w:tcPr>
            <w:tcW w:w="0" w:type="auto"/>
            <w:shd w:val="clear" w:color="auto" w:fill="auto"/>
            <w:vAlign w:val="center"/>
          </w:tcPr>
          <w:p w14:paraId="7EE268DE">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《中华人民共和国价格法》第三十三条、三十四条</w:t>
            </w:r>
          </w:p>
        </w:tc>
        <w:tc>
          <w:tcPr>
            <w:tcW w:w="0" w:type="auto"/>
            <w:shd w:val="clear" w:color="auto" w:fill="auto"/>
            <w:vAlign w:val="center"/>
          </w:tcPr>
          <w:p w14:paraId="156CA6F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行业协会等</w:t>
            </w:r>
          </w:p>
        </w:tc>
        <w:tc>
          <w:tcPr>
            <w:tcW w:w="0" w:type="auto"/>
            <w:shd w:val="clear" w:color="auto" w:fill="auto"/>
            <w:vAlign w:val="center"/>
          </w:tcPr>
          <w:p w14:paraId="1A19F22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2025年5月至10月</w:t>
            </w:r>
          </w:p>
        </w:tc>
        <w:tc>
          <w:tcPr>
            <w:tcW w:w="0" w:type="auto"/>
            <w:shd w:val="clear" w:color="auto" w:fill="auto"/>
            <w:vAlign w:val="center"/>
          </w:tcPr>
          <w:p w14:paraId="4CFE62D8">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企业A类1%，B类2%，C类5%，D类21%</w:t>
            </w:r>
          </w:p>
        </w:tc>
        <w:tc>
          <w:tcPr>
            <w:tcW w:w="0" w:type="auto"/>
            <w:shd w:val="clear" w:color="auto" w:fill="auto"/>
            <w:vAlign w:val="center"/>
          </w:tcPr>
          <w:p w14:paraId="5FF5847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3BAB56C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金凤区民政局</w:t>
            </w:r>
          </w:p>
        </w:tc>
        <w:tc>
          <w:tcPr>
            <w:tcW w:w="0" w:type="auto"/>
            <w:shd w:val="clear" w:color="auto" w:fill="auto"/>
            <w:vAlign w:val="center"/>
          </w:tcPr>
          <w:p w14:paraId="5311AEC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0DA383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543A83E8">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42</w:t>
            </w:r>
          </w:p>
        </w:tc>
        <w:tc>
          <w:tcPr>
            <w:tcW w:w="0" w:type="auto"/>
            <w:shd w:val="clear" w:color="auto" w:fill="auto"/>
            <w:vAlign w:val="center"/>
          </w:tcPr>
          <w:p w14:paraId="49D2274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2CEA617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食用农产品批发市场双随机监督检查</w:t>
            </w:r>
          </w:p>
        </w:tc>
        <w:tc>
          <w:tcPr>
            <w:tcW w:w="0" w:type="auto"/>
            <w:shd w:val="clear" w:color="auto" w:fill="auto"/>
            <w:vAlign w:val="center"/>
          </w:tcPr>
          <w:p w14:paraId="337C5FFB">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食品安全法》第一百一十条</w:t>
            </w:r>
          </w:p>
        </w:tc>
        <w:tc>
          <w:tcPr>
            <w:tcW w:w="0" w:type="auto"/>
            <w:shd w:val="clear" w:color="auto" w:fill="auto"/>
            <w:vAlign w:val="center"/>
          </w:tcPr>
          <w:p w14:paraId="21BAB12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食用农产品批发市场</w:t>
            </w:r>
          </w:p>
        </w:tc>
        <w:tc>
          <w:tcPr>
            <w:tcW w:w="0" w:type="auto"/>
            <w:shd w:val="clear" w:color="auto" w:fill="auto"/>
            <w:vAlign w:val="center"/>
          </w:tcPr>
          <w:p w14:paraId="79084F7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2025年2月至10月</w:t>
            </w:r>
          </w:p>
        </w:tc>
        <w:tc>
          <w:tcPr>
            <w:tcW w:w="0" w:type="auto"/>
            <w:shd w:val="clear" w:color="auto" w:fill="auto"/>
            <w:vAlign w:val="center"/>
          </w:tcPr>
          <w:p w14:paraId="6F417D12">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100%</w:t>
            </w:r>
          </w:p>
        </w:tc>
        <w:tc>
          <w:tcPr>
            <w:tcW w:w="0" w:type="auto"/>
            <w:shd w:val="clear" w:color="auto" w:fill="auto"/>
            <w:vAlign w:val="center"/>
          </w:tcPr>
          <w:p w14:paraId="68011CD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不超过3次。针对投诉举报、转办交办等涉嫌违法行为，依法依规及时快速开展行政检查和调查核实，可以不受频次上限限制</w:t>
            </w:r>
          </w:p>
        </w:tc>
        <w:tc>
          <w:tcPr>
            <w:tcW w:w="0" w:type="auto"/>
            <w:shd w:val="clear" w:color="auto" w:fill="auto"/>
            <w:vAlign w:val="center"/>
          </w:tcPr>
          <w:p w14:paraId="26C20A4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金凤区商务经合局</w:t>
            </w:r>
          </w:p>
        </w:tc>
        <w:tc>
          <w:tcPr>
            <w:tcW w:w="0" w:type="auto"/>
            <w:shd w:val="clear" w:color="auto" w:fill="auto"/>
            <w:vAlign w:val="center"/>
          </w:tcPr>
          <w:p w14:paraId="2EAC2D0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553FEA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073E294B">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43</w:t>
            </w:r>
          </w:p>
        </w:tc>
        <w:tc>
          <w:tcPr>
            <w:tcW w:w="0" w:type="auto"/>
            <w:shd w:val="clear" w:color="auto" w:fill="auto"/>
            <w:vAlign w:val="center"/>
          </w:tcPr>
          <w:p w14:paraId="2754417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3F862645">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对食品生产企业的联合检查</w:t>
            </w:r>
          </w:p>
        </w:tc>
        <w:tc>
          <w:tcPr>
            <w:tcW w:w="0" w:type="auto"/>
            <w:shd w:val="clear" w:color="auto" w:fill="auto"/>
            <w:vAlign w:val="center"/>
          </w:tcPr>
          <w:p w14:paraId="60DDB37F">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食品安全法》第一百一十条</w:t>
            </w:r>
          </w:p>
        </w:tc>
        <w:tc>
          <w:tcPr>
            <w:tcW w:w="0" w:type="auto"/>
            <w:shd w:val="clear" w:color="auto" w:fill="auto"/>
            <w:vAlign w:val="center"/>
          </w:tcPr>
          <w:p w14:paraId="7FBFB74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食品生产企业</w:t>
            </w:r>
          </w:p>
        </w:tc>
        <w:tc>
          <w:tcPr>
            <w:tcW w:w="0" w:type="auto"/>
            <w:shd w:val="clear" w:color="auto" w:fill="auto"/>
            <w:vAlign w:val="center"/>
          </w:tcPr>
          <w:p w14:paraId="1DE1EC8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2025年10月30日前</w:t>
            </w:r>
          </w:p>
        </w:tc>
        <w:tc>
          <w:tcPr>
            <w:tcW w:w="0" w:type="auto"/>
            <w:shd w:val="clear" w:color="auto" w:fill="auto"/>
            <w:vAlign w:val="center"/>
          </w:tcPr>
          <w:p w14:paraId="454E2E95">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企业A类1%，B类1%</w:t>
            </w:r>
          </w:p>
        </w:tc>
        <w:tc>
          <w:tcPr>
            <w:tcW w:w="0" w:type="auto"/>
            <w:shd w:val="clear" w:color="auto" w:fill="auto"/>
            <w:vAlign w:val="center"/>
          </w:tcPr>
          <w:p w14:paraId="6C29678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不超过3次。针对投诉举报、转办交办等涉嫌违法行为，依法依规及时快速开展行政检查和调查核实，可以不受频次上限限制</w:t>
            </w:r>
          </w:p>
        </w:tc>
        <w:tc>
          <w:tcPr>
            <w:tcW w:w="0" w:type="auto"/>
            <w:shd w:val="clear" w:color="auto" w:fill="auto"/>
            <w:vAlign w:val="center"/>
          </w:tcPr>
          <w:p w14:paraId="473FE24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金凤区生态环境分局</w:t>
            </w:r>
          </w:p>
        </w:tc>
        <w:tc>
          <w:tcPr>
            <w:tcW w:w="0" w:type="auto"/>
            <w:shd w:val="clear" w:color="auto" w:fill="auto"/>
            <w:vAlign w:val="center"/>
          </w:tcPr>
          <w:p w14:paraId="2E20ADC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6E0B3E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484371A4">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44</w:t>
            </w:r>
          </w:p>
        </w:tc>
        <w:tc>
          <w:tcPr>
            <w:tcW w:w="0" w:type="auto"/>
            <w:shd w:val="clear" w:color="auto" w:fill="auto"/>
            <w:vAlign w:val="center"/>
          </w:tcPr>
          <w:p w14:paraId="6AB00F8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1948835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瓶装液化石油气领域安全监督检查</w:t>
            </w:r>
          </w:p>
        </w:tc>
        <w:tc>
          <w:tcPr>
            <w:tcW w:w="0" w:type="auto"/>
            <w:shd w:val="clear" w:color="auto" w:fill="auto"/>
            <w:vAlign w:val="center"/>
          </w:tcPr>
          <w:p w14:paraId="60AA38E9">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特种设备安全法》</w:t>
            </w:r>
            <w:r>
              <w:rPr>
                <w:rFonts w:hint="eastAsia" w:ascii="Times New Roman" w:hAnsi="Times New Roman"/>
                <w:color w:val="000000"/>
                <w:kern w:val="0"/>
                <w:sz w:val="18"/>
                <w:szCs w:val="18"/>
                <w:highlight w:val="none"/>
                <w:lang w:val="en-US" w:eastAsia="zh-CN" w:bidi="ar"/>
              </w:rPr>
              <w:t>第五十七条、第六十一条</w:t>
            </w:r>
          </w:p>
        </w:tc>
        <w:tc>
          <w:tcPr>
            <w:tcW w:w="0" w:type="auto"/>
            <w:shd w:val="clear" w:color="auto" w:fill="auto"/>
            <w:vAlign w:val="center"/>
          </w:tcPr>
          <w:p w14:paraId="4016E90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移动式压力容器、液化石油气充装单位</w:t>
            </w:r>
          </w:p>
        </w:tc>
        <w:tc>
          <w:tcPr>
            <w:tcW w:w="0" w:type="auto"/>
            <w:shd w:val="clear" w:color="auto" w:fill="auto"/>
            <w:vAlign w:val="center"/>
          </w:tcPr>
          <w:p w14:paraId="39C0CC85">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2025年5月至11月</w:t>
            </w:r>
          </w:p>
        </w:tc>
        <w:tc>
          <w:tcPr>
            <w:tcW w:w="0" w:type="auto"/>
            <w:shd w:val="clear" w:color="auto" w:fill="auto"/>
            <w:vAlign w:val="center"/>
          </w:tcPr>
          <w:p w14:paraId="7FD7EB91">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100%</w:t>
            </w:r>
          </w:p>
        </w:tc>
        <w:tc>
          <w:tcPr>
            <w:tcW w:w="0" w:type="auto"/>
            <w:shd w:val="clear" w:color="auto" w:fill="auto"/>
            <w:vAlign w:val="center"/>
          </w:tcPr>
          <w:p w14:paraId="3B03533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不超过3次。针对投诉举报、转办交办等涉嫌违法行为，依法依规及时快速开展行政检查和调查核实，可以不受频次上限限制</w:t>
            </w:r>
          </w:p>
        </w:tc>
        <w:tc>
          <w:tcPr>
            <w:tcW w:w="0" w:type="auto"/>
            <w:shd w:val="clear" w:color="auto" w:fill="auto"/>
            <w:vAlign w:val="center"/>
          </w:tcPr>
          <w:p w14:paraId="41ED619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金凤区住建交通局，消防救援大队</w:t>
            </w:r>
          </w:p>
        </w:tc>
        <w:tc>
          <w:tcPr>
            <w:tcW w:w="0" w:type="auto"/>
            <w:shd w:val="clear" w:color="auto" w:fill="auto"/>
            <w:vAlign w:val="center"/>
          </w:tcPr>
          <w:p w14:paraId="4B8D86A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12CB4D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6C7647FF">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45</w:t>
            </w:r>
          </w:p>
        </w:tc>
        <w:tc>
          <w:tcPr>
            <w:tcW w:w="0" w:type="auto"/>
            <w:shd w:val="clear" w:color="auto" w:fill="auto"/>
            <w:vAlign w:val="center"/>
          </w:tcPr>
          <w:p w14:paraId="483D5A55">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26B7A73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电子商务经营行为监督检查</w:t>
            </w:r>
          </w:p>
        </w:tc>
        <w:tc>
          <w:tcPr>
            <w:tcW w:w="0" w:type="auto"/>
            <w:shd w:val="clear" w:color="auto" w:fill="auto"/>
            <w:vAlign w:val="center"/>
          </w:tcPr>
          <w:p w14:paraId="5810E09B">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电子商务法》</w:t>
            </w:r>
            <w:r>
              <w:rPr>
                <w:rFonts w:hint="eastAsia" w:ascii="Times New Roman" w:hAnsi="Times New Roman"/>
                <w:color w:val="000000"/>
                <w:kern w:val="0"/>
                <w:sz w:val="18"/>
                <w:szCs w:val="18"/>
                <w:highlight w:val="none"/>
                <w:lang w:val="en-US" w:eastAsia="zh-CN" w:bidi="ar"/>
              </w:rPr>
              <w:t>第六条</w:t>
            </w:r>
          </w:p>
        </w:tc>
        <w:tc>
          <w:tcPr>
            <w:tcW w:w="0" w:type="auto"/>
            <w:shd w:val="clear" w:color="auto" w:fill="auto"/>
            <w:vAlign w:val="center"/>
          </w:tcPr>
          <w:p w14:paraId="7EFC8A3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企业、个体工商户</w:t>
            </w:r>
          </w:p>
        </w:tc>
        <w:tc>
          <w:tcPr>
            <w:tcW w:w="0" w:type="auto"/>
            <w:shd w:val="clear" w:color="auto" w:fill="auto"/>
            <w:vAlign w:val="center"/>
          </w:tcPr>
          <w:p w14:paraId="4500B86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w:t>
            </w:r>
          </w:p>
        </w:tc>
        <w:tc>
          <w:tcPr>
            <w:tcW w:w="0" w:type="auto"/>
            <w:shd w:val="clear" w:color="auto" w:fill="auto"/>
            <w:vAlign w:val="center"/>
          </w:tcPr>
          <w:p w14:paraId="1B9C8C62">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企业A类10%，B类30%，C类50%，D类80%；个体40%</w:t>
            </w:r>
          </w:p>
        </w:tc>
        <w:tc>
          <w:tcPr>
            <w:tcW w:w="0" w:type="auto"/>
            <w:shd w:val="clear" w:color="auto" w:fill="auto"/>
            <w:vAlign w:val="center"/>
          </w:tcPr>
          <w:p w14:paraId="6C9C5BE0">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7310F03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金凤区商务经合局</w:t>
            </w:r>
          </w:p>
        </w:tc>
        <w:tc>
          <w:tcPr>
            <w:tcW w:w="0" w:type="auto"/>
            <w:shd w:val="clear" w:color="auto" w:fill="auto"/>
            <w:vAlign w:val="center"/>
          </w:tcPr>
          <w:p w14:paraId="0BB08E7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459CFF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40A4D501">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46</w:t>
            </w:r>
          </w:p>
        </w:tc>
        <w:tc>
          <w:tcPr>
            <w:tcW w:w="0" w:type="auto"/>
            <w:shd w:val="clear" w:color="auto" w:fill="auto"/>
            <w:vAlign w:val="center"/>
          </w:tcPr>
          <w:p w14:paraId="1D397C8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4685247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文物市场规范管理</w:t>
            </w:r>
          </w:p>
        </w:tc>
        <w:tc>
          <w:tcPr>
            <w:tcW w:w="0" w:type="auto"/>
            <w:shd w:val="clear" w:color="auto" w:fill="auto"/>
            <w:vAlign w:val="center"/>
          </w:tcPr>
          <w:p w14:paraId="389DA37E">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文物保护法》第</w:t>
            </w:r>
            <w:r>
              <w:rPr>
                <w:rFonts w:hint="eastAsia" w:ascii="Times New Roman" w:hAnsi="Times New Roman"/>
                <w:color w:val="000000"/>
                <w:kern w:val="0"/>
                <w:sz w:val="18"/>
                <w:szCs w:val="18"/>
                <w:highlight w:val="none"/>
                <w:lang w:val="en-US" w:eastAsia="zh-CN" w:bidi="ar"/>
              </w:rPr>
              <w:t>九十七条</w:t>
            </w:r>
          </w:p>
        </w:tc>
        <w:tc>
          <w:tcPr>
            <w:tcW w:w="0" w:type="auto"/>
            <w:shd w:val="clear" w:color="auto" w:fill="auto"/>
            <w:vAlign w:val="center"/>
          </w:tcPr>
          <w:p w14:paraId="434C2CD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企业、个体工商户</w:t>
            </w:r>
          </w:p>
        </w:tc>
        <w:tc>
          <w:tcPr>
            <w:tcW w:w="0" w:type="auto"/>
            <w:shd w:val="clear" w:color="auto" w:fill="auto"/>
            <w:vAlign w:val="center"/>
          </w:tcPr>
          <w:p w14:paraId="7E287AE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w:t>
            </w:r>
          </w:p>
        </w:tc>
        <w:tc>
          <w:tcPr>
            <w:tcW w:w="0" w:type="auto"/>
            <w:shd w:val="clear" w:color="auto" w:fill="auto"/>
            <w:vAlign w:val="center"/>
          </w:tcPr>
          <w:p w14:paraId="63D1CF96">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企业A类10%，B类30%，C类50%，D类80%；个体10%</w:t>
            </w:r>
          </w:p>
        </w:tc>
        <w:tc>
          <w:tcPr>
            <w:tcW w:w="0" w:type="auto"/>
            <w:shd w:val="clear" w:color="auto" w:fill="auto"/>
            <w:vAlign w:val="center"/>
          </w:tcPr>
          <w:p w14:paraId="4E3CF7A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3ED0BA6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金凤区文旅体育局</w:t>
            </w:r>
          </w:p>
        </w:tc>
        <w:tc>
          <w:tcPr>
            <w:tcW w:w="0" w:type="auto"/>
            <w:shd w:val="clear" w:color="auto" w:fill="auto"/>
            <w:vAlign w:val="center"/>
          </w:tcPr>
          <w:p w14:paraId="2DC3E59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1D3818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0FF5AC33">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47</w:t>
            </w:r>
          </w:p>
        </w:tc>
        <w:tc>
          <w:tcPr>
            <w:tcW w:w="0" w:type="auto"/>
            <w:shd w:val="clear" w:color="auto" w:fill="auto"/>
            <w:vAlign w:val="center"/>
          </w:tcPr>
          <w:p w14:paraId="1F2A440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099C4AE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野生动物保护市场规范管理</w:t>
            </w:r>
          </w:p>
        </w:tc>
        <w:tc>
          <w:tcPr>
            <w:tcW w:w="0" w:type="auto"/>
            <w:shd w:val="clear" w:color="auto" w:fill="auto"/>
            <w:vAlign w:val="center"/>
          </w:tcPr>
          <w:p w14:paraId="7ED63E2B">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野生动物保护法》第三十</w:t>
            </w:r>
            <w:r>
              <w:rPr>
                <w:rFonts w:hint="eastAsia" w:ascii="Times New Roman" w:hAnsi="Times New Roman"/>
                <w:color w:val="000000"/>
                <w:kern w:val="0"/>
                <w:sz w:val="18"/>
                <w:szCs w:val="18"/>
                <w:highlight w:val="none"/>
                <w:lang w:val="en-US" w:eastAsia="zh-CN" w:bidi="ar"/>
              </w:rPr>
              <w:t>五</w:t>
            </w:r>
            <w:r>
              <w:rPr>
                <w:rFonts w:hint="eastAsia" w:ascii="Times New Roman" w:hAnsi="Times New Roman" w:eastAsia="宋体"/>
                <w:color w:val="000000"/>
                <w:kern w:val="0"/>
                <w:sz w:val="18"/>
                <w:szCs w:val="18"/>
                <w:highlight w:val="none"/>
                <w:lang w:val="en-US" w:eastAsia="zh-CN" w:bidi="ar"/>
              </w:rPr>
              <w:t>条</w:t>
            </w:r>
            <w:r>
              <w:rPr>
                <w:rFonts w:hint="eastAsia" w:ascii="Times New Roman" w:hAnsi="Times New Roman"/>
                <w:color w:val="000000"/>
                <w:kern w:val="0"/>
                <w:sz w:val="18"/>
                <w:szCs w:val="18"/>
                <w:highlight w:val="none"/>
                <w:lang w:val="en-US" w:eastAsia="zh-CN" w:bidi="ar"/>
              </w:rPr>
              <w:t>、第三十六条</w:t>
            </w:r>
          </w:p>
        </w:tc>
        <w:tc>
          <w:tcPr>
            <w:tcW w:w="0" w:type="auto"/>
            <w:shd w:val="clear" w:color="auto" w:fill="auto"/>
            <w:vAlign w:val="center"/>
          </w:tcPr>
          <w:p w14:paraId="1BAEA2E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企业、个体工商户</w:t>
            </w:r>
          </w:p>
        </w:tc>
        <w:tc>
          <w:tcPr>
            <w:tcW w:w="0" w:type="auto"/>
            <w:shd w:val="clear" w:color="auto" w:fill="auto"/>
            <w:vAlign w:val="center"/>
          </w:tcPr>
          <w:p w14:paraId="3841629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w:t>
            </w:r>
          </w:p>
        </w:tc>
        <w:tc>
          <w:tcPr>
            <w:tcW w:w="0" w:type="auto"/>
            <w:shd w:val="clear" w:color="auto" w:fill="auto"/>
            <w:vAlign w:val="center"/>
          </w:tcPr>
          <w:p w14:paraId="7548EA1E">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企业A类10%，B类30%，C类50%，D类80%；农专50%；个体50%</w:t>
            </w:r>
          </w:p>
        </w:tc>
        <w:tc>
          <w:tcPr>
            <w:tcW w:w="0" w:type="auto"/>
            <w:shd w:val="clear" w:color="auto" w:fill="auto"/>
            <w:vAlign w:val="center"/>
          </w:tcPr>
          <w:p w14:paraId="0656C6E0">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58F7069E">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c>
          <w:tcPr>
            <w:tcW w:w="0" w:type="auto"/>
            <w:shd w:val="clear" w:color="auto" w:fill="auto"/>
            <w:vAlign w:val="center"/>
          </w:tcPr>
          <w:p w14:paraId="3809946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617AEF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4CD3A480">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48</w:t>
            </w:r>
          </w:p>
        </w:tc>
        <w:tc>
          <w:tcPr>
            <w:tcW w:w="0" w:type="auto"/>
            <w:shd w:val="clear" w:color="auto" w:fill="auto"/>
            <w:vAlign w:val="center"/>
          </w:tcPr>
          <w:p w14:paraId="2B011B84">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2A25095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拍卖市场规范管理</w:t>
            </w:r>
          </w:p>
        </w:tc>
        <w:tc>
          <w:tcPr>
            <w:tcW w:w="0" w:type="auto"/>
            <w:shd w:val="clear" w:color="auto" w:fill="auto"/>
            <w:vAlign w:val="center"/>
          </w:tcPr>
          <w:p w14:paraId="29ADF247">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w:t>
            </w:r>
            <w:r>
              <w:rPr>
                <w:rFonts w:hint="eastAsia" w:ascii="Times New Roman" w:hAnsi="Times New Roman"/>
                <w:color w:val="000000"/>
                <w:kern w:val="0"/>
                <w:sz w:val="18"/>
                <w:szCs w:val="18"/>
                <w:highlight w:val="none"/>
                <w:lang w:val="en-US" w:eastAsia="zh-CN" w:bidi="ar"/>
              </w:rPr>
              <w:t>中华人民共和国</w:t>
            </w:r>
            <w:r>
              <w:rPr>
                <w:rFonts w:hint="eastAsia" w:ascii="Times New Roman" w:hAnsi="Times New Roman" w:eastAsia="宋体"/>
                <w:color w:val="000000"/>
                <w:kern w:val="0"/>
                <w:sz w:val="18"/>
                <w:szCs w:val="18"/>
                <w:highlight w:val="none"/>
                <w:lang w:val="en-US" w:eastAsia="zh-CN" w:bidi="ar"/>
              </w:rPr>
              <w:t>拍卖法》第</w:t>
            </w:r>
            <w:r>
              <w:rPr>
                <w:rFonts w:hint="eastAsia" w:ascii="Times New Roman" w:hAnsi="Times New Roman"/>
                <w:color w:val="000000"/>
                <w:kern w:val="0"/>
                <w:sz w:val="18"/>
                <w:szCs w:val="18"/>
                <w:highlight w:val="none"/>
                <w:lang w:val="en-US" w:eastAsia="zh-CN" w:bidi="ar"/>
              </w:rPr>
              <w:t>五</w:t>
            </w:r>
            <w:r>
              <w:rPr>
                <w:rFonts w:hint="eastAsia" w:ascii="Times New Roman" w:hAnsi="Times New Roman" w:eastAsia="宋体"/>
                <w:color w:val="000000"/>
                <w:kern w:val="0"/>
                <w:sz w:val="18"/>
                <w:szCs w:val="18"/>
                <w:highlight w:val="none"/>
                <w:lang w:val="en-US" w:eastAsia="zh-CN" w:bidi="ar"/>
              </w:rPr>
              <w:t>条</w:t>
            </w:r>
          </w:p>
        </w:tc>
        <w:tc>
          <w:tcPr>
            <w:tcW w:w="0" w:type="auto"/>
            <w:shd w:val="clear" w:color="auto" w:fill="auto"/>
            <w:vAlign w:val="center"/>
          </w:tcPr>
          <w:p w14:paraId="151F4E5A">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w:t>
            </w:r>
          </w:p>
        </w:tc>
        <w:tc>
          <w:tcPr>
            <w:tcW w:w="0" w:type="auto"/>
            <w:shd w:val="clear" w:color="auto" w:fill="auto"/>
            <w:vAlign w:val="center"/>
          </w:tcPr>
          <w:p w14:paraId="7808A182">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2025年10月</w:t>
            </w:r>
          </w:p>
        </w:tc>
        <w:tc>
          <w:tcPr>
            <w:tcW w:w="0" w:type="auto"/>
            <w:shd w:val="clear" w:color="auto" w:fill="auto"/>
            <w:vAlign w:val="center"/>
          </w:tcPr>
          <w:p w14:paraId="14098518">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企业A类5%，B类20%，C类50%，D类80%</w:t>
            </w:r>
          </w:p>
        </w:tc>
        <w:tc>
          <w:tcPr>
            <w:tcW w:w="0" w:type="auto"/>
            <w:shd w:val="clear" w:color="auto" w:fill="auto"/>
            <w:vAlign w:val="center"/>
          </w:tcPr>
          <w:p w14:paraId="70A01E65">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18194EC0">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c>
          <w:tcPr>
            <w:tcW w:w="0" w:type="auto"/>
            <w:shd w:val="clear" w:color="auto" w:fill="auto"/>
            <w:vAlign w:val="center"/>
          </w:tcPr>
          <w:p w14:paraId="73C2D38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5BA84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06CF8E7F">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49</w:t>
            </w:r>
          </w:p>
        </w:tc>
        <w:tc>
          <w:tcPr>
            <w:tcW w:w="0" w:type="auto"/>
            <w:shd w:val="clear" w:color="auto" w:fill="auto"/>
            <w:vAlign w:val="center"/>
          </w:tcPr>
          <w:p w14:paraId="1061070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6454D55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市场主体商标使用行为检查</w:t>
            </w:r>
          </w:p>
        </w:tc>
        <w:tc>
          <w:tcPr>
            <w:tcW w:w="0" w:type="auto"/>
            <w:shd w:val="clear" w:color="auto" w:fill="auto"/>
            <w:vAlign w:val="center"/>
          </w:tcPr>
          <w:p w14:paraId="322C1F15">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《中华人民共和国商标法》</w:t>
            </w:r>
            <w:r>
              <w:rPr>
                <w:rFonts w:hint="eastAsia" w:ascii="Times New Roman" w:hAnsi="Times New Roman"/>
                <w:color w:val="000000"/>
                <w:kern w:val="0"/>
                <w:sz w:val="18"/>
                <w:szCs w:val="18"/>
                <w:highlight w:val="none"/>
                <w:lang w:val="en-US" w:eastAsia="zh-CN" w:bidi="ar"/>
              </w:rPr>
              <w:t>第六十二条</w:t>
            </w:r>
          </w:p>
        </w:tc>
        <w:tc>
          <w:tcPr>
            <w:tcW w:w="0" w:type="auto"/>
            <w:shd w:val="clear" w:color="auto" w:fill="auto"/>
            <w:vAlign w:val="center"/>
          </w:tcPr>
          <w:p w14:paraId="256CE34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各类市场主体</w:t>
            </w:r>
          </w:p>
        </w:tc>
        <w:tc>
          <w:tcPr>
            <w:tcW w:w="0" w:type="auto"/>
            <w:shd w:val="clear" w:color="auto" w:fill="auto"/>
            <w:vAlign w:val="center"/>
          </w:tcPr>
          <w:p w14:paraId="3FCE7AE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2025年12月</w:t>
            </w:r>
          </w:p>
        </w:tc>
        <w:tc>
          <w:tcPr>
            <w:tcW w:w="0" w:type="auto"/>
            <w:shd w:val="clear" w:color="auto" w:fill="auto"/>
            <w:vAlign w:val="center"/>
          </w:tcPr>
          <w:p w14:paraId="1D958177">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 xml:space="preserve">企业C类80%，D类100%；  </w:t>
            </w:r>
            <w:r>
              <w:rPr>
                <w:rFonts w:hint="eastAsia" w:ascii="Times New Roman" w:hAnsi="Times New Roman" w:eastAsia="宋体"/>
                <w:color w:val="000000"/>
                <w:kern w:val="0"/>
                <w:sz w:val="18"/>
                <w:szCs w:val="18"/>
                <w:highlight w:val="none"/>
                <w:lang w:val="en-US" w:eastAsia="zh-CN" w:bidi="ar"/>
              </w:rPr>
              <w:br w:type="textWrapping"/>
            </w:r>
            <w:r>
              <w:rPr>
                <w:rFonts w:hint="eastAsia" w:ascii="Times New Roman" w:hAnsi="Times New Roman" w:eastAsia="宋体"/>
                <w:color w:val="000000"/>
                <w:kern w:val="0"/>
                <w:sz w:val="18"/>
                <w:szCs w:val="18"/>
                <w:highlight w:val="none"/>
                <w:lang w:val="en-US" w:eastAsia="zh-CN" w:bidi="ar"/>
              </w:rPr>
              <w:t>个体工商户10%</w:t>
            </w:r>
          </w:p>
        </w:tc>
        <w:tc>
          <w:tcPr>
            <w:tcW w:w="0" w:type="auto"/>
            <w:shd w:val="clear" w:color="auto" w:fill="auto"/>
            <w:vAlign w:val="center"/>
          </w:tcPr>
          <w:p w14:paraId="07377D9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5D26E3F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金凤区公安分局</w:t>
            </w:r>
          </w:p>
        </w:tc>
        <w:tc>
          <w:tcPr>
            <w:tcW w:w="0" w:type="auto"/>
            <w:shd w:val="clear" w:color="auto" w:fill="auto"/>
            <w:vAlign w:val="center"/>
          </w:tcPr>
          <w:p w14:paraId="7F1C7F9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487658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29D96727">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50</w:t>
            </w:r>
          </w:p>
        </w:tc>
        <w:tc>
          <w:tcPr>
            <w:tcW w:w="0" w:type="auto"/>
            <w:shd w:val="clear" w:color="auto" w:fill="auto"/>
            <w:vAlign w:val="center"/>
          </w:tcPr>
          <w:p w14:paraId="6EDA946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370463C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商标代理行为检查</w:t>
            </w:r>
          </w:p>
        </w:tc>
        <w:tc>
          <w:tcPr>
            <w:tcW w:w="0" w:type="auto"/>
            <w:shd w:val="clear" w:color="auto" w:fill="auto"/>
            <w:vAlign w:val="center"/>
          </w:tcPr>
          <w:p w14:paraId="3390EA59">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《中华人民共和国商标法》</w:t>
            </w:r>
            <w:r>
              <w:rPr>
                <w:rFonts w:hint="eastAsia" w:ascii="Times New Roman" w:hAnsi="Times New Roman"/>
                <w:color w:val="000000"/>
                <w:kern w:val="0"/>
                <w:sz w:val="18"/>
                <w:szCs w:val="18"/>
                <w:highlight w:val="none"/>
                <w:lang w:val="en-US" w:eastAsia="zh-CN" w:bidi="ar"/>
              </w:rPr>
              <w:t>第六十二条</w:t>
            </w:r>
            <w:r>
              <w:rPr>
                <w:rFonts w:hint="eastAsia" w:ascii="Times New Roman" w:hAnsi="Times New Roman" w:eastAsia="宋体"/>
                <w:color w:val="000000"/>
                <w:kern w:val="0"/>
                <w:sz w:val="18"/>
                <w:szCs w:val="18"/>
                <w:highlight w:val="none"/>
                <w:lang w:val="en-US" w:eastAsia="zh-CN" w:bidi="ar"/>
              </w:rPr>
              <w:t>、《商标代理监督管理规定》</w:t>
            </w:r>
            <w:r>
              <w:rPr>
                <w:rFonts w:hint="eastAsia" w:ascii="Times New Roman" w:hAnsi="Times New Roman"/>
                <w:color w:val="000000"/>
                <w:kern w:val="0"/>
                <w:sz w:val="18"/>
                <w:szCs w:val="18"/>
                <w:highlight w:val="none"/>
                <w:lang w:val="en-US" w:eastAsia="zh-CN" w:bidi="ar"/>
              </w:rPr>
              <w:t>第二十四条</w:t>
            </w:r>
          </w:p>
        </w:tc>
        <w:tc>
          <w:tcPr>
            <w:tcW w:w="0" w:type="auto"/>
            <w:shd w:val="clear" w:color="auto" w:fill="auto"/>
            <w:vAlign w:val="center"/>
          </w:tcPr>
          <w:p w14:paraId="2687A32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国家知识产权局备案从事商标代理业务的服务机构</w:t>
            </w:r>
          </w:p>
        </w:tc>
        <w:tc>
          <w:tcPr>
            <w:tcW w:w="0" w:type="auto"/>
            <w:shd w:val="clear" w:color="auto" w:fill="auto"/>
            <w:vAlign w:val="center"/>
          </w:tcPr>
          <w:p w14:paraId="6302AC3C">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2025年12月</w:t>
            </w:r>
          </w:p>
        </w:tc>
        <w:tc>
          <w:tcPr>
            <w:tcW w:w="0" w:type="auto"/>
            <w:shd w:val="clear" w:color="auto" w:fill="auto"/>
            <w:vAlign w:val="center"/>
          </w:tcPr>
          <w:p w14:paraId="6DF4374D">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A类30%，</w:t>
            </w:r>
            <w:r>
              <w:rPr>
                <w:rFonts w:hint="eastAsia" w:ascii="Times New Roman" w:hAnsi="Times New Roman" w:eastAsia="宋体"/>
                <w:color w:val="000000"/>
                <w:kern w:val="0"/>
                <w:sz w:val="18"/>
                <w:szCs w:val="18"/>
                <w:highlight w:val="none"/>
                <w:lang w:val="en-US" w:eastAsia="zh-CN" w:bidi="ar"/>
              </w:rPr>
              <w:br w:type="textWrapping"/>
            </w:r>
            <w:r>
              <w:rPr>
                <w:rFonts w:hint="eastAsia" w:ascii="Times New Roman" w:hAnsi="Times New Roman" w:eastAsia="宋体"/>
                <w:color w:val="000000"/>
                <w:kern w:val="0"/>
                <w:sz w:val="18"/>
                <w:szCs w:val="18"/>
                <w:highlight w:val="none"/>
                <w:lang w:val="en-US" w:eastAsia="zh-CN" w:bidi="ar"/>
              </w:rPr>
              <w:t>B类100%，</w:t>
            </w:r>
            <w:r>
              <w:rPr>
                <w:rFonts w:hint="eastAsia" w:ascii="Times New Roman" w:hAnsi="Times New Roman" w:eastAsia="宋体"/>
                <w:color w:val="000000"/>
                <w:kern w:val="0"/>
                <w:sz w:val="18"/>
                <w:szCs w:val="18"/>
                <w:highlight w:val="none"/>
                <w:lang w:val="en-US" w:eastAsia="zh-CN" w:bidi="ar"/>
              </w:rPr>
              <w:br w:type="textWrapping"/>
            </w:r>
            <w:r>
              <w:rPr>
                <w:rFonts w:hint="eastAsia" w:ascii="Times New Roman" w:hAnsi="Times New Roman" w:eastAsia="宋体"/>
                <w:color w:val="000000"/>
                <w:kern w:val="0"/>
                <w:sz w:val="18"/>
                <w:szCs w:val="18"/>
                <w:highlight w:val="none"/>
                <w:lang w:val="en-US" w:eastAsia="zh-CN" w:bidi="ar"/>
              </w:rPr>
              <w:t>C类100%</w:t>
            </w:r>
          </w:p>
        </w:tc>
        <w:tc>
          <w:tcPr>
            <w:tcW w:w="0" w:type="auto"/>
            <w:shd w:val="clear" w:color="auto" w:fill="auto"/>
            <w:vAlign w:val="center"/>
          </w:tcPr>
          <w:p w14:paraId="5807C3E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067FE16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c>
          <w:tcPr>
            <w:tcW w:w="0" w:type="auto"/>
            <w:shd w:val="clear" w:color="auto" w:fill="auto"/>
            <w:vAlign w:val="center"/>
          </w:tcPr>
          <w:p w14:paraId="022AE0F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5A563F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74BDD893">
            <w:pPr>
              <w:spacing w:line="240" w:lineRule="exact"/>
              <w:jc w:val="center"/>
              <w:rPr>
                <w:rFonts w:hint="default" w:ascii="Times New Roman" w:hAnsi="Times New Roman" w:eastAsia="宋体"/>
                <w:color w:val="000000"/>
                <w:kern w:val="0"/>
                <w:sz w:val="18"/>
                <w:szCs w:val="18"/>
                <w:lang w:val="en-US" w:eastAsia="zh-CN" w:bidi="ar"/>
              </w:rPr>
            </w:pPr>
            <w:r>
              <w:rPr>
                <w:rFonts w:hint="eastAsia" w:ascii="Times New Roman" w:hAnsi="Times New Roman"/>
                <w:color w:val="000000"/>
                <w:kern w:val="0"/>
                <w:sz w:val="18"/>
                <w:szCs w:val="18"/>
                <w:lang w:val="en-US" w:eastAsia="zh-CN" w:bidi="ar"/>
              </w:rPr>
              <w:t>51</w:t>
            </w:r>
          </w:p>
        </w:tc>
        <w:tc>
          <w:tcPr>
            <w:tcW w:w="0" w:type="auto"/>
            <w:shd w:val="clear" w:color="auto" w:fill="auto"/>
            <w:vAlign w:val="center"/>
          </w:tcPr>
          <w:p w14:paraId="177F5736">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color w:val="000000"/>
                <w:kern w:val="0"/>
                <w:sz w:val="18"/>
                <w:szCs w:val="18"/>
                <w:highlight w:val="none"/>
                <w:lang w:val="en-US" w:eastAsia="zh-CN" w:bidi="ar"/>
              </w:rPr>
              <w:t>银川市市场监督管理局金凤区分局</w:t>
            </w:r>
          </w:p>
        </w:tc>
        <w:tc>
          <w:tcPr>
            <w:tcW w:w="0" w:type="auto"/>
            <w:shd w:val="clear" w:color="auto" w:fill="auto"/>
            <w:vAlign w:val="center"/>
          </w:tcPr>
          <w:p w14:paraId="20B9D775">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流通领域电动自行车经营单位非法改装行为监督抽查</w:t>
            </w:r>
          </w:p>
        </w:tc>
        <w:tc>
          <w:tcPr>
            <w:tcW w:w="0" w:type="auto"/>
            <w:shd w:val="clear" w:color="auto" w:fill="auto"/>
            <w:vAlign w:val="center"/>
          </w:tcPr>
          <w:p w14:paraId="3C3819B8">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《中华人民共和国产品质量法》</w:t>
            </w:r>
            <w:r>
              <w:rPr>
                <w:rFonts w:hint="eastAsia" w:ascii="Times New Roman" w:hAnsi="Times New Roman"/>
                <w:color w:val="000000"/>
                <w:kern w:val="0"/>
                <w:sz w:val="18"/>
                <w:szCs w:val="18"/>
                <w:highlight w:val="none"/>
                <w:lang w:val="en-US" w:eastAsia="zh-CN" w:bidi="ar"/>
              </w:rPr>
              <w:t>第十八条</w:t>
            </w:r>
          </w:p>
        </w:tc>
        <w:tc>
          <w:tcPr>
            <w:tcW w:w="0" w:type="auto"/>
            <w:shd w:val="clear" w:color="auto" w:fill="auto"/>
            <w:vAlign w:val="center"/>
          </w:tcPr>
          <w:p w14:paraId="4AA2D36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电动自行车销售、租赁、维修企业</w:t>
            </w:r>
          </w:p>
        </w:tc>
        <w:tc>
          <w:tcPr>
            <w:tcW w:w="0" w:type="auto"/>
            <w:shd w:val="clear" w:color="auto" w:fill="auto"/>
            <w:vAlign w:val="center"/>
          </w:tcPr>
          <w:p w14:paraId="2D9C906B">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2025年3月至10月</w:t>
            </w:r>
          </w:p>
        </w:tc>
        <w:tc>
          <w:tcPr>
            <w:tcW w:w="0" w:type="auto"/>
            <w:shd w:val="clear" w:color="auto" w:fill="auto"/>
            <w:vAlign w:val="center"/>
          </w:tcPr>
          <w:p w14:paraId="6B2F540C">
            <w:pPr>
              <w:spacing w:line="240" w:lineRule="exact"/>
              <w:jc w:val="center"/>
              <w:rPr>
                <w:rFonts w:hint="default"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企业A类1%，B类30%，C类50%，D类100%</w:t>
            </w:r>
          </w:p>
        </w:tc>
        <w:tc>
          <w:tcPr>
            <w:tcW w:w="0" w:type="auto"/>
            <w:shd w:val="clear" w:color="auto" w:fill="auto"/>
            <w:vAlign w:val="center"/>
          </w:tcPr>
          <w:p w14:paraId="5D82D0B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不超过2次。针对投诉举报、转办交办等涉嫌违法行为，依法依规及时快速开展行政检查和调查核实，可以不受频次上限限制</w:t>
            </w:r>
          </w:p>
        </w:tc>
        <w:tc>
          <w:tcPr>
            <w:tcW w:w="0" w:type="auto"/>
            <w:shd w:val="clear" w:color="auto" w:fill="auto"/>
            <w:vAlign w:val="center"/>
          </w:tcPr>
          <w:p w14:paraId="423F89DD">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r>
              <w:rPr>
                <w:rFonts w:hint="eastAsia" w:ascii="Times New Roman" w:hAnsi="Times New Roman" w:eastAsia="宋体"/>
                <w:color w:val="000000"/>
                <w:kern w:val="0"/>
                <w:sz w:val="18"/>
                <w:szCs w:val="18"/>
                <w:highlight w:val="none"/>
                <w:lang w:val="en-US" w:eastAsia="zh-CN" w:bidi="ar"/>
              </w:rPr>
              <w:t>金凤区公安分局</w:t>
            </w:r>
          </w:p>
        </w:tc>
        <w:tc>
          <w:tcPr>
            <w:tcW w:w="0" w:type="auto"/>
            <w:shd w:val="clear" w:color="auto" w:fill="auto"/>
            <w:vAlign w:val="center"/>
          </w:tcPr>
          <w:p w14:paraId="335700A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52172B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36C83381">
            <w:pPr>
              <w:spacing w:line="240" w:lineRule="exact"/>
              <w:jc w:val="center"/>
              <w:rPr>
                <w:rFonts w:hint="default"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52</w:t>
            </w:r>
          </w:p>
        </w:tc>
        <w:tc>
          <w:tcPr>
            <w:tcW w:w="0" w:type="auto"/>
            <w:shd w:val="clear" w:color="auto" w:fill="auto"/>
            <w:vAlign w:val="center"/>
          </w:tcPr>
          <w:p w14:paraId="1C924708">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银川市金凤区应急管理局</w:t>
            </w:r>
          </w:p>
        </w:tc>
        <w:tc>
          <w:tcPr>
            <w:tcW w:w="0" w:type="auto"/>
            <w:shd w:val="clear" w:color="auto" w:fill="auto"/>
            <w:vAlign w:val="center"/>
          </w:tcPr>
          <w:p w14:paraId="0B595697">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对安全评价检测检验机构的监督检查</w:t>
            </w:r>
          </w:p>
        </w:tc>
        <w:tc>
          <w:tcPr>
            <w:tcW w:w="0" w:type="auto"/>
            <w:shd w:val="clear" w:color="auto" w:fill="auto"/>
            <w:vAlign w:val="center"/>
          </w:tcPr>
          <w:p w14:paraId="7141308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《安全评价检测检验机构管理办法》（2019年应急管理部令第1号）</w:t>
            </w:r>
          </w:p>
          <w:p w14:paraId="651CFC39">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第二十三条　资质认可机关应当建立健全安全评价检测检验机构资质认可、监督检查、属地管理的相关制度和程序，加强事中事后监管，并向社会公开监督检查情况和处理结果。国务院应急管理部门可以对资质认可机关开展资质认可等工作情况实施综合评估，发现涉及重大生产安全事故、存在违法违规认可等问题的，可以采取约谈、通报，撤销其资质认可决定，以及暂停其资质认可权等措施。</w:t>
            </w:r>
          </w:p>
        </w:tc>
        <w:tc>
          <w:tcPr>
            <w:tcW w:w="0" w:type="auto"/>
            <w:shd w:val="clear" w:color="auto" w:fill="auto"/>
            <w:vAlign w:val="center"/>
          </w:tcPr>
          <w:p w14:paraId="3F9DE9DC">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安全评价检测检验机构</w:t>
            </w:r>
          </w:p>
        </w:tc>
        <w:tc>
          <w:tcPr>
            <w:tcW w:w="0" w:type="auto"/>
            <w:shd w:val="clear" w:color="auto" w:fill="auto"/>
            <w:vAlign w:val="center"/>
          </w:tcPr>
          <w:p w14:paraId="05B05A22">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6E417930">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shd w:val="clear" w:color="auto" w:fill="auto"/>
            <w:vAlign w:val="center"/>
          </w:tcPr>
          <w:p w14:paraId="0305A84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根据安全评价检测检验机构执业情况配合自治区应急管理厅、银川市应急管理局进行监督检查或开展抽查。</w:t>
            </w:r>
          </w:p>
          <w:p w14:paraId="27AEF107">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shd w:val="clear" w:color="auto" w:fill="auto"/>
            <w:vAlign w:val="center"/>
          </w:tcPr>
          <w:p w14:paraId="02364D82">
            <w:pPr>
              <w:spacing w:line="240" w:lineRule="exact"/>
              <w:jc w:val="center"/>
              <w:rPr>
                <w:rFonts w:hint="eastAsia" w:ascii="Times New Roman" w:hAnsi="Times New Roman" w:eastAsia="宋体"/>
                <w:color w:val="000000"/>
                <w:kern w:val="0"/>
                <w:sz w:val="18"/>
                <w:szCs w:val="18"/>
                <w:highlight w:val="none"/>
                <w:lang w:val="en-US" w:eastAsia="zh-CN" w:bidi="ar"/>
              </w:rPr>
            </w:pPr>
          </w:p>
        </w:tc>
        <w:tc>
          <w:tcPr>
            <w:tcW w:w="0" w:type="auto"/>
            <w:shd w:val="clear" w:color="auto" w:fill="auto"/>
            <w:vAlign w:val="center"/>
          </w:tcPr>
          <w:p w14:paraId="49CE36DF">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16BC85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54B6B354">
            <w:pPr>
              <w:spacing w:line="240" w:lineRule="exact"/>
              <w:jc w:val="center"/>
              <w:rPr>
                <w:rFonts w:hint="default"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53</w:t>
            </w:r>
          </w:p>
        </w:tc>
        <w:tc>
          <w:tcPr>
            <w:tcW w:w="0" w:type="auto"/>
            <w:shd w:val="clear" w:color="auto" w:fill="auto"/>
            <w:vAlign w:val="center"/>
          </w:tcPr>
          <w:p w14:paraId="32D4FFEB">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银川市金凤区应急管理局</w:t>
            </w:r>
          </w:p>
        </w:tc>
        <w:tc>
          <w:tcPr>
            <w:tcW w:w="0" w:type="auto"/>
            <w:shd w:val="clear" w:color="auto" w:fill="auto"/>
            <w:vAlign w:val="center"/>
          </w:tcPr>
          <w:p w14:paraId="558C88CC">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对本行政区域内重点生产经营单位的生产安全事故应急救援预案演练的抽查</w:t>
            </w:r>
          </w:p>
        </w:tc>
        <w:tc>
          <w:tcPr>
            <w:tcW w:w="0" w:type="auto"/>
            <w:shd w:val="clear" w:color="auto" w:fill="auto"/>
            <w:vAlign w:val="center"/>
          </w:tcPr>
          <w:p w14:paraId="36B055A6">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《生产安全事故应急条例》（2019年国务院令第708号）</w:t>
            </w:r>
          </w:p>
          <w:p w14:paraId="63579EF9">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第八条第三款　县级以上地方人民政府负有安全生产监督管理职责的部门应当对本行政区域内前款规定的重点生产经营单位的生产安全事故应急救援预案演练进行抽查；发现演练不符合要求的，应当责令限期改正。</w:t>
            </w:r>
          </w:p>
          <w:p w14:paraId="45EFA8A2">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第二款　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tc>
        <w:tc>
          <w:tcPr>
            <w:tcW w:w="0" w:type="auto"/>
            <w:shd w:val="clear" w:color="auto" w:fill="auto"/>
            <w:vAlign w:val="center"/>
          </w:tcPr>
          <w:p w14:paraId="73C87F12">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危化、工贸</w:t>
            </w:r>
          </w:p>
        </w:tc>
        <w:tc>
          <w:tcPr>
            <w:tcW w:w="0" w:type="auto"/>
            <w:shd w:val="clear" w:color="auto" w:fill="auto"/>
            <w:vAlign w:val="center"/>
          </w:tcPr>
          <w:p w14:paraId="740690A2">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7F90E06C">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shd w:val="clear" w:color="auto" w:fill="auto"/>
            <w:vAlign w:val="center"/>
          </w:tcPr>
          <w:p w14:paraId="0B906C8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1、对高危行业领域企业年度内累计执法检查不超过12次。</w:t>
            </w:r>
          </w:p>
          <w:p w14:paraId="6C5750D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降低频次条件：对高危行业领域安全生产标准化一级企业年度内累计执法检查不超过2次，标准化二级企业累计不超过4次，标准化三级企业累计不超过8次，未进行标准化定级的企业年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降低频次条件：对一般事故隐患的整改，在依法采取现场处置措施的前提下，实行企业承诺制，在下次执法检查时一并开展，不单独开展现场复查；对重大事故隐患的整改，原则上开展现场复查，复查不纳入年度执法检查频次控制范围。</w:t>
            </w:r>
          </w:p>
          <w:p w14:paraId="2CBBD2C8">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4、对举报投诉、转办交办、数据监测、隐蔽工作面等线索确需实施的现场核查，或者应企业申请实施的执法检查，不受频次上限限制。</w:t>
            </w:r>
          </w:p>
        </w:tc>
        <w:tc>
          <w:tcPr>
            <w:tcW w:w="0" w:type="auto"/>
          </w:tcPr>
          <w:p w14:paraId="7BBB25FC">
            <w:pPr>
              <w:spacing w:line="240" w:lineRule="exact"/>
              <w:jc w:val="center"/>
              <w:rPr>
                <w:rFonts w:hint="eastAsia" w:ascii="Times New Roman" w:hAnsi="Times New Roman" w:eastAsia="宋体"/>
                <w:color w:val="000000"/>
                <w:kern w:val="0"/>
                <w:sz w:val="18"/>
                <w:szCs w:val="18"/>
                <w:highlight w:val="none"/>
                <w:lang w:val="en-US" w:eastAsia="zh-CN" w:bidi="ar"/>
              </w:rPr>
            </w:pPr>
          </w:p>
        </w:tc>
        <w:tc>
          <w:tcPr>
            <w:tcW w:w="0" w:type="auto"/>
          </w:tcPr>
          <w:p w14:paraId="17D426D8">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5BBDE6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0B28D496">
            <w:pPr>
              <w:spacing w:line="240" w:lineRule="exact"/>
              <w:jc w:val="center"/>
              <w:rPr>
                <w:rFonts w:hint="default"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54</w:t>
            </w:r>
          </w:p>
        </w:tc>
        <w:tc>
          <w:tcPr>
            <w:tcW w:w="0" w:type="auto"/>
            <w:shd w:val="clear" w:color="auto" w:fill="auto"/>
            <w:vAlign w:val="center"/>
          </w:tcPr>
          <w:p w14:paraId="38C73AE7">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银川市金凤区应急管理局</w:t>
            </w:r>
          </w:p>
        </w:tc>
        <w:tc>
          <w:tcPr>
            <w:tcW w:w="0" w:type="auto"/>
            <w:shd w:val="clear" w:color="auto" w:fill="auto"/>
            <w:vAlign w:val="center"/>
          </w:tcPr>
          <w:p w14:paraId="7E4A4EB7">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对生产经营单位安全培训及其持证上岗的情况的监督检查</w:t>
            </w:r>
          </w:p>
        </w:tc>
        <w:tc>
          <w:tcPr>
            <w:tcW w:w="0" w:type="auto"/>
            <w:shd w:val="clear" w:color="auto" w:fill="auto"/>
            <w:vAlign w:val="center"/>
          </w:tcPr>
          <w:p w14:paraId="7333B402">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生产经营单位安全培训规定》（2015年国家安全监管总局令第80号修正）第二十六条各级安全生产监管监察部门对生产经营单位安全培训及其持证上岗的情况进行监督检查，主要包括以下内容：（一）安全培训制度、计划的制定及其实施的情况；（二）煤矿、非煤矿山、危险化学品、烟花爆竹、金属冶炼等生产经营单位主要负责人和安全生产管理人员安全培训以及安全生产知识和管理能力考核的情况；其他生产经营单位主要负责人和安全生产管理人员培训的情况；（三）特种作业人员操作资格证持证上岗的情况；（四）建立安全生产教育和培训档案，并如实记录的情况；（五）对从业人员现场抽考本职工作的安全生产知识;（六）其他需要检查的内容。</w:t>
            </w:r>
          </w:p>
        </w:tc>
        <w:tc>
          <w:tcPr>
            <w:tcW w:w="0" w:type="auto"/>
            <w:shd w:val="clear" w:color="auto" w:fill="auto"/>
            <w:vAlign w:val="center"/>
          </w:tcPr>
          <w:p w14:paraId="7D0DD464">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危化、工贸</w:t>
            </w:r>
          </w:p>
        </w:tc>
        <w:tc>
          <w:tcPr>
            <w:tcW w:w="0" w:type="auto"/>
            <w:shd w:val="clear" w:color="auto" w:fill="auto"/>
            <w:vAlign w:val="center"/>
          </w:tcPr>
          <w:p w14:paraId="286CD4C7">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106B7411">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shd w:val="clear" w:color="auto" w:fill="auto"/>
            <w:vAlign w:val="center"/>
          </w:tcPr>
          <w:p w14:paraId="7F0EE260">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1、对高危行业领域企业（不含煤矿）年度内累计执法检查不超过12次。</w:t>
            </w:r>
          </w:p>
          <w:p w14:paraId="30689254">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降低频次条件：对高危行业领域安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针对投诉举报、转办交办、数据监测监控发现的严重违法行为等，依法依规及时快速开展执法检查和调查核实，可以不受频次上限限制</w:t>
            </w:r>
          </w:p>
          <w:p w14:paraId="6539B52E">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tcPr>
          <w:p w14:paraId="74D49480">
            <w:pPr>
              <w:spacing w:line="240" w:lineRule="exact"/>
              <w:jc w:val="center"/>
              <w:rPr>
                <w:rFonts w:hint="eastAsia" w:ascii="Times New Roman" w:hAnsi="Times New Roman" w:eastAsia="宋体"/>
                <w:color w:val="000000"/>
                <w:kern w:val="0"/>
                <w:sz w:val="18"/>
                <w:szCs w:val="18"/>
                <w:highlight w:val="none"/>
                <w:lang w:val="en-US" w:eastAsia="zh-CN" w:bidi="ar"/>
              </w:rPr>
            </w:pPr>
          </w:p>
        </w:tc>
        <w:tc>
          <w:tcPr>
            <w:tcW w:w="0" w:type="auto"/>
          </w:tcPr>
          <w:p w14:paraId="79B9055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0E4790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237B1A56">
            <w:pPr>
              <w:spacing w:line="240" w:lineRule="exact"/>
              <w:jc w:val="center"/>
              <w:rPr>
                <w:rFonts w:hint="default"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55</w:t>
            </w:r>
          </w:p>
        </w:tc>
        <w:tc>
          <w:tcPr>
            <w:tcW w:w="0" w:type="auto"/>
            <w:shd w:val="clear" w:color="auto" w:fill="auto"/>
            <w:vAlign w:val="center"/>
          </w:tcPr>
          <w:p w14:paraId="3CAE7DD0">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银川市金凤区应急管理局</w:t>
            </w:r>
          </w:p>
        </w:tc>
        <w:tc>
          <w:tcPr>
            <w:tcW w:w="0" w:type="auto"/>
            <w:shd w:val="clear" w:color="auto" w:fill="auto"/>
            <w:vAlign w:val="center"/>
          </w:tcPr>
          <w:p w14:paraId="0AB35952">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对建设项目“三同时”的验收</w:t>
            </w:r>
          </w:p>
        </w:tc>
        <w:tc>
          <w:tcPr>
            <w:tcW w:w="0" w:type="auto"/>
            <w:shd w:val="clear" w:color="auto" w:fill="auto"/>
            <w:vAlign w:val="center"/>
          </w:tcPr>
          <w:p w14:paraId="309FFE3D">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中华人民共和国安全生产法》（2021年修正）第三十一条生产经营单位新建、改建、扩建工程项目（以下统称建设项目）的安全设施，必须与主体工程同时设计、同时施工、同时投入生产和使用。安全设施投资应纳入建设项目概算。</w:t>
            </w:r>
          </w:p>
        </w:tc>
        <w:tc>
          <w:tcPr>
            <w:tcW w:w="0" w:type="auto"/>
            <w:shd w:val="clear" w:color="auto" w:fill="auto"/>
            <w:vAlign w:val="center"/>
          </w:tcPr>
          <w:p w14:paraId="64A1A897">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危化、工贸</w:t>
            </w:r>
          </w:p>
        </w:tc>
        <w:tc>
          <w:tcPr>
            <w:tcW w:w="0" w:type="auto"/>
            <w:shd w:val="clear" w:color="auto" w:fill="auto"/>
            <w:vAlign w:val="center"/>
          </w:tcPr>
          <w:p w14:paraId="6F8B8A8B">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5B242DAD">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shd w:val="clear" w:color="auto" w:fill="auto"/>
            <w:vAlign w:val="center"/>
          </w:tcPr>
          <w:p w14:paraId="655CFFA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对高危行业领域企业年度内累计执法检查不超过12次。</w:t>
            </w:r>
          </w:p>
          <w:p w14:paraId="34F9976D">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降低频次条件：、对高危行业领域企业（不含煤矿）年度内累计执法检查不超过12次。</w:t>
            </w:r>
          </w:p>
          <w:p w14:paraId="748B31BF">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降低频次条件：对高危行业领域安全生产标准化一级企业年度内累计执法检查不超过2次，标准化二级企业累计不超过4次，标准化三级企业累计不超过8次，未进行标准化定级的企业年度内累计执法检查不超过12次。对非高危行业领域安全生产标准化一级企业年度内累计执法检查不超过1次，标准化二级企业累计不超过2次，标准化三级企业累计不超过4次，未进行标准化定级的企业年度内累计执法检查不超过6次。针对投诉举报、转办交办、数据监测监控发现的严重违法行为等，依法依规及时快速开展执法检查和调查核实，可以不受频次上限限制</w:t>
            </w:r>
          </w:p>
          <w:p w14:paraId="754DA453">
            <w:pPr>
              <w:spacing w:line="240" w:lineRule="exact"/>
              <w:jc w:val="center"/>
              <w:rPr>
                <w:rFonts w:hint="eastAsia" w:ascii="Times New Roman" w:hAnsi="Times New Roman" w:eastAsia="宋体"/>
                <w:color w:val="000000"/>
                <w:kern w:val="0"/>
                <w:sz w:val="18"/>
                <w:szCs w:val="18"/>
                <w:lang w:val="en-US" w:eastAsia="zh-CN" w:bidi="ar"/>
              </w:rPr>
            </w:pPr>
          </w:p>
          <w:p w14:paraId="0AFD4576">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tcPr>
          <w:p w14:paraId="45EDEEF6">
            <w:pPr>
              <w:spacing w:line="240" w:lineRule="exact"/>
              <w:jc w:val="center"/>
              <w:rPr>
                <w:rFonts w:hint="eastAsia" w:ascii="Times New Roman" w:hAnsi="Times New Roman" w:eastAsia="宋体"/>
                <w:color w:val="000000"/>
                <w:kern w:val="0"/>
                <w:sz w:val="18"/>
                <w:szCs w:val="18"/>
                <w:highlight w:val="none"/>
                <w:lang w:val="en-US" w:eastAsia="zh-CN" w:bidi="ar"/>
              </w:rPr>
            </w:pPr>
          </w:p>
        </w:tc>
        <w:tc>
          <w:tcPr>
            <w:tcW w:w="0" w:type="auto"/>
          </w:tcPr>
          <w:p w14:paraId="69EFA203">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25E822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25D10AC9">
            <w:pPr>
              <w:spacing w:line="240" w:lineRule="exact"/>
              <w:jc w:val="center"/>
              <w:rPr>
                <w:rFonts w:hint="default"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56</w:t>
            </w:r>
          </w:p>
        </w:tc>
        <w:tc>
          <w:tcPr>
            <w:tcW w:w="0" w:type="auto"/>
            <w:shd w:val="clear" w:color="auto" w:fill="auto"/>
            <w:vAlign w:val="center"/>
          </w:tcPr>
          <w:p w14:paraId="58539717">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银川市金凤区应急管理局</w:t>
            </w:r>
          </w:p>
        </w:tc>
        <w:tc>
          <w:tcPr>
            <w:tcW w:w="0" w:type="auto"/>
            <w:shd w:val="clear" w:color="auto" w:fill="auto"/>
            <w:vAlign w:val="center"/>
          </w:tcPr>
          <w:p w14:paraId="580F52B1">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对安全培训机构执业情况的监督检查</w:t>
            </w:r>
          </w:p>
        </w:tc>
        <w:tc>
          <w:tcPr>
            <w:tcW w:w="0" w:type="auto"/>
            <w:shd w:val="clear" w:color="auto" w:fill="auto"/>
            <w:vAlign w:val="center"/>
          </w:tcPr>
          <w:p w14:paraId="2ADBD8E8">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安全生产培训管理办法》（2015年国家安全监管总局令第80号修正）第二十九条安全生产监督管理部门和煤矿安全培训监管机构应当对安全培训机构开展安全培训活动的情况进行监督检查，检查内容包括：（一）具备从事安全培训工作所需要的条件的情况；（二）建立培训管理制度和教师配备的情况；（三）执行培训大纲、建立培训档案和培训保障的情况；（四）培训收费的情况；（五）法律法规规定的其他内容。</w:t>
            </w:r>
          </w:p>
        </w:tc>
        <w:tc>
          <w:tcPr>
            <w:tcW w:w="0" w:type="auto"/>
            <w:shd w:val="clear" w:color="auto" w:fill="auto"/>
            <w:vAlign w:val="center"/>
          </w:tcPr>
          <w:p w14:paraId="5030F0B6">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安全培训机构</w:t>
            </w:r>
          </w:p>
        </w:tc>
        <w:tc>
          <w:tcPr>
            <w:tcW w:w="0" w:type="auto"/>
            <w:shd w:val="clear" w:color="auto" w:fill="auto"/>
            <w:vAlign w:val="center"/>
          </w:tcPr>
          <w:p w14:paraId="0D4A6DD9">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全年</w:t>
            </w:r>
          </w:p>
        </w:tc>
        <w:tc>
          <w:tcPr>
            <w:tcW w:w="0" w:type="auto"/>
            <w:shd w:val="clear" w:color="auto" w:fill="auto"/>
            <w:vAlign w:val="center"/>
          </w:tcPr>
          <w:p w14:paraId="307607DA">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shd w:val="clear" w:color="auto" w:fill="auto"/>
            <w:vAlign w:val="center"/>
          </w:tcPr>
          <w:p w14:paraId="66219792">
            <w:pPr>
              <w:spacing w:line="240" w:lineRule="exact"/>
              <w:jc w:val="center"/>
              <w:rPr>
                <w:rFonts w:hint="eastAsia" w:ascii="Times New Roman" w:hAnsi="Times New Roman" w:eastAsia="宋体"/>
                <w:color w:val="000000"/>
                <w:kern w:val="0"/>
                <w:sz w:val="18"/>
                <w:szCs w:val="18"/>
                <w:lang w:val="en-US" w:eastAsia="zh-CN" w:bidi="ar"/>
              </w:rPr>
            </w:pPr>
            <w:r>
              <w:rPr>
                <w:rFonts w:hint="eastAsia" w:ascii="Times New Roman" w:hAnsi="Times New Roman" w:eastAsia="宋体"/>
                <w:color w:val="000000"/>
                <w:kern w:val="0"/>
                <w:sz w:val="18"/>
                <w:szCs w:val="18"/>
                <w:lang w:val="en-US" w:eastAsia="zh-CN" w:bidi="ar"/>
              </w:rPr>
              <w:t>根据安全培训机构执业情况配合银川市应急管理局进行监督检查或开展抽查。</w:t>
            </w:r>
          </w:p>
          <w:p w14:paraId="37A17AA8">
            <w:pPr>
              <w:spacing w:line="240" w:lineRule="exact"/>
              <w:jc w:val="center"/>
              <w:rPr>
                <w:rFonts w:hint="eastAsia" w:ascii="Times New Roman" w:hAnsi="Times New Roman" w:eastAsia="宋体" w:cs="Times New Roman"/>
                <w:color w:val="000000"/>
                <w:kern w:val="0"/>
                <w:sz w:val="18"/>
                <w:szCs w:val="18"/>
                <w:lang w:val="en-US" w:eastAsia="zh-CN" w:bidi="ar"/>
              </w:rPr>
            </w:pPr>
          </w:p>
        </w:tc>
        <w:tc>
          <w:tcPr>
            <w:tcW w:w="0" w:type="auto"/>
          </w:tcPr>
          <w:p w14:paraId="15DC465C">
            <w:pPr>
              <w:spacing w:line="240" w:lineRule="exact"/>
              <w:jc w:val="center"/>
              <w:rPr>
                <w:rFonts w:hint="eastAsia" w:ascii="Times New Roman" w:hAnsi="Times New Roman" w:eastAsia="宋体"/>
                <w:color w:val="000000"/>
                <w:kern w:val="0"/>
                <w:sz w:val="18"/>
                <w:szCs w:val="18"/>
                <w:highlight w:val="none"/>
                <w:lang w:val="en-US" w:eastAsia="zh-CN" w:bidi="ar"/>
              </w:rPr>
            </w:pPr>
          </w:p>
        </w:tc>
        <w:tc>
          <w:tcPr>
            <w:tcW w:w="0" w:type="auto"/>
          </w:tcPr>
          <w:p w14:paraId="761655E1">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r w14:paraId="56FA70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84" w:hRule="atLeast"/>
          <w:jc w:val="center"/>
        </w:trPr>
        <w:tc>
          <w:tcPr>
            <w:tcW w:w="0" w:type="auto"/>
            <w:vAlign w:val="center"/>
          </w:tcPr>
          <w:p w14:paraId="73F27B8D">
            <w:pPr>
              <w:spacing w:line="240" w:lineRule="exact"/>
              <w:jc w:val="center"/>
              <w:rPr>
                <w:rFonts w:hint="default" w:ascii="Times New Roman" w:hAnsi="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57</w:t>
            </w:r>
          </w:p>
        </w:tc>
        <w:tc>
          <w:tcPr>
            <w:tcW w:w="0" w:type="auto"/>
            <w:shd w:val="clear" w:color="auto" w:fill="auto"/>
            <w:vAlign w:val="center"/>
          </w:tcPr>
          <w:p w14:paraId="4E4EB316">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银川市金凤区人力资源和社会保障局</w:t>
            </w:r>
          </w:p>
        </w:tc>
        <w:tc>
          <w:tcPr>
            <w:tcW w:w="0" w:type="auto"/>
            <w:shd w:val="clear" w:color="auto" w:fill="auto"/>
            <w:vAlign w:val="center"/>
          </w:tcPr>
          <w:p w14:paraId="5E991C07">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对企业劳动用工、建筑领域劳动用工、农民工实名制管理等情况的监督检查</w:t>
            </w:r>
          </w:p>
        </w:tc>
        <w:tc>
          <w:tcPr>
            <w:tcW w:w="0" w:type="auto"/>
            <w:shd w:val="clear" w:color="auto" w:fill="auto"/>
            <w:vAlign w:val="center"/>
          </w:tcPr>
          <w:p w14:paraId="0796D8D4">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劳动法》、《劳动合同法》《社会保险法》《工资支付暂行条例》《职工带薪年休假条例》《保障农民工工资支付条例》等，检查内容：1.规章制度、企业劳动合同签定及社会保险缴纳情况：用人单位直接涉及劳动者切身利益的规章制度是否违反法律、法规；用人单位提供的劳动合同文本是否载明劳动合同法规规定的劳动合同必备条款；用人单位是否将合同文本交付劳动者；缴费单位是否按规定公布本单位社会保险费缴纳情况，将缴费明细告知劳动者本人；2.特殊劳动保护：娱乐场所是否招用未成年人，用人单位是否使用童工；3. 职工休息休假情况：用人单位是否依法安排职工休年休假或对不休年休假职工支付年休假工资报酬、赔偿金；4.工资支付和最低工资标准：用人单位是否有下列行为之一：未按照劳动合同的约定或者国家规定及时足额支付劳动报酬；低于当地最低工资标准支付劳动者工资；安排加班不支付加班费；施工总承包单位是否按规定开设或者使用农民工工资专用账户；施工总承包单位是否按规定存储工资保证金或者提供金融机构保函；施工总承包单位、分包单位是否实行劳动用工实名制管理；</w:t>
            </w:r>
          </w:p>
        </w:tc>
        <w:tc>
          <w:tcPr>
            <w:tcW w:w="0" w:type="auto"/>
            <w:shd w:val="clear" w:color="auto" w:fill="auto"/>
            <w:vAlign w:val="center"/>
          </w:tcPr>
          <w:p w14:paraId="6AA8ABA5">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辖区企业、建筑领域</w:t>
            </w:r>
          </w:p>
        </w:tc>
        <w:tc>
          <w:tcPr>
            <w:tcW w:w="0" w:type="auto"/>
            <w:shd w:val="clear" w:color="auto" w:fill="auto"/>
            <w:vAlign w:val="center"/>
          </w:tcPr>
          <w:p w14:paraId="600C1692">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全年</w:t>
            </w:r>
          </w:p>
        </w:tc>
        <w:tc>
          <w:tcPr>
            <w:tcW w:w="0" w:type="auto"/>
            <w:shd w:val="clear" w:color="auto" w:fill="auto"/>
            <w:vAlign w:val="center"/>
          </w:tcPr>
          <w:p w14:paraId="595166AC">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100%</w:t>
            </w:r>
          </w:p>
        </w:tc>
        <w:tc>
          <w:tcPr>
            <w:tcW w:w="0" w:type="auto"/>
            <w:shd w:val="clear" w:color="auto" w:fill="auto"/>
            <w:vAlign w:val="center"/>
          </w:tcPr>
          <w:p w14:paraId="349BA85C">
            <w:pPr>
              <w:spacing w:line="240" w:lineRule="exact"/>
              <w:jc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color w:val="000000"/>
                <w:kern w:val="0"/>
                <w:sz w:val="18"/>
                <w:szCs w:val="18"/>
                <w:lang w:val="en-US" w:eastAsia="zh-CN" w:bidi="ar"/>
              </w:rPr>
              <w:t>一次</w:t>
            </w:r>
          </w:p>
        </w:tc>
        <w:tc>
          <w:tcPr>
            <w:tcW w:w="0" w:type="auto"/>
          </w:tcPr>
          <w:p w14:paraId="4A70BD72">
            <w:pPr>
              <w:spacing w:line="240" w:lineRule="exact"/>
              <w:jc w:val="center"/>
              <w:rPr>
                <w:rFonts w:hint="eastAsia" w:ascii="Times New Roman" w:hAnsi="Times New Roman" w:eastAsia="宋体"/>
                <w:color w:val="000000"/>
                <w:kern w:val="0"/>
                <w:sz w:val="18"/>
                <w:szCs w:val="18"/>
                <w:highlight w:val="none"/>
                <w:lang w:val="en-US" w:eastAsia="zh-CN" w:bidi="ar"/>
              </w:rPr>
            </w:pPr>
          </w:p>
        </w:tc>
        <w:tc>
          <w:tcPr>
            <w:tcW w:w="0" w:type="auto"/>
          </w:tcPr>
          <w:p w14:paraId="708DE9C9">
            <w:pPr>
              <w:spacing w:line="240" w:lineRule="exact"/>
              <w:jc w:val="center"/>
              <w:rPr>
                <w:rFonts w:hint="eastAsia" w:ascii="Times New Roman" w:hAnsi="Times New Roman" w:eastAsia="宋体" w:cs="Times New Roman"/>
                <w:color w:val="000000"/>
                <w:kern w:val="0"/>
                <w:sz w:val="18"/>
                <w:szCs w:val="18"/>
                <w:highlight w:val="none"/>
                <w:lang w:val="en-US" w:eastAsia="zh-CN" w:bidi="ar"/>
              </w:rPr>
            </w:pPr>
          </w:p>
        </w:tc>
      </w:tr>
    </w:tbl>
    <w:p w14:paraId="68294E3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jk3YzZjNmUxNGNmZWUwNmUxNDY4Y2QwNjFkNWEifQ=="/>
  </w:docVars>
  <w:rsids>
    <w:rsidRoot w:val="63F5373F"/>
    <w:rsid w:val="06CF3887"/>
    <w:rsid w:val="0BF26547"/>
    <w:rsid w:val="1FE7ABB6"/>
    <w:rsid w:val="273D2914"/>
    <w:rsid w:val="35F70353"/>
    <w:rsid w:val="36104342"/>
    <w:rsid w:val="3735FF86"/>
    <w:rsid w:val="3774310E"/>
    <w:rsid w:val="37D69BEF"/>
    <w:rsid w:val="3BFFB9EA"/>
    <w:rsid w:val="3E7FEAFE"/>
    <w:rsid w:val="3FF75E57"/>
    <w:rsid w:val="484502F1"/>
    <w:rsid w:val="4EFFB711"/>
    <w:rsid w:val="4FFF4DF6"/>
    <w:rsid w:val="56BC9848"/>
    <w:rsid w:val="5B2C1774"/>
    <w:rsid w:val="5E7F97B8"/>
    <w:rsid w:val="5F33AFA0"/>
    <w:rsid w:val="6227DC8C"/>
    <w:rsid w:val="63F151A9"/>
    <w:rsid w:val="63F5373F"/>
    <w:rsid w:val="6FEB916F"/>
    <w:rsid w:val="6FF7BD89"/>
    <w:rsid w:val="755F6E7B"/>
    <w:rsid w:val="75F71963"/>
    <w:rsid w:val="777F1762"/>
    <w:rsid w:val="77BA43BC"/>
    <w:rsid w:val="77FF1D0D"/>
    <w:rsid w:val="79ADF1A3"/>
    <w:rsid w:val="7ADB44F9"/>
    <w:rsid w:val="7B37F7C3"/>
    <w:rsid w:val="7BBA37C2"/>
    <w:rsid w:val="7BF2A681"/>
    <w:rsid w:val="7C5D33CA"/>
    <w:rsid w:val="7E978A0A"/>
    <w:rsid w:val="7FD37165"/>
    <w:rsid w:val="7FDF2E6C"/>
    <w:rsid w:val="99ED806B"/>
    <w:rsid w:val="ADFD1AFC"/>
    <w:rsid w:val="B3FFAF34"/>
    <w:rsid w:val="B77FC6E7"/>
    <w:rsid w:val="BBFF2B98"/>
    <w:rsid w:val="D39492B3"/>
    <w:rsid w:val="D55D4C25"/>
    <w:rsid w:val="D5FFE04F"/>
    <w:rsid w:val="D7ED01F3"/>
    <w:rsid w:val="DBE931A0"/>
    <w:rsid w:val="DCBE2B41"/>
    <w:rsid w:val="DF7A70A6"/>
    <w:rsid w:val="DFFB9126"/>
    <w:rsid w:val="E2BBF04D"/>
    <w:rsid w:val="E6FBF164"/>
    <w:rsid w:val="E7EFD248"/>
    <w:rsid w:val="EF7E8427"/>
    <w:rsid w:val="EFFF670D"/>
    <w:rsid w:val="F4BBDE4E"/>
    <w:rsid w:val="F6D95D83"/>
    <w:rsid w:val="F7F52C8F"/>
    <w:rsid w:val="F7F53555"/>
    <w:rsid w:val="FB9F194A"/>
    <w:rsid w:val="FC6FE78C"/>
    <w:rsid w:val="FD9FBC31"/>
    <w:rsid w:val="FF6F927A"/>
    <w:rsid w:val="FF7EB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jc w:val="left"/>
    </w:pPr>
    <w:rPr>
      <w:rFonts w:ascii="宋体" w:hAnsi="宋体" w:eastAsia="宋体" w:cs="宋体"/>
      <w:kern w:val="0"/>
      <w:sz w:val="24"/>
      <w:szCs w:val="24"/>
      <w:lang w:val="en-US" w:eastAsia="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9049</Words>
  <Characters>9521</Characters>
  <Lines>0</Lines>
  <Paragraphs>0</Paragraphs>
  <TotalTime>68</TotalTime>
  <ScaleCrop>false</ScaleCrop>
  <LinksUpToDate>false</LinksUpToDate>
  <CharactersWithSpaces>9628</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2025-05-30T00:13:00Z</dcterms:created>
  <dc:creator>181----6642</dc:creator>
  <cp:lastModifiedBy>kos</cp:lastModifiedBy>
  <cp:lastPrinted>2025-06-10T18:02:55Z</cp:lastPrinted>
  <dcterms:modified xsi:type="dcterms:W3CDTF">2025-06-10T18:29:22Z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38D923FAC37249B2BA79FB5727027301_13</vt:lpwstr>
  </property>
  <property fmtid="{D5CDD505-2E9C-101B-9397-08002B2CF9AE}" pid="4" name="KSOTemplateDocerSaveRecord">
    <vt:lpwstr>eyJoZGlkIjoiN2E0MDE2ZWQwMjVjYzA2NTdlOTAyZGQ1YWFlYTBkMWEiLCJ1c2VySWQiOiIxNjI4NTI4MDc1In0=</vt:lpwstr>
  </property>
</Properties>
</file>