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eastAsia="仿宋_GB2312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2022年度金凤区人民政府重大行政决策事项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后评估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45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765"/>
        <w:gridCol w:w="4350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  <w:t>后评估情况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银川市金凤区粮食和物资储备“十四五”发展规划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（2021～2025年）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金凤区发展和改革局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拟中止执行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“多规合一”实用性村庄规划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金凤区自然资源局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执行完结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重大国有资产处置事项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金凤区国有资产投资控股有限公司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执行完结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银川市金凤区第四十一中学项目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金凤区国有资产投资控股有限公司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拟继续执行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金凤区五里湖畔幼儿园项目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金凤区国有资产投资控股有限公司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拟继续执行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金凤区元宝湖生态环境治理项目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金凤区国有资产投资控股有限公司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32"/>
                <w:szCs w:val="32"/>
                <w:shd w:val="clear" w:color="auto" w:fill="FFFFFF"/>
                <w:lang w:val="en-US" w:eastAsia="zh-CN" w:bidi="ar-SA"/>
              </w:rPr>
              <w:t>执行完结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5779"/>
    <w:rsid w:val="42845779"/>
    <w:rsid w:val="4E7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2023-07-13T02:28:00Z</dcterms:created>
  <dc:creator>游沙沙沙</dc:creator>
  <cp:lastModifiedBy>游沙沙沙</cp:lastModifiedBy>
  <dcterms:modified xsi:type="dcterms:W3CDTF">2023-07-13T02:29:20Z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CF4443E5C5EC45B79508983C1BB6F3DC</vt:lpwstr>
  </property>
</Properties>
</file>