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宋体" w:hAnsi="宋体" w:eastAsia="宋体"/>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rPr>
        <w:t>金凤区楼宇经济</w:t>
      </w:r>
      <w:r>
        <w:rPr>
          <w:rFonts w:hint="eastAsia" w:ascii="黑体" w:hAnsi="黑体" w:eastAsia="黑体" w:cs="黑体"/>
          <w:color w:val="auto"/>
          <w:sz w:val="52"/>
          <w:szCs w:val="52"/>
          <w:highlight w:val="none"/>
          <w:lang w:eastAsia="zh-CN"/>
        </w:rPr>
        <w:t>发展三年行动方案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楷体_GB2312" w:hAnsi="楷体_GB2312" w:eastAsia="楷体_GB2312" w:cs="楷体_GB2312"/>
          <w:color w:val="auto"/>
          <w:sz w:val="44"/>
          <w:szCs w:val="44"/>
          <w:highlight w:val="none"/>
        </w:rPr>
      </w:pPr>
      <w:r>
        <w:rPr>
          <w:rFonts w:hint="eastAsia" w:ascii="楷体_GB2312" w:hAnsi="楷体_GB2312" w:eastAsia="楷体_GB2312" w:cs="楷体_GB2312"/>
          <w:color w:val="auto"/>
          <w:sz w:val="44"/>
          <w:szCs w:val="44"/>
          <w:highlight w:val="none"/>
        </w:rPr>
        <w:t>（202</w:t>
      </w:r>
      <w:r>
        <w:rPr>
          <w:rFonts w:hint="eastAsia" w:ascii="楷体_GB2312" w:hAnsi="楷体_GB2312" w:eastAsia="楷体_GB2312" w:cs="楷体_GB2312"/>
          <w:color w:val="auto"/>
          <w:sz w:val="44"/>
          <w:szCs w:val="44"/>
          <w:highlight w:val="none"/>
          <w:lang w:val="en-US" w:eastAsia="zh-CN"/>
        </w:rPr>
        <w:t>4</w:t>
      </w:r>
      <w:r>
        <w:rPr>
          <w:rFonts w:hint="eastAsia" w:ascii="楷体_GB2312" w:hAnsi="楷体_GB2312" w:eastAsia="楷体_GB2312" w:cs="楷体_GB2312"/>
          <w:color w:val="auto"/>
          <w:sz w:val="44"/>
          <w:szCs w:val="44"/>
          <w:highlight w:val="none"/>
        </w:rPr>
        <w:t>—2026年）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color w:val="auto"/>
          <w:sz w:val="44"/>
          <w:szCs w:val="44"/>
          <w:highlight w:val="none"/>
          <w:lang w:eastAsia="zh-CN"/>
        </w:rPr>
      </w:pPr>
      <w:r>
        <w:rPr>
          <w:rFonts w:hint="eastAsia" w:ascii="楷体_GB2312" w:hAnsi="楷体_GB2312" w:eastAsia="楷体_GB2312" w:cs="楷体_GB2312"/>
          <w:color w:val="auto"/>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ascii="宋体" w:hAnsi="宋体" w:eastAsia="宋体"/>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楷体" w:hAnsi="楷体" w:eastAsia="楷体" w:cs="楷体"/>
          <w:b/>
          <w:bCs/>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lang w:eastAsia="zh-CN"/>
        </w:rPr>
        <w:t>金凤区发展和改革局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二〇二</w:t>
      </w:r>
      <w:r>
        <w:rPr>
          <w:rFonts w:hint="eastAsia" w:ascii="楷体" w:hAnsi="楷体" w:eastAsia="楷体" w:cs="楷体"/>
          <w:b/>
          <w:bCs/>
          <w:color w:val="auto"/>
          <w:sz w:val="30"/>
          <w:szCs w:val="30"/>
          <w:highlight w:val="none"/>
          <w:lang w:eastAsia="zh-CN"/>
        </w:rPr>
        <w:t>三</w:t>
      </w:r>
      <w:r>
        <w:rPr>
          <w:rFonts w:hint="eastAsia" w:ascii="楷体" w:hAnsi="楷体" w:eastAsia="楷体" w:cs="楷体"/>
          <w:b/>
          <w:bCs/>
          <w:color w:val="auto"/>
          <w:sz w:val="30"/>
          <w:szCs w:val="30"/>
          <w:highlight w:val="none"/>
        </w:rPr>
        <w:t>年</w:t>
      </w:r>
      <w:r>
        <w:rPr>
          <w:rFonts w:hint="eastAsia" w:ascii="楷体" w:hAnsi="楷体" w:eastAsia="楷体" w:cs="楷体"/>
          <w:b/>
          <w:bCs/>
          <w:color w:val="auto"/>
          <w:sz w:val="30"/>
          <w:szCs w:val="30"/>
          <w:highlight w:val="none"/>
          <w:lang w:eastAsia="zh-CN"/>
        </w:rPr>
        <w:t>十二</w:t>
      </w:r>
      <w:r>
        <w:rPr>
          <w:rFonts w:hint="eastAsia" w:ascii="楷体" w:hAnsi="楷体" w:eastAsia="楷体" w:cs="楷体"/>
          <w:b/>
          <w:bCs/>
          <w:color w:val="auto"/>
          <w:sz w:val="30"/>
          <w:szCs w:val="30"/>
          <w:highlight w:val="none"/>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b/>
          <w:bCs/>
          <w:color w:val="auto"/>
          <w:sz w:val="30"/>
          <w:szCs w:val="30"/>
          <w:highlight w:val="none"/>
        </w:rPr>
        <w:sectPr>
          <w:pgSz w:w="11849" w:h="16781"/>
          <w:pgMar w:top="1440" w:right="1803" w:bottom="1440" w:left="1803" w:header="850" w:footer="992" w:gutter="0"/>
          <w:pgNumType w:fmt="numberInDash" w:start="1"/>
          <w:cols w:space="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rPr>
          <w:rFonts w:hint="eastAsia" w:ascii="黑体" w:hAnsi="黑体" w:eastAsia="黑体" w:cs="黑体"/>
          <w:b w:val="0"/>
          <w:color w:val="auto"/>
          <w:kern w:val="2"/>
          <w:sz w:val="52"/>
          <w:szCs w:val="52"/>
          <w:highlight w:val="none"/>
          <w:lang w:val="en-US" w:eastAsia="zh-CN" w:bidi="ar-SA"/>
        </w:rPr>
      </w:pPr>
      <w:bookmarkStart w:id="0" w:name="_Hlk144459765"/>
      <w:r>
        <w:rPr>
          <w:rFonts w:hint="eastAsia" w:ascii="黑体" w:hAnsi="黑体" w:eastAsia="黑体" w:cs="黑体"/>
          <w:b w:val="0"/>
          <w:color w:val="auto"/>
          <w:kern w:val="2"/>
          <w:sz w:val="52"/>
          <w:szCs w:val="52"/>
          <w:highlight w:val="none"/>
          <w:lang w:val="en-US" w:eastAsia="zh-CN" w:bidi="ar-SA"/>
        </w:rPr>
        <w:t>金凤区楼宇经济发展三年行动方案</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（202</w:t>
      </w:r>
      <w:r>
        <w:rPr>
          <w:rFonts w:hint="default" w:ascii="Times New Roman" w:hAnsi="Times New Roman" w:eastAsia="楷体_GB2312" w:cs="Times New Roman"/>
          <w:color w:val="auto"/>
          <w:lang w:val="en-US" w:eastAsia="zh-CN"/>
        </w:rPr>
        <w:t>4</w:t>
      </w:r>
      <w:r>
        <w:rPr>
          <w:rFonts w:hint="default" w:ascii="Times New Roman" w:hAnsi="Times New Roman" w:eastAsia="楷体_GB2312" w:cs="Times New Roman"/>
          <w:color w:val="auto"/>
        </w:rPr>
        <w:t>—202</w:t>
      </w:r>
      <w:r>
        <w:rPr>
          <w:rFonts w:hint="default" w:ascii="Times New Roman" w:hAnsi="Times New Roman" w:eastAsia="楷体_GB2312" w:cs="Times New Roman"/>
          <w:color w:val="auto"/>
          <w:lang w:val="en-US" w:eastAsia="zh-CN"/>
        </w:rPr>
        <w:t>6</w:t>
      </w:r>
      <w:r>
        <w:rPr>
          <w:rFonts w:hint="default" w:ascii="Times New Roman" w:hAnsi="Times New Roman" w:eastAsia="楷体_GB2312" w:cs="Times New Roman"/>
          <w:color w:val="auto"/>
        </w:rPr>
        <w:t>年）</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lang w:eastAsia="zh-CN"/>
        </w:rPr>
        <w:t>（</w:t>
      </w:r>
      <w:r>
        <w:rPr>
          <w:rFonts w:hint="eastAsia" w:eastAsia="楷体_GB2312" w:cs="Times New Roman"/>
          <w:color w:val="auto"/>
          <w:lang w:eastAsia="zh-CN"/>
        </w:rPr>
        <w:t>征求意见</w:t>
      </w:r>
      <w:r>
        <w:rPr>
          <w:rFonts w:hint="default" w:ascii="Times New Roman" w:hAnsi="Times New Roman" w:eastAsia="楷体_GB2312" w:cs="Times New Roman"/>
          <w:color w:val="auto"/>
          <w:lang w:eastAsia="zh-CN"/>
        </w:rPr>
        <w:t>稿）</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auto"/>
        </w:rPr>
      </w:pPr>
    </w:p>
    <w:p>
      <w:pPr>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r>
        <w:rPr>
          <w:rFonts w:hint="eastAsia"/>
          <w:color w:val="auto"/>
          <w:lang w:eastAsia="zh-CN"/>
        </w:rPr>
        <w:t>面对新阶段、新机遇，大力发展楼宇经济有利于促进金凤区产业结构调整，加快新旧动能转换，激发经济内生发展动力。为落实银川市“强首府”战略，进一步优化金凤区楼宇经济发展空间、盘活存量资源，提高楼宇产出效益，特</w:t>
      </w:r>
      <w:r>
        <w:rPr>
          <w:rFonts w:hint="eastAsia"/>
          <w:color w:val="auto"/>
        </w:rPr>
        <w:t>制定本行动</w:t>
      </w:r>
      <w:r>
        <w:rPr>
          <w:rFonts w:hint="eastAsia"/>
          <w:color w:val="auto"/>
          <w:lang w:eastAsia="zh-CN"/>
        </w:rPr>
        <w:t>方案。</w:t>
      </w: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3"/>
        <w:jc w:val="both"/>
        <w:textAlignment w:val="auto"/>
        <w:rPr>
          <w:rFonts w:hint="eastAsia" w:ascii="Times New Roman" w:hAnsi="Times New Roman" w:cs="Times New Roman"/>
          <w:b w:val="0"/>
          <w:bCs/>
          <w:color w:val="auto"/>
          <w:highlight w:val="none"/>
          <w:lang w:eastAsia="zh-CN"/>
        </w:rPr>
      </w:pPr>
      <w:r>
        <w:rPr>
          <w:rFonts w:hint="eastAsia" w:ascii="Times New Roman" w:hAnsi="Times New Roman" w:cs="Times New Roman"/>
          <w:b w:val="0"/>
          <w:bCs/>
          <w:color w:val="auto"/>
          <w:highlight w:val="none"/>
          <w:lang w:eastAsia="zh-CN"/>
        </w:rPr>
        <w:t>一、指导思想</w:t>
      </w:r>
    </w:p>
    <w:p>
      <w:pPr>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color w:val="auto"/>
          <w:highlight w:val="none"/>
          <w:lang w:eastAsia="zh-CN"/>
        </w:rPr>
      </w:pPr>
      <w:r>
        <w:rPr>
          <w:color w:val="auto"/>
          <w:highlight w:val="none"/>
        </w:rPr>
        <w:t>以习近平新时代中国特色社会主义思想为指导，</w:t>
      </w:r>
      <w:r>
        <w:rPr>
          <w:rFonts w:hint="eastAsia"/>
          <w:color w:val="auto"/>
          <w:highlight w:val="none"/>
          <w:lang w:eastAsia="zh-CN"/>
        </w:rPr>
        <w:t>以</w:t>
      </w:r>
      <w:r>
        <w:rPr>
          <w:rFonts w:hint="eastAsia"/>
          <w:color w:val="auto"/>
          <w:highlight w:val="none"/>
        </w:rPr>
        <w:t>习近平总书记视察宁夏重要讲话</w:t>
      </w:r>
      <w:r>
        <w:rPr>
          <w:rFonts w:hint="eastAsia"/>
          <w:color w:val="auto"/>
          <w:highlight w:val="none"/>
          <w:lang w:eastAsia="zh-CN"/>
        </w:rPr>
        <w:t>指示批示</w:t>
      </w:r>
      <w:r>
        <w:rPr>
          <w:rFonts w:hint="eastAsia"/>
          <w:color w:val="auto"/>
          <w:highlight w:val="none"/>
        </w:rPr>
        <w:t>精神</w:t>
      </w:r>
      <w:r>
        <w:rPr>
          <w:rFonts w:hint="eastAsia"/>
          <w:color w:val="auto"/>
          <w:highlight w:val="none"/>
          <w:lang w:eastAsia="zh-CN"/>
        </w:rPr>
        <w:t>为统揽</w:t>
      </w:r>
      <w:r>
        <w:rPr>
          <w:rFonts w:hint="eastAsia"/>
          <w:color w:val="auto"/>
          <w:highlight w:val="none"/>
        </w:rPr>
        <w:t>，</w:t>
      </w:r>
      <w:r>
        <w:rPr>
          <w:rFonts w:hint="eastAsia"/>
          <w:color w:val="auto"/>
          <w:highlight w:val="none"/>
          <w:lang w:eastAsia="zh-CN"/>
        </w:rPr>
        <w:t>以发展楼宇经济为切入点，</w:t>
      </w:r>
      <w:r>
        <w:rPr>
          <w:rFonts w:hint="eastAsia" w:ascii="Times New Roman" w:hAnsi="Times New Roman"/>
          <w:color w:val="auto"/>
          <w:highlight w:val="none"/>
          <w:lang w:eastAsia="zh-CN"/>
        </w:rPr>
        <w:t>培育经济增长新引擎，建立产业链融合发展新体系，</w:t>
      </w:r>
      <w:r>
        <w:rPr>
          <w:rFonts w:hint="eastAsia"/>
          <w:color w:val="auto"/>
          <w:highlight w:val="none"/>
          <w:lang w:eastAsia="zh-CN"/>
        </w:rPr>
        <w:t>突出街道主导，强调部门协作，激活市场主体，按照“一年试点、两年成型、三年推广”的行动目标</w:t>
      </w:r>
      <w:r>
        <w:rPr>
          <w:color w:val="auto"/>
          <w:highlight w:val="none"/>
        </w:rPr>
        <w:t>，</w:t>
      </w:r>
      <w:r>
        <w:rPr>
          <w:rFonts w:hint="eastAsia"/>
          <w:color w:val="auto"/>
          <w:highlight w:val="none"/>
          <w:lang w:eastAsia="zh-CN"/>
        </w:rPr>
        <w:t>用三年时间</w:t>
      </w:r>
      <w:r>
        <w:rPr>
          <w:color w:val="auto"/>
          <w:highlight w:val="none"/>
        </w:rPr>
        <w:t>使楼宇经济</w:t>
      </w:r>
      <w:r>
        <w:rPr>
          <w:rFonts w:hint="eastAsia"/>
          <w:color w:val="auto"/>
          <w:highlight w:val="none"/>
          <w:lang w:eastAsia="zh-CN"/>
        </w:rPr>
        <w:t>成为金凤区赋能“高质量发展、高品质生活、高效能治理”、全面提升中心城区首位度的有力举措和实践要务。</w:t>
      </w: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3"/>
        <w:jc w:val="both"/>
        <w:textAlignment w:val="auto"/>
        <w:rPr>
          <w:rFonts w:hint="eastAsia" w:ascii="Times New Roman" w:hAnsi="Times New Roman" w:eastAsia="黑体" w:cs="Times New Roman"/>
          <w:b w:val="0"/>
          <w:bCs/>
          <w:color w:val="auto"/>
          <w:highlight w:val="none"/>
          <w:lang w:val="en-US" w:eastAsia="zh-CN"/>
        </w:rPr>
      </w:pPr>
      <w:r>
        <w:rPr>
          <w:rFonts w:hint="eastAsia" w:ascii="Times New Roman" w:hAnsi="Times New Roman" w:cs="Times New Roman"/>
          <w:b w:val="0"/>
          <w:bCs/>
          <w:color w:val="auto"/>
          <w:highlight w:val="none"/>
          <w:lang w:eastAsia="zh-CN"/>
        </w:rPr>
        <w:t>二、</w:t>
      </w:r>
      <w:r>
        <w:rPr>
          <w:rFonts w:hint="eastAsia" w:cs="Times New Roman"/>
          <w:b w:val="0"/>
          <w:bCs/>
          <w:color w:val="auto"/>
          <w:highlight w:val="none"/>
          <w:lang w:eastAsia="zh-CN"/>
        </w:rPr>
        <w:t>发展现状</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b w:val="0"/>
          <w:bCs w:val="0"/>
          <w:kern w:val="2"/>
          <w:sz w:val="32"/>
          <w:szCs w:val="32"/>
          <w:lang w:val="en-US" w:eastAsia="zh-CN" w:bidi="ar-SA"/>
        </w:rPr>
      </w:pPr>
      <w:r>
        <w:rPr>
          <w:rFonts w:hint="eastAsia" w:ascii="Times New Roman" w:hAnsi="Times New Roman" w:cs="Times New Roman"/>
          <w:color w:val="auto"/>
          <w:szCs w:val="32"/>
          <w:highlight w:val="none"/>
          <w:lang w:eastAsia="zh-CN"/>
        </w:rPr>
        <w:t>目前，金凤区</w:t>
      </w:r>
      <w:r>
        <w:rPr>
          <w:rFonts w:hint="eastAsia" w:cs="Times New Roman"/>
          <w:color w:val="auto"/>
          <w:szCs w:val="32"/>
          <w:highlight w:val="none"/>
          <w:lang w:eastAsia="zh-CN"/>
        </w:rPr>
        <w:t>现已运营各类商务、商业等</w:t>
      </w:r>
      <w:r>
        <w:rPr>
          <w:rFonts w:hint="eastAsia" w:ascii="Times New Roman" w:hAnsi="Times New Roman" w:cs="Times New Roman"/>
          <w:color w:val="auto"/>
          <w:szCs w:val="32"/>
          <w:highlight w:val="none"/>
          <w:lang w:eastAsia="zh-CN"/>
        </w:rPr>
        <w:t>楼宇共</w:t>
      </w:r>
      <w:r>
        <w:rPr>
          <w:rFonts w:hint="eastAsia" w:ascii="Times New Roman" w:hAnsi="Times New Roman" w:cs="Times New Roman"/>
          <w:color w:val="auto"/>
          <w:szCs w:val="32"/>
          <w:highlight w:val="none"/>
          <w:lang w:val="en-US" w:eastAsia="zh-CN"/>
        </w:rPr>
        <w:t>99</w:t>
      </w:r>
      <w:r>
        <w:rPr>
          <w:rFonts w:hint="eastAsia" w:cs="Times New Roman"/>
          <w:color w:val="auto"/>
          <w:szCs w:val="32"/>
          <w:highlight w:val="none"/>
          <w:lang w:val="en-US" w:eastAsia="zh-CN"/>
        </w:rPr>
        <w:t>栋</w:t>
      </w:r>
      <w:r>
        <w:rPr>
          <w:rFonts w:hint="eastAsia" w:ascii="Times New Roman" w:hAnsi="Times New Roman" w:cs="Times New Roman"/>
          <w:color w:val="auto"/>
          <w:szCs w:val="32"/>
          <w:highlight w:val="none"/>
          <w:lang w:val="en-US" w:eastAsia="zh-CN"/>
        </w:rPr>
        <w:t>，总建筑面积</w:t>
      </w:r>
      <w:r>
        <w:rPr>
          <w:rFonts w:hint="eastAsia" w:cs="Times New Roman"/>
          <w:color w:val="auto"/>
          <w:szCs w:val="32"/>
          <w:highlight w:val="none"/>
          <w:lang w:val="en-US" w:eastAsia="zh-CN"/>
        </w:rPr>
        <w:t>超过500</w:t>
      </w:r>
      <w:r>
        <w:rPr>
          <w:rFonts w:hint="eastAsia" w:ascii="Times New Roman" w:hAnsi="Times New Roman" w:cs="Times New Roman"/>
          <w:color w:val="auto"/>
          <w:szCs w:val="32"/>
          <w:highlight w:val="none"/>
          <w:lang w:val="en-US" w:eastAsia="zh-CN"/>
        </w:rPr>
        <w:t>万平方米，入驻企业</w:t>
      </w:r>
      <w:r>
        <w:rPr>
          <w:rFonts w:hint="eastAsia" w:cs="Times New Roman"/>
          <w:color w:val="auto"/>
          <w:szCs w:val="32"/>
          <w:highlight w:val="none"/>
          <w:lang w:val="en-US" w:eastAsia="zh-CN"/>
        </w:rPr>
        <w:t>超过3000</w:t>
      </w:r>
      <w:r>
        <w:rPr>
          <w:rFonts w:hint="eastAsia" w:ascii="Times New Roman" w:hAnsi="Times New Roman" w:cs="Times New Roman"/>
          <w:color w:val="auto"/>
          <w:szCs w:val="32"/>
          <w:highlight w:val="none"/>
          <w:lang w:val="en-US" w:eastAsia="zh-CN"/>
        </w:rPr>
        <w:t>家。</w:t>
      </w:r>
      <w:r>
        <w:rPr>
          <w:rFonts w:hint="eastAsia" w:ascii="Times New Roman" w:hAnsi="Times New Roman" w:cs="Times New Roman"/>
          <w:b/>
          <w:bCs/>
          <w:kern w:val="2"/>
          <w:sz w:val="32"/>
          <w:szCs w:val="32"/>
          <w:lang w:val="en-US" w:eastAsia="zh-CN" w:bidi="ar-SA"/>
        </w:rPr>
        <w:t>从</w:t>
      </w:r>
      <w:r>
        <w:rPr>
          <w:rFonts w:hint="default" w:ascii="Times New Roman" w:hAnsi="Times New Roman" w:cs="Times New Roman"/>
          <w:b/>
          <w:bCs/>
          <w:kern w:val="2"/>
          <w:sz w:val="32"/>
          <w:szCs w:val="32"/>
          <w:lang w:val="en-US" w:eastAsia="zh-CN" w:bidi="ar-SA"/>
        </w:rPr>
        <w:t>行业结构</w:t>
      </w:r>
      <w:r>
        <w:rPr>
          <w:rFonts w:hint="eastAsia" w:ascii="Times New Roman" w:hAnsi="Times New Roman" w:cs="Times New Roman"/>
          <w:b/>
          <w:bCs/>
          <w:kern w:val="2"/>
          <w:sz w:val="32"/>
          <w:szCs w:val="32"/>
          <w:lang w:val="en-US" w:eastAsia="zh-CN" w:bidi="ar-SA"/>
        </w:rPr>
        <w:t>来看，</w:t>
      </w:r>
      <w:r>
        <w:rPr>
          <w:rFonts w:hint="default" w:ascii="Times New Roman" w:hAnsi="Times New Roman" w:cs="Times New Roman"/>
          <w:b w:val="0"/>
          <w:bCs w:val="0"/>
          <w:kern w:val="2"/>
          <w:sz w:val="32"/>
          <w:szCs w:val="32"/>
          <w:lang w:val="en-US" w:eastAsia="zh-CN" w:bidi="ar-SA"/>
        </w:rPr>
        <w:t>以信息软件技术服务、数字经济等为代表的新兴产业崭露头角，以金融业、批零住餐、房地产建筑业等为主体的服务业稳步发展</w:t>
      </w:r>
      <w:r>
        <w:rPr>
          <w:rFonts w:hint="eastAsia" w:ascii="Times New Roman" w:hAnsi="Times New Roman" w:cs="Times New Roman"/>
          <w:b w:val="0"/>
          <w:bCs w:val="0"/>
          <w:kern w:val="2"/>
          <w:sz w:val="32"/>
          <w:szCs w:val="32"/>
          <w:lang w:val="en-US" w:eastAsia="zh-CN" w:bidi="ar-SA"/>
        </w:rPr>
        <w:t>。</w:t>
      </w:r>
      <w:r>
        <w:rPr>
          <w:rFonts w:hint="eastAsia" w:ascii="Times New Roman" w:hAnsi="Times New Roman" w:cs="Times New Roman"/>
          <w:b/>
          <w:bCs/>
          <w:kern w:val="2"/>
          <w:sz w:val="32"/>
          <w:szCs w:val="32"/>
          <w:lang w:val="en-US" w:eastAsia="zh-CN" w:bidi="ar-SA"/>
        </w:rPr>
        <w:t>从地理位置来看，</w:t>
      </w:r>
      <w:r>
        <w:rPr>
          <w:rFonts w:hint="default" w:ascii="Times New Roman" w:hAnsi="Times New Roman" w:cs="Times New Roman"/>
          <w:b w:val="0"/>
          <w:bCs w:val="0"/>
          <w:kern w:val="2"/>
          <w:sz w:val="32"/>
          <w:szCs w:val="32"/>
          <w:lang w:val="en-US" w:eastAsia="zh-CN" w:bidi="ar-SA"/>
        </w:rPr>
        <w:t>金凤区地处银川市中心，交通区位优势突出，商务成本洼地效应显著。</w:t>
      </w:r>
      <w:r>
        <w:rPr>
          <w:rFonts w:hint="eastAsia" w:ascii="Times New Roman" w:hAnsi="Times New Roman" w:cs="Times New Roman"/>
          <w:b/>
          <w:bCs/>
          <w:kern w:val="2"/>
          <w:sz w:val="32"/>
          <w:szCs w:val="32"/>
          <w:lang w:val="en-US" w:eastAsia="zh-CN" w:bidi="ar-SA"/>
        </w:rPr>
        <w:t>从发展形势来看，</w:t>
      </w:r>
      <w:r>
        <w:rPr>
          <w:rFonts w:hint="default" w:ascii="Times New Roman" w:hAnsi="Times New Roman" w:cs="Times New Roman"/>
          <w:b w:val="0"/>
          <w:bCs w:val="0"/>
          <w:kern w:val="2"/>
          <w:sz w:val="32"/>
          <w:szCs w:val="32"/>
          <w:lang w:val="en-US" w:eastAsia="zh-CN" w:bidi="ar-SA"/>
        </w:rPr>
        <w:t>加速发展楼宇经济，是金凤区破解工业发展空间受限难题，在现有建成区寻找新发展空间</w:t>
      </w:r>
      <w:r>
        <w:rPr>
          <w:rFonts w:hint="eastAsia" w:cs="Times New Roman"/>
          <w:b w:val="0"/>
          <w:bCs w:val="0"/>
          <w:kern w:val="2"/>
          <w:sz w:val="32"/>
          <w:szCs w:val="32"/>
          <w:lang w:val="en-US" w:eastAsia="zh-CN" w:bidi="ar-SA"/>
        </w:rPr>
        <w:t>和</w:t>
      </w:r>
      <w:r>
        <w:rPr>
          <w:rFonts w:hint="default" w:ascii="Times New Roman" w:hAnsi="Times New Roman" w:cs="Times New Roman"/>
          <w:b w:val="0"/>
          <w:bCs w:val="0"/>
          <w:kern w:val="2"/>
          <w:sz w:val="32"/>
          <w:szCs w:val="32"/>
          <w:lang w:val="en-US" w:eastAsia="zh-CN" w:bidi="ar-SA"/>
        </w:rPr>
        <w:t>新经济增长点的必然选择。</w:t>
      </w:r>
    </w:p>
    <w:bookmarkEnd w:id="0"/>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rPr>
          <w:rFonts w:hint="eastAsia" w:ascii="Times New Roman" w:hAnsi="Times New Roman" w:cs="Times New Roman"/>
          <w:b w:val="0"/>
          <w:bCs/>
          <w:color w:val="auto"/>
          <w:highlight w:val="yellow"/>
          <w:lang w:eastAsia="zh-CN"/>
        </w:rPr>
      </w:pPr>
      <w:r>
        <w:rPr>
          <w:rFonts w:hint="eastAsia" w:ascii="Times New Roman" w:hAnsi="Times New Roman" w:cs="Times New Roman"/>
          <w:b w:val="0"/>
          <w:bCs/>
          <w:color w:val="auto"/>
          <w:highlight w:val="none"/>
          <w:lang w:eastAsia="zh-CN"/>
        </w:rPr>
        <w:t>三、行动目标</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3"/>
        <w:textAlignment w:val="auto"/>
        <w:rPr>
          <w:rFonts w:hint="eastAsia" w:ascii="Times New Roman" w:hAnsi="Times New Roman" w:eastAsia="楷体_GB2312" w:cs="Times New Roman"/>
          <w:b/>
          <w:color w:val="auto"/>
          <w:kern w:val="2"/>
          <w:sz w:val="32"/>
          <w:szCs w:val="22"/>
          <w:highlight w:val="none"/>
          <w:lang w:val="en-US" w:eastAsia="zh-CN" w:bidi="ar-SA"/>
        </w:rPr>
      </w:pPr>
      <w:r>
        <w:rPr>
          <w:rFonts w:hint="eastAsia" w:ascii="Times New Roman" w:hAnsi="Times New Roman" w:eastAsia="楷体_GB2312" w:cs="Times New Roman"/>
          <w:b/>
          <w:color w:val="auto"/>
          <w:kern w:val="2"/>
          <w:sz w:val="32"/>
          <w:szCs w:val="22"/>
          <w:highlight w:val="none"/>
          <w:lang w:val="en-US" w:eastAsia="zh-CN" w:bidi="ar-SA"/>
        </w:rPr>
        <w:t>（一）总体目标</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color w:val="auto"/>
          <w:highlight w:val="none"/>
        </w:rPr>
      </w:pPr>
      <w:r>
        <w:rPr>
          <w:rFonts w:hint="eastAsia" w:ascii="Times New Roman" w:hAnsi="Times New Roman" w:eastAsia="仿宋_GB2312" w:cstheme="minorBidi"/>
          <w:b w:val="0"/>
          <w:color w:val="auto"/>
          <w:kern w:val="2"/>
          <w:sz w:val="32"/>
          <w:szCs w:val="22"/>
          <w:highlight w:val="none"/>
          <w:lang w:val="en-US" w:eastAsia="zh-CN" w:bidi="ar-SA"/>
        </w:rPr>
        <w:t>到</w:t>
      </w:r>
      <w:r>
        <w:rPr>
          <w:rFonts w:hint="eastAsia" w:eastAsia="仿宋_GB2312" w:cstheme="minorBidi"/>
          <w:b w:val="0"/>
          <w:color w:val="auto"/>
          <w:kern w:val="2"/>
          <w:sz w:val="32"/>
          <w:szCs w:val="22"/>
          <w:highlight w:val="none"/>
          <w:lang w:val="en-US" w:eastAsia="zh-CN" w:bidi="ar-SA"/>
        </w:rPr>
        <w:t>2026年</w:t>
      </w:r>
      <w:r>
        <w:rPr>
          <w:rFonts w:hint="eastAsia" w:cstheme="minorBidi"/>
          <w:b w:val="0"/>
          <w:color w:val="auto"/>
          <w:kern w:val="2"/>
          <w:sz w:val="32"/>
          <w:szCs w:val="22"/>
          <w:highlight w:val="none"/>
          <w:lang w:val="en-US" w:eastAsia="zh-CN" w:bidi="ar-SA"/>
        </w:rPr>
        <w:t>底</w:t>
      </w:r>
      <w:r>
        <w:rPr>
          <w:rFonts w:hint="eastAsia" w:ascii="Times New Roman" w:hAnsi="Times New Roman" w:eastAsia="仿宋_GB2312" w:cstheme="minorBidi"/>
          <w:b w:val="0"/>
          <w:color w:val="auto"/>
          <w:kern w:val="2"/>
          <w:sz w:val="32"/>
          <w:szCs w:val="22"/>
          <w:highlight w:val="none"/>
          <w:lang w:val="en-US" w:eastAsia="zh-CN" w:bidi="ar-SA"/>
        </w:rPr>
        <w:t>，新建一批高品质高标准品牌楼宇，提升一批存量楼宇，打造一批高产出楼宇，培育一批特色楼宇，引进培育一批专业楼宇运营主体，推动金凤区楼宇经济质效整体跃升，把金凤区打造成为宁夏楼宇经济的样板区。</w:t>
      </w:r>
      <w:r>
        <w:rPr>
          <w:rFonts w:hint="eastAsia" w:eastAsia="仿宋_GB2312"/>
          <w:b/>
          <w:bCs/>
          <w:color w:val="auto"/>
          <w:highlight w:val="none"/>
          <w:lang w:eastAsia="zh-CN"/>
        </w:rPr>
        <w:t>楼宇产业化</w:t>
      </w:r>
      <w:r>
        <w:rPr>
          <w:rFonts w:hint="eastAsia" w:eastAsia="仿宋_GB2312"/>
          <w:b/>
          <w:bCs/>
          <w:color w:val="auto"/>
          <w:highlight w:val="none"/>
        </w:rPr>
        <w:t>实现突破</w:t>
      </w:r>
      <w:r>
        <w:rPr>
          <w:rFonts w:hint="eastAsia" w:eastAsia="仿宋_GB2312"/>
          <w:b/>
          <w:bCs/>
          <w:color w:val="auto"/>
          <w:highlight w:val="none"/>
          <w:lang w:eastAsia="zh-CN"/>
        </w:rPr>
        <w:t>。</w:t>
      </w:r>
      <w:r>
        <w:rPr>
          <w:rFonts w:hint="eastAsia" w:eastAsia="仿宋_GB2312"/>
          <w:color w:val="auto"/>
          <w:highlight w:val="none"/>
          <w:lang w:val="en-US" w:eastAsia="zh-CN"/>
        </w:rPr>
        <w:t>聚焦现代服务业及都市工业等实体经济，特色商务楼宇、商业楼宇及工业楼宇</w:t>
      </w:r>
      <w:r>
        <w:rPr>
          <w:rFonts w:hint="eastAsia"/>
          <w:color w:val="auto"/>
          <w:highlight w:val="none"/>
          <w:lang w:val="en-US" w:eastAsia="zh-CN"/>
        </w:rPr>
        <w:t>三年内</w:t>
      </w:r>
      <w:r>
        <w:rPr>
          <w:rFonts w:hint="eastAsia" w:eastAsia="仿宋_GB2312"/>
          <w:color w:val="auto"/>
          <w:highlight w:val="none"/>
          <w:lang w:val="en-US" w:eastAsia="zh-CN"/>
        </w:rPr>
        <w:t>数量</w:t>
      </w:r>
      <w:r>
        <w:rPr>
          <w:rFonts w:hint="eastAsia"/>
          <w:color w:val="auto"/>
          <w:highlight w:val="none"/>
          <w:lang w:val="en-US" w:eastAsia="zh-CN"/>
        </w:rPr>
        <w:t>增加20%</w:t>
      </w:r>
      <w:r>
        <w:rPr>
          <w:rFonts w:hint="eastAsia" w:eastAsia="仿宋_GB2312"/>
          <w:color w:val="auto"/>
          <w:highlight w:val="none"/>
          <w:lang w:val="en-US" w:eastAsia="zh-CN"/>
        </w:rPr>
        <w:t>。</w:t>
      </w:r>
      <w:r>
        <w:rPr>
          <w:rFonts w:hint="eastAsia" w:eastAsia="仿宋_GB2312"/>
          <w:b/>
          <w:bCs/>
          <w:color w:val="auto"/>
          <w:highlight w:val="none"/>
        </w:rPr>
        <w:t>楼宇贡献</w:t>
      </w:r>
      <w:r>
        <w:rPr>
          <w:rFonts w:hint="eastAsia" w:eastAsia="仿宋_GB2312"/>
          <w:b/>
          <w:bCs/>
          <w:color w:val="auto"/>
          <w:highlight w:val="none"/>
          <w:lang w:eastAsia="zh-CN"/>
        </w:rPr>
        <w:t>度</w:t>
      </w:r>
      <w:r>
        <w:rPr>
          <w:rFonts w:hint="eastAsia" w:eastAsia="仿宋_GB2312"/>
          <w:b/>
          <w:bCs/>
          <w:color w:val="auto"/>
          <w:highlight w:val="none"/>
        </w:rPr>
        <w:t>持续增长</w:t>
      </w:r>
      <w:r>
        <w:rPr>
          <w:rFonts w:hint="eastAsia" w:eastAsia="仿宋_GB2312"/>
          <w:b/>
          <w:bCs/>
          <w:color w:val="auto"/>
          <w:highlight w:val="none"/>
          <w:lang w:eastAsia="zh-CN"/>
        </w:rPr>
        <w:t>。</w:t>
      </w:r>
      <w:r>
        <w:rPr>
          <w:rFonts w:hint="eastAsia" w:eastAsia="仿宋_GB2312"/>
          <w:color w:val="auto"/>
          <w:highlight w:val="none"/>
          <w:lang w:eastAsia="zh-CN"/>
        </w:rPr>
        <w:t>以整合利用楼宇资源、盘活释放闲置场地、集约高效拓展空间为抓手，</w:t>
      </w:r>
      <w:r>
        <w:rPr>
          <w:rFonts w:hint="eastAsia" w:eastAsia="仿宋_GB2312"/>
          <w:color w:val="auto"/>
          <w:highlight w:val="none"/>
          <w:lang w:val="en-US" w:eastAsia="zh-CN"/>
        </w:rPr>
        <w:t>加大</w:t>
      </w:r>
      <w:r>
        <w:rPr>
          <w:rFonts w:hint="eastAsia" w:eastAsia="仿宋_GB2312"/>
          <w:color w:val="auto"/>
          <w:highlight w:val="none"/>
        </w:rPr>
        <w:t>招商力度</w:t>
      </w:r>
      <w:r>
        <w:rPr>
          <w:rFonts w:hint="eastAsia" w:eastAsia="仿宋_GB2312"/>
          <w:color w:val="auto"/>
          <w:highlight w:val="none"/>
          <w:lang w:eastAsia="zh-CN"/>
        </w:rPr>
        <w:t>，</w:t>
      </w:r>
      <w:r>
        <w:rPr>
          <w:rFonts w:hint="eastAsia"/>
          <w:color w:val="auto"/>
          <w:highlight w:val="none"/>
          <w:lang w:eastAsia="zh-CN"/>
        </w:rPr>
        <w:t>争取三年内盘活</w:t>
      </w:r>
      <w:r>
        <w:rPr>
          <w:rFonts w:hint="eastAsia" w:eastAsia="仿宋_GB2312"/>
          <w:color w:val="auto"/>
          <w:highlight w:val="none"/>
          <w:lang w:val="en-US" w:eastAsia="zh-CN"/>
        </w:rPr>
        <w:t>存量面积</w:t>
      </w:r>
      <w:r>
        <w:rPr>
          <w:rFonts w:hint="eastAsia"/>
          <w:color w:val="auto"/>
          <w:highlight w:val="none"/>
          <w:lang w:val="en-US" w:eastAsia="zh-CN"/>
        </w:rPr>
        <w:t>70%以上，</w:t>
      </w:r>
      <w:r>
        <w:rPr>
          <w:rFonts w:hint="eastAsia" w:eastAsia="仿宋_GB2312"/>
          <w:color w:val="auto"/>
          <w:highlight w:val="none"/>
        </w:rPr>
        <w:t>积极做好入驻企业的全程式服务</w:t>
      </w:r>
      <w:r>
        <w:rPr>
          <w:rFonts w:hint="eastAsia" w:eastAsia="仿宋_GB2312"/>
          <w:color w:val="auto"/>
          <w:highlight w:val="none"/>
          <w:lang w:eastAsia="zh-CN"/>
        </w:rPr>
        <w:t>，</w:t>
      </w:r>
      <w:r>
        <w:rPr>
          <w:rFonts w:hint="eastAsia" w:eastAsia="仿宋_GB2312"/>
          <w:color w:val="auto"/>
          <w:highlight w:val="none"/>
        </w:rPr>
        <w:t>三年内企业属地注册率</w:t>
      </w:r>
      <w:r>
        <w:rPr>
          <w:rFonts w:hint="eastAsia" w:eastAsia="仿宋_GB2312"/>
          <w:color w:val="auto"/>
          <w:highlight w:val="none"/>
          <w:lang w:eastAsia="zh-CN"/>
        </w:rPr>
        <w:t>达到</w:t>
      </w:r>
      <w:r>
        <w:rPr>
          <w:rFonts w:hint="eastAsia" w:eastAsia="仿宋_GB2312"/>
          <w:color w:val="auto"/>
          <w:highlight w:val="none"/>
          <w:lang w:val="en-US" w:eastAsia="zh-CN"/>
        </w:rPr>
        <w:t>90%以上，空置率下降至15%。</w:t>
      </w:r>
      <w:r>
        <w:rPr>
          <w:rFonts w:hint="eastAsia" w:eastAsia="仿宋_GB2312"/>
          <w:b/>
          <w:bCs/>
          <w:color w:val="auto"/>
          <w:highlight w:val="none"/>
        </w:rPr>
        <w:t>楼宇品质</w:t>
      </w:r>
      <w:r>
        <w:rPr>
          <w:rFonts w:hint="eastAsia" w:eastAsia="仿宋_GB2312"/>
          <w:b/>
          <w:bCs/>
          <w:color w:val="auto"/>
          <w:highlight w:val="none"/>
          <w:lang w:eastAsia="zh-CN"/>
        </w:rPr>
        <w:t>化</w:t>
      </w:r>
      <w:r>
        <w:rPr>
          <w:rFonts w:hint="eastAsia" w:eastAsia="仿宋_GB2312"/>
          <w:b/>
          <w:bCs/>
          <w:color w:val="auto"/>
          <w:highlight w:val="none"/>
        </w:rPr>
        <w:t>逐渐提升</w:t>
      </w:r>
      <w:r>
        <w:rPr>
          <w:rFonts w:hint="eastAsia" w:eastAsia="仿宋_GB2312"/>
          <w:b/>
          <w:bCs/>
          <w:color w:val="auto"/>
          <w:highlight w:val="none"/>
          <w:lang w:eastAsia="zh-CN"/>
        </w:rPr>
        <w:t>。</w:t>
      </w:r>
      <w:r>
        <w:rPr>
          <w:rFonts w:hint="eastAsia" w:eastAsia="仿宋_GB2312"/>
          <w:color w:val="auto"/>
          <w:highlight w:val="none"/>
          <w:lang w:eastAsia="zh-CN"/>
        </w:rPr>
        <w:t>聚焦拓展招商模式、整合行业资源、提升运营服务效能等方面，</w:t>
      </w:r>
      <w:r>
        <w:rPr>
          <w:rFonts w:hint="eastAsia"/>
          <w:color w:val="auto"/>
          <w:highlight w:val="none"/>
          <w:lang w:eastAsia="zh-CN"/>
        </w:rPr>
        <w:t>大力招引全</w:t>
      </w:r>
      <w:r>
        <w:rPr>
          <w:rFonts w:hint="eastAsia"/>
          <w:color w:val="auto"/>
          <w:highlight w:val="none"/>
        </w:rPr>
        <w:t>国500强企业</w:t>
      </w:r>
      <w:r>
        <w:rPr>
          <w:rFonts w:hint="eastAsia"/>
          <w:color w:val="auto"/>
          <w:highlight w:val="none"/>
          <w:lang w:eastAsia="zh-CN"/>
        </w:rPr>
        <w:t>、大型企业</w:t>
      </w:r>
      <w:r>
        <w:rPr>
          <w:rFonts w:hint="eastAsia" w:eastAsia="仿宋_GB2312"/>
          <w:color w:val="auto"/>
          <w:highlight w:val="none"/>
          <w:lang w:eastAsia="zh-CN"/>
        </w:rPr>
        <w:t>等总部企业分支机构</w:t>
      </w:r>
      <w:r>
        <w:rPr>
          <w:rFonts w:hint="eastAsia"/>
          <w:color w:val="auto"/>
          <w:highlight w:val="none"/>
          <w:lang w:eastAsia="zh-CN"/>
        </w:rPr>
        <w:t>和宁蒙甘陕地区中小型企业总部，</w:t>
      </w:r>
      <w:r>
        <w:rPr>
          <w:rFonts w:hint="eastAsia" w:eastAsia="仿宋_GB2312"/>
          <w:color w:val="auto"/>
          <w:highlight w:val="none"/>
        </w:rPr>
        <w:t>“五个一”</w:t>
      </w:r>
      <w:r>
        <w:rPr>
          <w:rFonts w:hint="eastAsia" w:eastAsia="仿宋_GB2312"/>
          <w:color w:val="auto"/>
          <w:highlight w:val="none"/>
          <w:vertAlign w:val="superscript"/>
        </w:rPr>
        <w:footnoteReference w:id="0"/>
      </w:r>
      <w:r>
        <w:rPr>
          <w:rFonts w:hint="eastAsia" w:eastAsia="仿宋_GB2312"/>
          <w:color w:val="auto"/>
          <w:highlight w:val="none"/>
        </w:rPr>
        <w:t>可推广率达到100%</w:t>
      </w:r>
      <w:r>
        <w:rPr>
          <w:rFonts w:hint="eastAsia" w:eastAsia="仿宋_GB2312"/>
          <w:color w:val="auto"/>
          <w:highlight w:val="none"/>
          <w:lang w:eastAsia="zh-CN"/>
        </w:rPr>
        <w:t>，全面</w:t>
      </w:r>
      <w:r>
        <w:rPr>
          <w:rFonts w:hint="eastAsia" w:eastAsia="仿宋_GB2312"/>
          <w:color w:val="auto"/>
          <w:highlight w:val="none"/>
        </w:rPr>
        <w:t>提升楼宇品质，培育</w:t>
      </w:r>
      <w:r>
        <w:rPr>
          <w:rFonts w:hint="eastAsia" w:eastAsia="仿宋_GB2312"/>
          <w:color w:val="auto"/>
          <w:highlight w:val="none"/>
          <w:lang w:eastAsia="zh-CN"/>
        </w:rPr>
        <w:t>金凤</w:t>
      </w:r>
      <w:r>
        <w:rPr>
          <w:rFonts w:hint="eastAsia" w:eastAsia="仿宋_GB2312"/>
          <w:color w:val="auto"/>
          <w:highlight w:val="none"/>
        </w:rPr>
        <w:t>楼宇品牌</w:t>
      </w:r>
      <w:r>
        <w:rPr>
          <w:rFonts w:hint="eastAsia" w:eastAsia="仿宋_GB2312"/>
          <w:color w:val="auto"/>
          <w:highlight w:val="none"/>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ascii="楷体_GB2312" w:hAnsi="楷体_GB2312" w:eastAsia="楷体_GB2312" w:cs="楷体_GB2312"/>
          <w:b/>
          <w:bCs/>
          <w:lang w:eastAsia="zh-CN"/>
        </w:rPr>
        <w:t>（二）</w:t>
      </w:r>
      <w:r>
        <w:rPr>
          <w:rFonts w:hint="eastAsia" w:ascii="楷体_GB2312" w:hAnsi="楷体_GB2312" w:eastAsia="楷体_GB2312" w:cs="楷体_GB2312"/>
          <w:b/>
          <w:bCs/>
        </w:rPr>
        <w:t>年度目标</w:t>
      </w:r>
    </w:p>
    <w:p>
      <w:pPr>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color w:val="auto"/>
          <w:highlight w:val="none"/>
          <w:lang w:val="en-US" w:eastAsia="zh-CN"/>
        </w:rPr>
      </w:pPr>
      <w:r>
        <w:rPr>
          <w:rFonts w:hint="eastAsia" w:ascii="仿宋_GB2312" w:hAnsi="仿宋_GB2312" w:eastAsia="仿宋_GB2312" w:cs="仿宋_GB2312"/>
          <w:b/>
          <w:bCs/>
          <w:color w:val="auto"/>
          <w:highlight w:val="none"/>
          <w:lang w:val="en-US" w:eastAsia="zh-CN"/>
        </w:rPr>
        <w:t>1.一年</w:t>
      </w:r>
      <w:r>
        <w:rPr>
          <w:rFonts w:hint="eastAsia" w:ascii="仿宋_GB2312" w:hAnsi="仿宋_GB2312" w:cs="仿宋_GB2312"/>
          <w:b/>
          <w:bCs/>
          <w:color w:val="auto"/>
          <w:highlight w:val="none"/>
          <w:lang w:val="en-US" w:eastAsia="zh-CN"/>
        </w:rPr>
        <w:t>试点</w:t>
      </w:r>
      <w:r>
        <w:rPr>
          <w:rFonts w:hint="eastAsia" w:ascii="仿宋_GB2312" w:hAnsi="仿宋_GB2312" w:eastAsia="仿宋_GB2312" w:cs="仿宋_GB2312"/>
          <w:b/>
          <w:bCs/>
          <w:color w:val="auto"/>
          <w:highlight w:val="none"/>
          <w:lang w:val="en-US" w:eastAsia="zh-CN"/>
        </w:rPr>
        <w:t>。</w:t>
      </w:r>
      <w:r>
        <w:rPr>
          <w:rFonts w:hint="eastAsia"/>
          <w:color w:val="auto"/>
          <w:highlight w:val="none"/>
          <w:lang w:val="en-US" w:eastAsia="zh-CN"/>
        </w:rPr>
        <w:t>2024年，确定辖区12栋重点楼宇试点推进，力争年底盘活存量面积8万平方米，楼宇空置率下降至25%以内，企业入驻率、注册率明显提升，大力引进</w:t>
      </w:r>
      <w:r>
        <w:rPr>
          <w:rFonts w:hint="eastAsia"/>
          <w:color w:val="auto"/>
          <w:highlight w:val="none"/>
          <w:lang w:eastAsia="zh-CN"/>
        </w:rPr>
        <w:t>全</w:t>
      </w:r>
      <w:r>
        <w:rPr>
          <w:rFonts w:hint="eastAsia"/>
          <w:color w:val="auto"/>
          <w:highlight w:val="none"/>
        </w:rPr>
        <w:t>国500强企业</w:t>
      </w:r>
      <w:r>
        <w:rPr>
          <w:rFonts w:hint="eastAsia"/>
          <w:color w:val="auto"/>
          <w:highlight w:val="none"/>
          <w:lang w:eastAsia="zh-CN"/>
        </w:rPr>
        <w:t>、大型企业</w:t>
      </w:r>
      <w:r>
        <w:rPr>
          <w:rFonts w:hint="eastAsia" w:eastAsia="仿宋_GB2312"/>
          <w:color w:val="auto"/>
          <w:highlight w:val="none"/>
          <w:lang w:eastAsia="zh-CN"/>
        </w:rPr>
        <w:t>等总部企业分支机构</w:t>
      </w:r>
      <w:r>
        <w:rPr>
          <w:rFonts w:hint="eastAsia"/>
          <w:color w:val="auto"/>
          <w:highlight w:val="none"/>
          <w:lang w:eastAsia="zh-CN"/>
        </w:rPr>
        <w:t>和宁蒙甘陕地区中小型企业总部</w:t>
      </w:r>
      <w:r>
        <w:rPr>
          <w:rFonts w:hint="eastAsia"/>
          <w:color w:val="auto"/>
          <w:highlight w:val="none"/>
          <w:lang w:val="en-US" w:eastAsia="zh-CN"/>
        </w:rPr>
        <w:t>，重点楼宇“五个一”全覆盖。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74" w:lineRule="atLeast"/>
        <w:ind w:left="0" w:leftChars="0" w:right="0" w:rightChars="0" w:firstLine="0" w:firstLineChars="0"/>
        <w:jc w:val="center"/>
        <w:textAlignment w:val="auto"/>
        <w:rPr>
          <w:rFonts w:hint="eastAsia" w:ascii="Times New Roman" w:hAnsi="Times New Roman" w:eastAsia="仿宋_GB2312" w:cstheme="minorBidi"/>
          <w:b/>
          <w:bCs/>
          <w:color w:val="auto"/>
          <w:kern w:val="2"/>
          <w:sz w:val="28"/>
          <w:szCs w:val="21"/>
          <w:highlight w:val="none"/>
          <w:lang w:val="en-US" w:eastAsia="zh-CN" w:bidi="ar-SA"/>
        </w:rPr>
      </w:pPr>
      <w:r>
        <w:rPr>
          <w:rFonts w:hint="eastAsia" w:ascii="Times New Roman" w:hAnsi="Times New Roman" w:eastAsia="仿宋_GB2312" w:cstheme="minorBidi"/>
          <w:b/>
          <w:bCs/>
          <w:color w:val="auto"/>
          <w:kern w:val="2"/>
          <w:sz w:val="28"/>
          <w:szCs w:val="21"/>
          <w:highlight w:val="none"/>
          <w:lang w:val="en-US" w:eastAsia="zh-CN" w:bidi="ar-SA"/>
        </w:rPr>
        <w:t>表1 金凤区楼宇经济三年（202</w:t>
      </w:r>
      <w:r>
        <w:rPr>
          <w:rFonts w:hint="eastAsia" w:cstheme="minorBidi"/>
          <w:b/>
          <w:bCs/>
          <w:color w:val="auto"/>
          <w:kern w:val="2"/>
          <w:sz w:val="28"/>
          <w:szCs w:val="21"/>
          <w:highlight w:val="none"/>
          <w:lang w:val="en-US" w:eastAsia="zh-CN" w:bidi="ar-SA"/>
        </w:rPr>
        <w:t>4</w:t>
      </w:r>
      <w:r>
        <w:rPr>
          <w:rFonts w:hint="eastAsia" w:ascii="Times New Roman" w:hAnsi="Times New Roman" w:eastAsia="仿宋_GB2312" w:cstheme="minorBidi"/>
          <w:b/>
          <w:bCs/>
          <w:color w:val="auto"/>
          <w:kern w:val="2"/>
          <w:sz w:val="28"/>
          <w:szCs w:val="21"/>
          <w:highlight w:val="none"/>
          <w:lang w:val="en-US" w:eastAsia="zh-CN" w:bidi="ar-SA"/>
        </w:rPr>
        <w:t>-202</w:t>
      </w:r>
      <w:r>
        <w:rPr>
          <w:rFonts w:hint="eastAsia" w:cstheme="minorBidi"/>
          <w:b/>
          <w:bCs/>
          <w:color w:val="auto"/>
          <w:kern w:val="2"/>
          <w:sz w:val="28"/>
          <w:szCs w:val="21"/>
          <w:highlight w:val="none"/>
          <w:lang w:val="en-US" w:eastAsia="zh-CN" w:bidi="ar-SA"/>
        </w:rPr>
        <w:t>6</w:t>
      </w:r>
      <w:r>
        <w:rPr>
          <w:rFonts w:hint="eastAsia" w:ascii="Times New Roman" w:hAnsi="Times New Roman" w:eastAsia="仿宋_GB2312" w:cstheme="minorBidi"/>
          <w:b/>
          <w:bCs/>
          <w:color w:val="auto"/>
          <w:kern w:val="2"/>
          <w:sz w:val="28"/>
          <w:szCs w:val="21"/>
          <w:highlight w:val="none"/>
          <w:lang w:val="en-US" w:eastAsia="zh-CN" w:bidi="ar-SA"/>
        </w:rPr>
        <w:t>）目标分解表</w:t>
      </w:r>
    </w:p>
    <w:tbl>
      <w:tblPr>
        <w:tblStyle w:val="15"/>
        <w:tblW w:w="845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21"/>
        <w:gridCol w:w="2176"/>
        <w:gridCol w:w="812"/>
        <w:gridCol w:w="1207"/>
        <w:gridCol w:w="1369"/>
        <w:gridCol w:w="13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44" w:hRule="atLeast"/>
          <w:jc w:val="center"/>
        </w:trPr>
        <w:tc>
          <w:tcPr>
            <w:tcW w:w="15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一级指标</w:t>
            </w:r>
          </w:p>
        </w:tc>
        <w:tc>
          <w:tcPr>
            <w:tcW w:w="21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二级指标</w:t>
            </w:r>
          </w:p>
        </w:tc>
        <w:tc>
          <w:tcPr>
            <w:tcW w:w="8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eastAsia" w:eastAsia="仿宋" w:cs="Times New Roman"/>
                <w:b/>
                <w:bCs/>
                <w:color w:val="auto"/>
                <w:kern w:val="0"/>
                <w:sz w:val="24"/>
                <w:szCs w:val="24"/>
                <w:highlight w:val="none"/>
                <w:u w:val="none"/>
                <w:lang w:val="en-US" w:eastAsia="zh-CN" w:bidi="ar"/>
              </w:rPr>
              <w:t>调查现状</w:t>
            </w:r>
          </w:p>
        </w:tc>
        <w:tc>
          <w:tcPr>
            <w:tcW w:w="12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5"/>
                <w:szCs w:val="25"/>
                <w:highlight w:val="none"/>
                <w:u w:val="none"/>
                <w:lang w:val="en-US" w:eastAsia="zh-CN" w:bidi="ar"/>
              </w:rPr>
              <w:t>20</w:t>
            </w:r>
            <w:r>
              <w:rPr>
                <w:rStyle w:val="18"/>
                <w:rFonts w:hint="eastAsia" w:ascii="Times New Roman" w:hAnsi="Times New Roman" w:eastAsia="仿宋" w:cs="Times New Roman"/>
                <w:b/>
                <w:bCs/>
                <w:color w:val="auto"/>
                <w:kern w:val="0"/>
                <w:sz w:val="25"/>
                <w:szCs w:val="25"/>
                <w:highlight w:val="none"/>
                <w:u w:val="none"/>
                <w:lang w:val="en-US" w:eastAsia="zh-CN" w:bidi="ar"/>
              </w:rPr>
              <w:t>2</w:t>
            </w:r>
            <w:r>
              <w:rPr>
                <w:rStyle w:val="18"/>
                <w:rFonts w:hint="eastAsia" w:eastAsia="仿宋" w:cs="Times New Roman"/>
                <w:b/>
                <w:bCs/>
                <w:color w:val="auto"/>
                <w:kern w:val="0"/>
                <w:sz w:val="25"/>
                <w:szCs w:val="25"/>
                <w:highlight w:val="none"/>
                <w:u w:val="none"/>
                <w:lang w:val="en-US" w:eastAsia="zh-CN" w:bidi="ar"/>
              </w:rPr>
              <w:t>4</w:t>
            </w:r>
            <w:r>
              <w:rPr>
                <w:rStyle w:val="18"/>
                <w:rFonts w:hint="default" w:ascii="Times New Roman" w:hAnsi="Times New Roman" w:eastAsia="仿宋" w:cs="Times New Roman"/>
                <w:b/>
                <w:bCs/>
                <w:color w:val="auto"/>
                <w:kern w:val="0"/>
                <w:sz w:val="24"/>
                <w:szCs w:val="24"/>
                <w:highlight w:val="none"/>
                <w:u w:val="none"/>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目标值</w:t>
            </w:r>
          </w:p>
        </w:tc>
        <w:tc>
          <w:tcPr>
            <w:tcW w:w="13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5"/>
                <w:szCs w:val="25"/>
                <w:highlight w:val="none"/>
                <w:u w:val="none"/>
                <w:lang w:val="en-US" w:eastAsia="zh-CN" w:bidi="ar"/>
              </w:rPr>
              <w:t>20</w:t>
            </w:r>
            <w:r>
              <w:rPr>
                <w:rStyle w:val="18"/>
                <w:rFonts w:hint="eastAsia" w:ascii="Times New Roman" w:hAnsi="Times New Roman" w:eastAsia="仿宋" w:cs="Times New Roman"/>
                <w:b/>
                <w:bCs/>
                <w:color w:val="auto"/>
                <w:kern w:val="0"/>
                <w:sz w:val="25"/>
                <w:szCs w:val="25"/>
                <w:highlight w:val="none"/>
                <w:u w:val="none"/>
                <w:lang w:val="en-US" w:eastAsia="zh-CN" w:bidi="ar"/>
              </w:rPr>
              <w:t>2</w:t>
            </w:r>
            <w:r>
              <w:rPr>
                <w:rStyle w:val="18"/>
                <w:rFonts w:hint="eastAsia" w:eastAsia="仿宋" w:cs="Times New Roman"/>
                <w:b/>
                <w:bCs/>
                <w:color w:val="auto"/>
                <w:kern w:val="0"/>
                <w:sz w:val="25"/>
                <w:szCs w:val="25"/>
                <w:highlight w:val="none"/>
                <w:u w:val="none"/>
                <w:lang w:val="en-US" w:eastAsia="zh-CN" w:bidi="ar"/>
              </w:rPr>
              <w:t>5</w:t>
            </w:r>
            <w:r>
              <w:rPr>
                <w:rStyle w:val="18"/>
                <w:rFonts w:hint="default" w:ascii="Times New Roman" w:hAnsi="Times New Roman" w:eastAsia="仿宋" w:cs="Times New Roman"/>
                <w:b/>
                <w:bCs/>
                <w:color w:val="auto"/>
                <w:kern w:val="0"/>
                <w:sz w:val="24"/>
                <w:szCs w:val="24"/>
                <w:highlight w:val="none"/>
                <w:u w:val="none"/>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目标值</w:t>
            </w:r>
          </w:p>
        </w:tc>
        <w:tc>
          <w:tcPr>
            <w:tcW w:w="13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5"/>
                <w:szCs w:val="25"/>
                <w:highlight w:val="none"/>
                <w:u w:val="none"/>
                <w:lang w:val="en-US" w:eastAsia="zh-CN" w:bidi="ar"/>
              </w:rPr>
              <w:t>20</w:t>
            </w:r>
            <w:r>
              <w:rPr>
                <w:rStyle w:val="18"/>
                <w:rFonts w:hint="eastAsia" w:ascii="Times New Roman" w:hAnsi="Times New Roman" w:eastAsia="仿宋" w:cs="Times New Roman"/>
                <w:b/>
                <w:bCs/>
                <w:color w:val="auto"/>
                <w:kern w:val="0"/>
                <w:sz w:val="25"/>
                <w:szCs w:val="25"/>
                <w:highlight w:val="none"/>
                <w:u w:val="none"/>
                <w:lang w:val="en-US" w:eastAsia="zh-CN" w:bidi="ar"/>
              </w:rPr>
              <w:t>2</w:t>
            </w:r>
            <w:r>
              <w:rPr>
                <w:rStyle w:val="18"/>
                <w:rFonts w:hint="eastAsia" w:eastAsia="仿宋" w:cs="Times New Roman"/>
                <w:b/>
                <w:bCs/>
                <w:color w:val="auto"/>
                <w:kern w:val="0"/>
                <w:sz w:val="25"/>
                <w:szCs w:val="25"/>
                <w:highlight w:val="none"/>
                <w:u w:val="none"/>
                <w:lang w:val="en-US" w:eastAsia="zh-CN" w:bidi="ar"/>
              </w:rPr>
              <w:t>6</w:t>
            </w:r>
            <w:r>
              <w:rPr>
                <w:rStyle w:val="18"/>
                <w:rFonts w:hint="default" w:ascii="Times New Roman" w:hAnsi="Times New Roman" w:eastAsia="仿宋" w:cs="Times New Roman"/>
                <w:b/>
                <w:bCs/>
                <w:color w:val="auto"/>
                <w:kern w:val="0"/>
                <w:sz w:val="24"/>
                <w:szCs w:val="24"/>
                <w:highlight w:val="none"/>
                <w:u w:val="none"/>
                <w:lang w:val="en-US" w:eastAsia="zh-CN" w:bidi="ar"/>
              </w:rPr>
              <w:t>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目标值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restart"/>
            <w:tcBorders>
              <w:top w:val="nil"/>
              <w:left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r>
              <w:rPr>
                <w:rStyle w:val="18"/>
                <w:rFonts w:hint="default" w:ascii="Times New Roman" w:hAnsi="Times New Roman" w:eastAsia="仿宋" w:cs="Times New Roman"/>
                <w:b/>
                <w:bCs/>
                <w:color w:val="auto"/>
                <w:kern w:val="0"/>
                <w:sz w:val="24"/>
                <w:szCs w:val="24"/>
                <w:highlight w:val="none"/>
                <w:u w:val="none"/>
                <w:lang w:val="en-US" w:eastAsia="zh-CN" w:bidi="ar"/>
              </w:rPr>
              <w:t>楼宇</w:t>
            </w:r>
            <w:r>
              <w:rPr>
                <w:rStyle w:val="18"/>
                <w:rFonts w:hint="eastAsia" w:eastAsia="仿宋" w:cs="Times New Roman"/>
                <w:b/>
                <w:bCs/>
                <w:color w:val="auto"/>
                <w:kern w:val="0"/>
                <w:sz w:val="24"/>
                <w:szCs w:val="24"/>
                <w:highlight w:val="none"/>
                <w:u w:val="none"/>
                <w:lang w:val="en-US" w:eastAsia="zh-CN" w:bidi="ar"/>
              </w:rPr>
              <w:t>产业化</w:t>
            </w: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default" w:ascii="Times New Roman" w:hAnsi="Times New Roman" w:eastAsia="仿宋" w:cs="Times New Roman"/>
                <w:color w:val="auto"/>
                <w:kern w:val="0"/>
                <w:sz w:val="24"/>
                <w:szCs w:val="24"/>
                <w:highlight w:val="none"/>
                <w:u w:val="none"/>
                <w:lang w:val="en-US" w:eastAsia="zh-CN" w:bidi="ar"/>
              </w:rPr>
              <w:t>特色楼宇</w:t>
            </w:r>
            <w:r>
              <w:rPr>
                <w:rFonts w:hint="eastAsia" w:eastAsia="仿宋" w:cs="Times New Roman"/>
                <w:color w:val="auto"/>
                <w:kern w:val="0"/>
                <w:sz w:val="24"/>
                <w:szCs w:val="24"/>
                <w:highlight w:val="none"/>
                <w:u w:val="none"/>
                <w:lang w:val="en-US" w:eastAsia="zh-CN" w:bidi="ar"/>
              </w:rPr>
              <w:t>数量（</w:t>
            </w:r>
            <w:r>
              <w:rPr>
                <w:rFonts w:hint="default" w:ascii="Times New Roman" w:hAnsi="Times New Roman" w:eastAsia="仿宋" w:cs="Times New Roman"/>
                <w:color w:val="auto"/>
                <w:kern w:val="0"/>
                <w:sz w:val="24"/>
                <w:szCs w:val="24"/>
                <w:highlight w:val="none"/>
                <w:u w:val="none"/>
                <w:lang w:val="en-US" w:eastAsia="zh-CN" w:bidi="ar"/>
              </w:rPr>
              <w:t>幢</w:t>
            </w:r>
            <w:r>
              <w:rPr>
                <w:rFonts w:hint="eastAsia" w:eastAsia="仿宋" w:cs="Times New Roman"/>
                <w:color w:val="auto"/>
                <w:kern w:val="0"/>
                <w:sz w:val="24"/>
                <w:szCs w:val="24"/>
                <w:highlight w:val="none"/>
                <w:u w:val="none"/>
                <w:lang w:val="en-US" w:eastAsia="zh-CN" w:bidi="ar"/>
              </w:rPr>
              <w:t>）</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28</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30</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32</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left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Style w:val="18"/>
                <w:rFonts w:hint="default" w:ascii="Times New Roman" w:hAnsi="Times New Roman" w:eastAsia="仿宋" w:cs="Times New Roman"/>
                <w:b/>
                <w:bCs/>
                <w:color w:val="auto"/>
                <w:kern w:val="0"/>
                <w:sz w:val="24"/>
                <w:szCs w:val="24"/>
                <w:highlight w:val="none"/>
                <w:u w:val="none"/>
                <w:lang w:val="en-US" w:eastAsia="zh-CN" w:bidi="ar"/>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eastAsia" w:eastAsia="仿宋" w:cs="Times New Roman"/>
                <w:color w:val="auto"/>
                <w:kern w:val="0"/>
                <w:sz w:val="24"/>
                <w:szCs w:val="24"/>
                <w:highlight w:val="none"/>
                <w:u w:val="none"/>
                <w:lang w:val="en-US" w:eastAsia="zh-CN" w:bidi="ar"/>
              </w:rPr>
              <w:t>特色楼宇主导产业占比（%）</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50</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50</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60</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left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Style w:val="18"/>
                <w:rFonts w:hint="default" w:ascii="Times New Roman" w:hAnsi="Times New Roman" w:eastAsia="仿宋" w:cs="Times New Roman"/>
                <w:b/>
                <w:bCs/>
                <w:color w:val="auto"/>
                <w:kern w:val="0"/>
                <w:sz w:val="24"/>
                <w:szCs w:val="24"/>
                <w:highlight w:val="none"/>
                <w:u w:val="none"/>
                <w:lang w:val="en-US" w:eastAsia="zh-CN" w:bidi="ar"/>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eastAsia="仿宋" w:cs="Times New Roman"/>
                <w:color w:val="auto"/>
                <w:kern w:val="0"/>
                <w:sz w:val="24"/>
                <w:szCs w:val="24"/>
                <w:highlight w:val="none"/>
                <w:u w:val="none"/>
                <w:lang w:val="en-US" w:eastAsia="zh-CN" w:bidi="ar"/>
              </w:rPr>
            </w:pPr>
            <w:r>
              <w:rPr>
                <w:rFonts w:hint="eastAsia" w:eastAsia="仿宋" w:cs="Times New Roman"/>
                <w:color w:val="auto"/>
                <w:kern w:val="0"/>
                <w:sz w:val="24"/>
                <w:szCs w:val="24"/>
                <w:highlight w:val="none"/>
                <w:u w:val="none"/>
                <w:lang w:val="en-US" w:eastAsia="zh-CN" w:bidi="ar"/>
              </w:rPr>
              <w:t>重点发展楼宇数量（</w:t>
            </w:r>
            <w:r>
              <w:rPr>
                <w:rFonts w:hint="default" w:ascii="Times New Roman" w:hAnsi="Times New Roman" w:eastAsia="仿宋" w:cs="Times New Roman"/>
                <w:color w:val="auto"/>
                <w:kern w:val="0"/>
                <w:sz w:val="24"/>
                <w:szCs w:val="24"/>
                <w:highlight w:val="none"/>
                <w:u w:val="none"/>
                <w:lang w:val="en-US" w:eastAsia="zh-CN" w:bidi="ar"/>
              </w:rPr>
              <w:t>幢</w:t>
            </w:r>
            <w:r>
              <w:rPr>
                <w:rFonts w:hint="eastAsia" w:eastAsia="仿宋" w:cs="Times New Roman"/>
                <w:color w:val="auto"/>
                <w:kern w:val="0"/>
                <w:sz w:val="24"/>
                <w:szCs w:val="24"/>
                <w:highlight w:val="none"/>
                <w:u w:val="none"/>
                <w:lang w:val="en-US" w:eastAsia="zh-CN" w:bidi="ar"/>
              </w:rPr>
              <w:t>）</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12</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20</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楼宇贡献</w:t>
            </w:r>
            <w:r>
              <w:rPr>
                <w:rStyle w:val="18"/>
                <w:rFonts w:hint="eastAsia" w:eastAsia="仿宋" w:cs="Times New Roman"/>
                <w:b/>
                <w:bCs/>
                <w:color w:val="auto"/>
                <w:kern w:val="0"/>
                <w:sz w:val="24"/>
                <w:szCs w:val="24"/>
                <w:highlight w:val="none"/>
                <w:u w:val="none"/>
                <w:lang w:val="en-US" w:eastAsia="zh-CN" w:bidi="ar"/>
              </w:rPr>
              <w:t>度</w:t>
            </w: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eastAsia" w:eastAsia="仿宋" w:cs="Times New Roman"/>
                <w:color w:val="auto"/>
                <w:kern w:val="0"/>
                <w:sz w:val="24"/>
                <w:szCs w:val="24"/>
                <w:highlight w:val="none"/>
                <w:u w:val="none"/>
                <w:lang w:val="en-US" w:eastAsia="zh-CN" w:bidi="ar"/>
              </w:rPr>
              <w:t>盘活存量面积</w:t>
            </w:r>
            <w:r>
              <w:rPr>
                <w:rFonts w:hint="default" w:ascii="Times New Roman" w:hAnsi="Times New Roman" w:eastAsia="仿宋" w:cs="Times New Roman"/>
                <w:color w:val="auto"/>
                <w:kern w:val="0"/>
                <w:sz w:val="24"/>
                <w:szCs w:val="24"/>
                <w:highlight w:val="none"/>
                <w:u w:val="none"/>
                <w:lang w:val="en-US" w:eastAsia="zh-CN" w:bidi="ar"/>
              </w:rPr>
              <w:t>（万平方米）</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8</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25</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Style w:val="18"/>
                <w:rFonts w:hint="default" w:ascii="Times New Roman" w:hAnsi="Times New Roman" w:eastAsia="仿宋" w:cs="Times New Roman"/>
                <w:b/>
                <w:bCs/>
                <w:color w:val="auto"/>
                <w:kern w:val="0"/>
                <w:sz w:val="24"/>
                <w:szCs w:val="24"/>
                <w:highlight w:val="none"/>
                <w:u w:val="none"/>
                <w:lang w:val="en-US" w:eastAsia="zh-CN" w:bidi="ar"/>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eastAsia" w:eastAsia="仿宋" w:cs="Times New Roman"/>
                <w:color w:val="auto"/>
                <w:kern w:val="0"/>
                <w:sz w:val="24"/>
                <w:szCs w:val="24"/>
                <w:highlight w:val="none"/>
                <w:u w:val="none"/>
                <w:lang w:val="en-US" w:eastAsia="zh-CN" w:bidi="ar"/>
              </w:rPr>
              <w:t>空置率（%）</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25.09</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25</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20</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left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Style w:val="18"/>
                <w:rFonts w:hint="default" w:ascii="Times New Roman" w:hAnsi="Times New Roman" w:eastAsia="仿宋" w:cs="Times New Roman"/>
                <w:b/>
                <w:bCs/>
                <w:color w:val="auto"/>
                <w:kern w:val="0"/>
                <w:sz w:val="24"/>
                <w:szCs w:val="24"/>
                <w:highlight w:val="none"/>
                <w:u w:val="none"/>
                <w:lang w:val="en-US" w:eastAsia="zh-CN" w:bidi="ar"/>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4"/>
                <w:szCs w:val="24"/>
                <w:highlight w:val="none"/>
                <w:u w:val="none"/>
                <w:lang w:val="en-US" w:eastAsia="zh-CN" w:bidi="ar"/>
              </w:rPr>
              <w:t>入驻企业数量（家）</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3169</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3300</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3500</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3800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4"/>
                <w:szCs w:val="24"/>
                <w:highlight w:val="none"/>
                <w:u w:val="none"/>
                <w:lang w:val="en-US" w:eastAsia="zh-CN" w:bidi="ar"/>
              </w:rPr>
              <w:t>注册率（</w:t>
            </w:r>
            <w:r>
              <w:rPr>
                <w:rFonts w:hint="default" w:ascii="Times New Roman" w:hAnsi="Times New Roman" w:eastAsia="仿宋" w:cs="Times New Roman"/>
                <w:color w:val="auto"/>
                <w:kern w:val="0"/>
                <w:sz w:val="25"/>
                <w:szCs w:val="25"/>
                <w:highlight w:val="none"/>
                <w:u w:val="none"/>
                <w:lang w:val="en-US" w:eastAsia="zh-CN" w:bidi="ar"/>
              </w:rPr>
              <w:t>%</w:t>
            </w:r>
            <w:r>
              <w:rPr>
                <w:rFonts w:hint="default" w:ascii="Times New Roman" w:hAnsi="Times New Roman" w:eastAsia="仿宋" w:cs="Times New Roman"/>
                <w:color w:val="auto"/>
                <w:kern w:val="0"/>
                <w:sz w:val="24"/>
                <w:szCs w:val="24"/>
                <w:highlight w:val="none"/>
                <w:u w:val="none"/>
                <w:lang w:val="en-US" w:eastAsia="zh-CN" w:bidi="ar"/>
              </w:rPr>
              <w:t>）</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8</w:t>
            </w:r>
            <w:r>
              <w:rPr>
                <w:rFonts w:hint="eastAsia" w:eastAsia="仿宋" w:cs="Times New Roman"/>
                <w:color w:val="auto"/>
                <w:kern w:val="0"/>
                <w:sz w:val="25"/>
                <w:szCs w:val="25"/>
                <w:highlight w:val="none"/>
                <w:u w:val="none"/>
                <w:lang w:val="en-US" w:eastAsia="zh-CN" w:bidi="ar"/>
              </w:rPr>
              <w:t>2.75</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85</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88</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9</w:t>
            </w:r>
            <w:r>
              <w:rPr>
                <w:rFonts w:hint="eastAsia" w:cs="Times New Roman"/>
                <w:color w:val="auto"/>
                <w:kern w:val="0"/>
                <w:sz w:val="25"/>
                <w:szCs w:val="25"/>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4"/>
                <w:szCs w:val="24"/>
                <w:highlight w:val="none"/>
                <w:u w:val="none"/>
                <w:lang w:val="en-US" w:eastAsia="zh-CN" w:bidi="ar"/>
              </w:rPr>
              <w:t>税收千万以上</w:t>
            </w:r>
            <w:r>
              <w:rPr>
                <w:rFonts w:hint="default" w:ascii="Times New Roman" w:hAnsi="Times New Roman" w:eastAsia="仿宋" w:cs="Times New Roman"/>
                <w:color w:val="auto"/>
                <w:kern w:val="0"/>
                <w:sz w:val="24"/>
                <w:szCs w:val="24"/>
                <w:highlight w:val="none"/>
                <w:u w:val="none"/>
                <w:lang w:val="en-US" w:eastAsia="zh-CN" w:bidi="ar"/>
              </w:rPr>
              <w:t>楼宇数量（幢）</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1</w:t>
            </w:r>
            <w:r>
              <w:rPr>
                <w:rFonts w:hint="eastAsia" w:eastAsia="仿宋" w:cs="Times New Roman"/>
                <w:color w:val="auto"/>
                <w:kern w:val="0"/>
                <w:sz w:val="25"/>
                <w:szCs w:val="25"/>
                <w:highlight w:val="none"/>
                <w:u w:val="none"/>
                <w:lang w:val="en-US" w:eastAsia="zh-CN" w:bidi="ar"/>
              </w:rPr>
              <w:t>4</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16</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1</w:t>
            </w:r>
            <w:r>
              <w:rPr>
                <w:rFonts w:hint="eastAsia" w:eastAsia="仿宋" w:cs="Times New Roman"/>
                <w:color w:val="auto"/>
                <w:kern w:val="0"/>
                <w:sz w:val="25"/>
                <w:szCs w:val="25"/>
                <w:highlight w:val="none"/>
                <w:u w:val="none"/>
                <w:lang w:val="en-US" w:eastAsia="zh-CN" w:bidi="ar"/>
              </w:rPr>
              <w:t>8</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eastAsia" w:eastAsia="仿宋" w:cs="Times New Roman"/>
                <w:color w:val="auto"/>
                <w:kern w:val="0"/>
                <w:sz w:val="24"/>
                <w:szCs w:val="24"/>
                <w:highlight w:val="none"/>
                <w:u w:val="none"/>
                <w:lang w:val="en-US" w:eastAsia="zh-CN" w:bidi="ar"/>
              </w:rPr>
              <w:t>税收亿元以上</w:t>
            </w:r>
            <w:r>
              <w:rPr>
                <w:rFonts w:hint="default" w:ascii="Times New Roman" w:hAnsi="Times New Roman" w:eastAsia="仿宋" w:cs="Times New Roman"/>
                <w:color w:val="auto"/>
                <w:kern w:val="0"/>
                <w:sz w:val="24"/>
                <w:szCs w:val="24"/>
                <w:highlight w:val="none"/>
                <w:u w:val="none"/>
                <w:lang w:val="en-US" w:eastAsia="zh-CN" w:bidi="ar"/>
              </w:rPr>
              <w:t>楼宇数量（幢）</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2</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eastAsia" w:eastAsia="仿宋" w:cs="Times New Roman"/>
                <w:color w:val="auto"/>
                <w:kern w:val="0"/>
                <w:sz w:val="24"/>
                <w:szCs w:val="24"/>
                <w:highlight w:val="none"/>
                <w:u w:val="none"/>
                <w:lang w:val="en-US" w:eastAsia="zh-CN" w:bidi="ar"/>
              </w:rPr>
              <w:t>税收增长率（%）</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10%</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12%</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Style w:val="18"/>
                <w:rFonts w:hint="default" w:ascii="Times New Roman" w:hAnsi="Times New Roman" w:eastAsia="仿宋" w:cs="Times New Roman"/>
                <w:b/>
                <w:bCs/>
                <w:color w:val="auto"/>
                <w:kern w:val="0"/>
                <w:sz w:val="24"/>
                <w:szCs w:val="24"/>
                <w:highlight w:val="none"/>
                <w:u w:val="none"/>
                <w:lang w:val="en-US" w:eastAsia="zh-CN" w:bidi="ar"/>
              </w:rPr>
              <w:t>楼宇品质</w:t>
            </w:r>
            <w:r>
              <w:rPr>
                <w:rStyle w:val="18"/>
                <w:rFonts w:hint="eastAsia" w:eastAsia="仿宋" w:cs="Times New Roman"/>
                <w:b/>
                <w:bCs/>
                <w:color w:val="auto"/>
                <w:kern w:val="0"/>
                <w:sz w:val="24"/>
                <w:szCs w:val="24"/>
                <w:highlight w:val="none"/>
                <w:u w:val="none"/>
                <w:lang w:val="en-US" w:eastAsia="zh-CN" w:bidi="ar"/>
              </w:rPr>
              <w:t>化</w:t>
            </w: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default" w:ascii="Times New Roman" w:hAnsi="Times New Roman" w:eastAsia="仿宋" w:cs="Times New Roman"/>
                <w:color w:val="auto"/>
                <w:kern w:val="0"/>
                <w:sz w:val="22"/>
                <w:szCs w:val="22"/>
                <w:highlight w:val="none"/>
                <w:u w:val="none"/>
                <w:lang w:val="en-US" w:eastAsia="zh-CN" w:bidi="ar"/>
              </w:rPr>
              <w:t>新增</w:t>
            </w:r>
            <w:r>
              <w:rPr>
                <w:rFonts w:hint="eastAsia" w:eastAsia="仿宋" w:cs="Times New Roman"/>
                <w:color w:val="auto"/>
                <w:kern w:val="0"/>
                <w:sz w:val="22"/>
                <w:szCs w:val="22"/>
                <w:highlight w:val="none"/>
                <w:u w:val="none"/>
                <w:lang w:val="en-US" w:eastAsia="zh-CN" w:bidi="ar"/>
              </w:rPr>
              <w:t>500强等</w:t>
            </w:r>
            <w:r>
              <w:rPr>
                <w:rFonts w:hint="eastAsia" w:ascii="Times New Roman" w:hAnsi="Times New Roman" w:eastAsia="仿宋" w:cs="Times New Roman"/>
                <w:color w:val="auto"/>
                <w:kern w:val="0"/>
                <w:sz w:val="22"/>
                <w:szCs w:val="22"/>
                <w:highlight w:val="none"/>
                <w:u w:val="none"/>
                <w:lang w:val="en-US" w:eastAsia="zh-CN" w:bidi="ar"/>
              </w:rPr>
              <w:t>总部</w:t>
            </w:r>
            <w:r>
              <w:rPr>
                <w:rFonts w:hint="default" w:ascii="Times New Roman" w:hAnsi="Times New Roman" w:eastAsia="仿宋" w:cs="Times New Roman"/>
                <w:color w:val="auto"/>
                <w:kern w:val="0"/>
                <w:sz w:val="22"/>
                <w:szCs w:val="22"/>
                <w:highlight w:val="none"/>
                <w:u w:val="none"/>
                <w:lang w:val="en-US" w:eastAsia="zh-CN" w:bidi="ar"/>
              </w:rPr>
              <w:t>企业分支机构</w:t>
            </w:r>
            <w:r>
              <w:rPr>
                <w:rFonts w:hint="eastAsia" w:eastAsia="仿宋" w:cs="Times New Roman"/>
                <w:color w:val="auto"/>
                <w:kern w:val="0"/>
                <w:sz w:val="22"/>
                <w:szCs w:val="22"/>
                <w:highlight w:val="none"/>
                <w:u w:val="none"/>
                <w:lang w:val="en-US" w:eastAsia="zh-CN" w:bidi="ar"/>
              </w:rPr>
              <w:t>及</w:t>
            </w:r>
            <w:r>
              <w:rPr>
                <w:rFonts w:hint="eastAsia" w:ascii="Times New Roman" w:hAnsi="Times New Roman" w:eastAsia="仿宋" w:cs="Times New Roman"/>
                <w:color w:val="auto"/>
                <w:kern w:val="0"/>
                <w:sz w:val="22"/>
                <w:szCs w:val="22"/>
                <w:highlight w:val="none"/>
                <w:u w:val="none"/>
                <w:lang w:val="en-US" w:eastAsia="zh-CN" w:bidi="ar"/>
              </w:rPr>
              <w:t>宁蒙甘陕中小型企业总部</w:t>
            </w:r>
            <w:r>
              <w:rPr>
                <w:rFonts w:hint="default" w:ascii="Times New Roman" w:hAnsi="Times New Roman" w:eastAsia="仿宋" w:cs="Times New Roman"/>
                <w:color w:val="auto"/>
                <w:kern w:val="0"/>
                <w:sz w:val="22"/>
                <w:szCs w:val="22"/>
                <w:highlight w:val="none"/>
                <w:u w:val="none"/>
                <w:lang w:val="en-US" w:eastAsia="zh-CN" w:bidi="ar"/>
              </w:rPr>
              <w:t>（</w:t>
            </w:r>
            <w:r>
              <w:rPr>
                <w:rFonts w:hint="eastAsia" w:ascii="Times New Roman" w:hAnsi="Times New Roman" w:eastAsia="仿宋" w:cs="Times New Roman"/>
                <w:color w:val="auto"/>
                <w:kern w:val="0"/>
                <w:sz w:val="22"/>
                <w:szCs w:val="22"/>
                <w:highlight w:val="none"/>
                <w:u w:val="none"/>
                <w:lang w:val="en-US" w:eastAsia="zh-CN" w:bidi="ar"/>
              </w:rPr>
              <w:t>家</w:t>
            </w:r>
            <w:r>
              <w:rPr>
                <w:rFonts w:hint="default" w:ascii="Times New Roman" w:hAnsi="Times New Roman" w:eastAsia="仿宋" w:cs="Times New Roman"/>
                <w:color w:val="auto"/>
                <w:kern w:val="0"/>
                <w:sz w:val="22"/>
                <w:szCs w:val="22"/>
                <w:highlight w:val="none"/>
                <w:u w:val="none"/>
                <w:lang w:val="en-US" w:eastAsia="zh-CN" w:bidi="ar"/>
              </w:rPr>
              <w:t>）</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5</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7</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default" w:ascii="Times New Roman" w:hAnsi="Times New Roman" w:eastAsia="仿宋" w:cs="Times New Roman"/>
                <w:color w:val="auto"/>
                <w:kern w:val="0"/>
                <w:sz w:val="24"/>
                <w:szCs w:val="24"/>
                <w:highlight w:val="none"/>
                <w:u w:val="none"/>
                <w:lang w:val="en-US" w:eastAsia="zh-CN" w:bidi="ar"/>
              </w:rPr>
              <w:t>整合业权、运营权分散楼宇面积（万平方米）</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3</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52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z w:val="25"/>
                <w:szCs w:val="25"/>
                <w:highlight w:val="none"/>
                <w:u w:val="none"/>
              </w:rPr>
            </w:pPr>
          </w:p>
        </w:tc>
        <w:tc>
          <w:tcPr>
            <w:tcW w:w="21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4"/>
                <w:szCs w:val="24"/>
                <w:highlight w:val="none"/>
                <w:u w:val="none"/>
                <w:lang w:val="en-US" w:eastAsia="zh-CN" w:bidi="ar"/>
              </w:rPr>
            </w:pPr>
            <w:r>
              <w:rPr>
                <w:rFonts w:hint="default" w:ascii="Times New Roman" w:hAnsi="Times New Roman" w:eastAsia="仿宋" w:cs="Times New Roman"/>
                <w:color w:val="auto"/>
                <w:kern w:val="0"/>
                <w:sz w:val="24"/>
                <w:szCs w:val="24"/>
                <w:highlight w:val="none"/>
                <w:u w:val="none"/>
                <w:lang w:val="en-US" w:eastAsia="zh-CN" w:bidi="ar"/>
              </w:rPr>
              <w:t>“五个一”推广率（%）</w:t>
            </w:r>
          </w:p>
        </w:tc>
        <w:tc>
          <w:tcPr>
            <w:tcW w:w="8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eastAsia" w:eastAsia="仿宋" w:cs="Times New Roman"/>
                <w:color w:val="auto"/>
                <w:kern w:val="0"/>
                <w:sz w:val="25"/>
                <w:szCs w:val="25"/>
                <w:highlight w:val="none"/>
                <w:u w:val="none"/>
                <w:lang w:val="en-US" w:eastAsia="zh-CN" w:bidi="ar"/>
              </w:rPr>
              <w:t>-</w:t>
            </w:r>
          </w:p>
        </w:tc>
        <w:tc>
          <w:tcPr>
            <w:tcW w:w="12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60</w:t>
            </w:r>
          </w:p>
        </w:tc>
        <w:tc>
          <w:tcPr>
            <w:tcW w:w="13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80</w:t>
            </w:r>
          </w:p>
        </w:tc>
        <w:tc>
          <w:tcPr>
            <w:tcW w:w="13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 w:cs="Times New Roman"/>
                <w:color w:val="auto"/>
                <w:kern w:val="0"/>
                <w:sz w:val="25"/>
                <w:szCs w:val="25"/>
                <w:highlight w:val="none"/>
                <w:u w:val="none"/>
                <w:lang w:val="en-US" w:eastAsia="zh-CN" w:bidi="ar"/>
              </w:rPr>
            </w:pPr>
            <w:r>
              <w:rPr>
                <w:rFonts w:hint="default" w:ascii="Times New Roman" w:hAnsi="Times New Roman" w:eastAsia="仿宋" w:cs="Times New Roman"/>
                <w:color w:val="auto"/>
                <w:kern w:val="0"/>
                <w:sz w:val="25"/>
                <w:szCs w:val="25"/>
                <w:highlight w:val="none"/>
                <w:u w:val="none"/>
                <w:lang w:val="en-US" w:eastAsia="zh-CN" w:bidi="ar"/>
              </w:rPr>
              <w:t>100</w:t>
            </w:r>
          </w:p>
        </w:tc>
      </w:tr>
    </w:tbl>
    <w:p>
      <w:pPr>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rPr>
          <w:rFonts w:hint="default" w:ascii="Times New Roman" w:hAnsi="Times New Roman" w:eastAsia="仿宋" w:cs="Times New Roman"/>
          <w:color w:val="auto"/>
          <w:highlight w:val="none"/>
          <w:lang w:val="en-US" w:eastAsia="zh-CN"/>
        </w:rPr>
      </w:pPr>
      <w:r>
        <w:rPr>
          <w:rFonts w:hint="eastAsia" w:ascii="仿宋_GB2312" w:hAnsi="仿宋_GB2312" w:eastAsia="仿宋_GB2312" w:cs="仿宋_GB2312"/>
          <w:b/>
          <w:bCs/>
          <w:color w:val="auto"/>
          <w:highlight w:val="none"/>
          <w:lang w:val="en-US" w:eastAsia="zh-CN"/>
        </w:rPr>
        <w:t>2.两年成型。</w:t>
      </w:r>
      <w:r>
        <w:rPr>
          <w:rFonts w:hint="default" w:ascii="Times New Roman" w:hAnsi="Times New Roman" w:eastAsia="仿宋" w:cs="Times New Roman"/>
          <w:color w:val="auto"/>
          <w:highlight w:val="none"/>
          <w:lang w:val="en-US" w:eastAsia="zh-CN"/>
        </w:rPr>
        <w:t>2025年</w:t>
      </w:r>
      <w:r>
        <w:rPr>
          <w:rFonts w:hint="eastAsia" w:eastAsia="仿宋" w:cs="Times New Roman"/>
          <w:color w:val="auto"/>
          <w:highlight w:val="none"/>
          <w:lang w:val="en-US" w:eastAsia="zh-CN"/>
        </w:rPr>
        <w:t>，在重点楼宇试点基础上，整体推动辖区楼宇高质量发展，加大招商引资力度，楼宇空置率控制在20%以内，重点发展总部经济、数字经济，培育特色楼宇，</w:t>
      </w:r>
      <w:r>
        <w:rPr>
          <w:rFonts w:hint="eastAsia"/>
          <w:color w:val="auto"/>
          <w:highlight w:val="none"/>
          <w:lang w:val="en-US" w:eastAsia="zh-CN"/>
        </w:rPr>
        <w:t>企业入驻率、注册率持续上升，</w:t>
      </w:r>
      <w:r>
        <w:rPr>
          <w:rFonts w:hint="eastAsia"/>
          <w:color w:val="auto"/>
          <w:highlight w:val="none"/>
        </w:rPr>
        <w:t>“五个一”可推广率达到</w:t>
      </w:r>
      <w:r>
        <w:rPr>
          <w:rFonts w:hint="eastAsia"/>
          <w:color w:val="auto"/>
          <w:highlight w:val="none"/>
          <w:lang w:val="en-US" w:eastAsia="zh-CN"/>
        </w:rPr>
        <w:t>8</w:t>
      </w:r>
      <w:r>
        <w:rPr>
          <w:rFonts w:hint="eastAsia"/>
          <w:color w:val="auto"/>
          <w:highlight w:val="none"/>
        </w:rPr>
        <w:t>0%。</w:t>
      </w:r>
    </w:p>
    <w:p>
      <w:pPr>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rPr>
          <w:rFonts w:hint="eastAsia" w:ascii="Times New Roman" w:hAnsi="Times New Roman" w:eastAsia="仿宋_GB2312" w:cs="Times New Roman"/>
          <w:color w:val="auto"/>
          <w:highlight w:val="none"/>
          <w:lang w:val="en-US" w:eastAsia="zh-CN"/>
        </w:rPr>
      </w:pPr>
      <w:r>
        <w:rPr>
          <w:rFonts w:hint="eastAsia" w:ascii="仿宋_GB2312" w:hAnsi="仿宋_GB2312" w:eastAsia="仿宋_GB2312" w:cs="仿宋_GB2312"/>
          <w:b/>
          <w:bCs/>
          <w:color w:val="auto"/>
          <w:highlight w:val="none"/>
          <w:lang w:val="en-US" w:eastAsia="zh-CN"/>
        </w:rPr>
        <w:t>3.三年推广。</w:t>
      </w:r>
      <w:r>
        <w:rPr>
          <w:rFonts w:hint="default" w:ascii="Times New Roman" w:hAnsi="Times New Roman" w:eastAsia="仿宋" w:cs="Times New Roman"/>
          <w:color w:val="auto"/>
          <w:highlight w:val="none"/>
          <w:lang w:val="en-US" w:eastAsia="zh-CN"/>
        </w:rPr>
        <w:t>2026年，</w:t>
      </w:r>
      <w:r>
        <w:rPr>
          <w:rFonts w:hint="eastAsia" w:eastAsia="仿宋" w:cs="Times New Roman"/>
          <w:color w:val="auto"/>
          <w:highlight w:val="none"/>
          <w:lang w:val="en-US" w:eastAsia="zh-CN"/>
        </w:rPr>
        <w:t>特色楼宇数量增加20%，楼宇</w:t>
      </w:r>
      <w:r>
        <w:rPr>
          <w:rFonts w:hint="eastAsia"/>
          <w:color w:val="auto"/>
          <w:highlight w:val="none"/>
          <w:lang w:eastAsia="zh-CN"/>
        </w:rPr>
        <w:t>空置率降至</w:t>
      </w:r>
      <w:r>
        <w:rPr>
          <w:rFonts w:hint="eastAsia"/>
          <w:color w:val="auto"/>
          <w:highlight w:val="none"/>
          <w:lang w:val="en-US" w:eastAsia="zh-CN"/>
        </w:rPr>
        <w:t>15%，企业注册率</w:t>
      </w:r>
      <w:r>
        <w:rPr>
          <w:rFonts w:hint="eastAsia"/>
          <w:color w:val="auto"/>
          <w:highlight w:val="none"/>
        </w:rPr>
        <w:t>达到9</w:t>
      </w:r>
      <w:r>
        <w:rPr>
          <w:rFonts w:hint="eastAsia"/>
          <w:color w:val="auto"/>
          <w:highlight w:val="none"/>
          <w:lang w:val="en-US" w:eastAsia="zh-CN"/>
        </w:rPr>
        <w:t>0</w:t>
      </w:r>
      <w:r>
        <w:rPr>
          <w:rFonts w:hint="eastAsia"/>
          <w:color w:val="auto"/>
          <w:highlight w:val="none"/>
        </w:rPr>
        <w:t>%</w:t>
      </w:r>
      <w:r>
        <w:rPr>
          <w:rFonts w:hint="eastAsia"/>
          <w:color w:val="auto"/>
          <w:highlight w:val="none"/>
          <w:lang w:eastAsia="zh-CN"/>
        </w:rPr>
        <w:t>，税收</w:t>
      </w:r>
      <w:r>
        <w:rPr>
          <w:rFonts w:hint="eastAsia"/>
          <w:color w:val="auto"/>
          <w:highlight w:val="none"/>
        </w:rPr>
        <w:t>超千万元</w:t>
      </w:r>
      <w:r>
        <w:rPr>
          <w:rFonts w:hint="eastAsia"/>
          <w:color w:val="auto"/>
          <w:highlight w:val="none"/>
          <w:lang w:eastAsia="zh-CN"/>
        </w:rPr>
        <w:t>、超亿元</w:t>
      </w:r>
      <w:r>
        <w:rPr>
          <w:rFonts w:hint="eastAsia"/>
          <w:color w:val="auto"/>
          <w:highlight w:val="none"/>
        </w:rPr>
        <w:t>楼宇</w:t>
      </w:r>
      <w:r>
        <w:rPr>
          <w:rFonts w:hint="eastAsia"/>
          <w:color w:val="auto"/>
          <w:highlight w:val="none"/>
          <w:lang w:eastAsia="zh-CN"/>
        </w:rPr>
        <w:t>数量明显增多，</w:t>
      </w:r>
      <w:r>
        <w:rPr>
          <w:rFonts w:hint="eastAsia"/>
          <w:color w:val="auto"/>
          <w:highlight w:val="none"/>
        </w:rPr>
        <w:t>“五个一”可推广率达到</w:t>
      </w:r>
      <w:r>
        <w:rPr>
          <w:rFonts w:hint="eastAsia"/>
          <w:color w:val="auto"/>
          <w:highlight w:val="none"/>
          <w:lang w:val="en-US" w:eastAsia="zh-CN"/>
        </w:rPr>
        <w:t>10</w:t>
      </w:r>
      <w:r>
        <w:rPr>
          <w:rFonts w:hint="eastAsia"/>
          <w:color w:val="auto"/>
          <w:highlight w:val="none"/>
        </w:rPr>
        <w:t>0%。</w:t>
      </w:r>
    </w:p>
    <w:p>
      <w:pPr>
        <w:pStyle w:val="2"/>
        <w:pageBreakBefore w:val="0"/>
        <w:widowControl w:val="0"/>
        <w:kinsoku/>
        <w:wordWrap/>
        <w:overflowPunct/>
        <w:topLinePunct w:val="0"/>
        <w:autoSpaceDE/>
        <w:autoSpaceDN/>
        <w:bidi w:val="0"/>
        <w:adjustRightInd/>
        <w:snapToGrid/>
        <w:spacing w:before="0" w:beforeLines="0" w:after="0" w:afterLines="0" w:line="550" w:lineRule="exact"/>
        <w:ind w:firstLine="643"/>
        <w:textAlignment w:val="auto"/>
        <w:rPr>
          <w:rFonts w:hint="eastAsia" w:ascii="Times New Roman" w:hAnsi="Times New Roman" w:cs="Times New Roman"/>
          <w:b w:val="0"/>
          <w:bCs/>
          <w:color w:val="auto"/>
          <w:highlight w:val="none"/>
          <w:lang w:eastAsia="zh-CN"/>
        </w:rPr>
      </w:pPr>
      <w:r>
        <w:rPr>
          <w:rFonts w:hint="eastAsia" w:ascii="Times New Roman" w:hAnsi="Times New Roman" w:cs="Times New Roman"/>
          <w:b w:val="0"/>
          <w:bCs/>
          <w:color w:val="auto"/>
          <w:highlight w:val="none"/>
          <w:lang w:val="en-US" w:eastAsia="zh-CN"/>
        </w:rPr>
        <w:t>四、</w:t>
      </w:r>
      <w:r>
        <w:rPr>
          <w:rFonts w:hint="eastAsia" w:ascii="Times New Roman" w:hAnsi="Times New Roman" w:cs="Times New Roman"/>
          <w:b w:val="0"/>
          <w:bCs/>
          <w:color w:val="auto"/>
          <w:highlight w:val="none"/>
          <w:lang w:eastAsia="zh-CN"/>
        </w:rPr>
        <w:t>主要任务</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一</w:t>
      </w:r>
      <w:r>
        <w:rPr>
          <w:rFonts w:hint="eastAsia" w:ascii="Times New Roman" w:hAnsi="Times New Roman" w:cs="Times New Roman"/>
          <w:color w:val="auto"/>
          <w:highlight w:val="none"/>
          <w:lang w:eastAsia="zh-CN"/>
        </w:rPr>
        <w:t>）推进楼宇高标准建设及改造</w:t>
      </w:r>
    </w:p>
    <w:p>
      <w:pPr>
        <w:pageBreakBefore w:val="0"/>
        <w:widowControl w:val="0"/>
        <w:kinsoku/>
        <w:wordWrap/>
        <w:overflowPunct/>
        <w:topLinePunct w:val="0"/>
        <w:autoSpaceDE/>
        <w:autoSpaceDN/>
        <w:bidi w:val="0"/>
        <w:adjustRightInd/>
        <w:snapToGrid/>
        <w:spacing w:line="550" w:lineRule="exact"/>
        <w:textAlignment w:val="auto"/>
        <w:rPr>
          <w:rFonts w:hint="default" w:ascii="仿宋_GB2312" w:hAnsi="方正仿宋_GB2312" w:eastAsia="仿宋_GB2312" w:cs="方正仿宋_GB2312"/>
          <w:color w:val="auto"/>
          <w:sz w:val="32"/>
          <w:szCs w:val="32"/>
          <w:highlight w:val="none"/>
          <w:lang w:val="en-US" w:eastAsia="zh-CN"/>
        </w:rPr>
      </w:pPr>
      <w:r>
        <w:rPr>
          <w:rFonts w:hint="eastAsia"/>
          <w:b/>
          <w:bCs/>
          <w:lang w:val="en-US" w:eastAsia="zh-CN"/>
        </w:rPr>
        <w:t>1.增量楼宇高标准建设。</w:t>
      </w:r>
      <w:r>
        <w:rPr>
          <w:rFonts w:hint="eastAsia"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lang w:eastAsia="zh-CN"/>
        </w:rPr>
        <w:t>金凤区</w:t>
      </w:r>
      <w:r>
        <w:rPr>
          <w:rFonts w:hint="default" w:ascii="Times New Roman" w:hAnsi="Times New Roman" w:eastAsia="仿宋_GB2312" w:cs="Times New Roman"/>
          <w:color w:val="auto"/>
          <w:sz w:val="32"/>
          <w:szCs w:val="32"/>
          <w:highlight w:val="none"/>
        </w:rPr>
        <w:t>产业发展导向严格筛选优化增量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控制新建商业、办公楼宇项目数量</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重点推动“工业上楼”</w:t>
      </w:r>
      <w:r>
        <w:rPr>
          <w:rFonts w:hint="default" w:ascii="Times New Roman" w:hAnsi="Times New Roman" w:eastAsia="仿宋_GB2312" w:cs="Times New Roman"/>
          <w:color w:val="auto"/>
          <w:sz w:val="32"/>
          <w:szCs w:val="32"/>
          <w:highlight w:val="none"/>
        </w:rPr>
        <w:t>。加快中石化大厦、宁夏水利研发大厦、CBD智慧金融中心等楼宇的建设进度，</w:t>
      </w:r>
      <w:r>
        <w:rPr>
          <w:rFonts w:hint="default" w:ascii="Times New Roman" w:hAnsi="Times New Roman" w:eastAsia="仿宋_GB2312" w:cs="Times New Roman"/>
          <w:color w:val="auto"/>
          <w:szCs w:val="32"/>
          <w:highlight w:val="none"/>
        </w:rPr>
        <w:t>引导开发商超前研究楼宇业态定位，为招商入驻企业提供功能需求定制服务</w:t>
      </w:r>
      <w:r>
        <w:rPr>
          <w:rFonts w:hint="default" w:ascii="Times New Roman" w:hAnsi="Times New Roman" w:eastAsia="仿宋_GB2312" w:cs="Times New Roman"/>
          <w:color w:val="auto"/>
          <w:sz w:val="32"/>
          <w:szCs w:val="32"/>
          <w:highlight w:val="none"/>
          <w:lang w:eastAsia="zh-CN"/>
        </w:rPr>
        <w:t>。瞄准国内一流建设标准，坚持专业化、高端化管理理念，加强产城融合，鼓励引进全国知名商业地产开发企业参与开发建设高品质楼宇，并主导后续楼宇运营。</w:t>
      </w:r>
      <w:r>
        <w:rPr>
          <w:rFonts w:hint="eastAsia" w:ascii="仿宋_GB2312" w:hAnsi="方正仿宋_GB2312" w:eastAsia="仿宋_GB2312" w:cs="方正仿宋_GB2312"/>
          <w:color w:val="auto"/>
          <w:szCs w:val="32"/>
          <w:highlight w:val="none"/>
          <w:lang w:eastAsia="zh-CN"/>
        </w:rPr>
        <w:t>力争三年内实现</w:t>
      </w:r>
      <w:r>
        <w:rPr>
          <w:rFonts w:hint="eastAsia" w:ascii="仿宋_GB2312" w:hAnsi="方正仿宋_GB2312" w:eastAsia="仿宋_GB2312" w:cs="方正仿宋_GB2312"/>
          <w:color w:val="auto"/>
          <w:szCs w:val="32"/>
          <w:highlight w:val="none"/>
        </w:rPr>
        <w:t>甲级写字楼</w:t>
      </w:r>
      <w:r>
        <w:rPr>
          <w:rFonts w:hint="eastAsia" w:ascii="仿宋_GB2312" w:hAnsi="方正仿宋_GB2312" w:eastAsia="仿宋_GB2312" w:cs="方正仿宋_GB2312"/>
          <w:color w:val="auto"/>
          <w:szCs w:val="32"/>
          <w:highlight w:val="none"/>
          <w:lang w:eastAsia="zh-CN"/>
        </w:rPr>
        <w:t>零突破。</w:t>
      </w:r>
    </w:p>
    <w:p>
      <w:pPr>
        <w:pageBreakBefore w:val="0"/>
        <w:widowControl w:val="0"/>
        <w:kinsoku/>
        <w:wordWrap/>
        <w:overflowPunct/>
        <w:topLinePunct w:val="0"/>
        <w:autoSpaceDE/>
        <w:autoSpaceDN/>
        <w:bidi w:val="0"/>
        <w:adjustRightInd/>
        <w:snapToGrid/>
        <w:spacing w:line="550" w:lineRule="exact"/>
        <w:textAlignment w:val="auto"/>
        <w:rPr>
          <w:rFonts w:hint="default" w:eastAsia="仿宋_GB2312"/>
          <w:color w:val="auto"/>
          <w:highlight w:val="none"/>
          <w:lang w:val="en-US" w:eastAsia="zh-CN"/>
        </w:rPr>
      </w:pPr>
      <w:r>
        <w:rPr>
          <w:rFonts w:hint="eastAsia"/>
          <w:b/>
          <w:bCs/>
          <w:lang w:val="en-US" w:eastAsia="zh-CN"/>
        </w:rPr>
        <w:t>2.存量楼宇高标准改造。</w:t>
      </w:r>
      <w:r>
        <w:rPr>
          <w:rFonts w:hint="default" w:eastAsia="仿宋_GB2312" w:cs="Times New Roman"/>
          <w:color w:val="auto"/>
          <w:szCs w:val="32"/>
          <w:highlight w:val="none"/>
        </w:rPr>
        <w:t>针对现有存量资源建立“闲置楼宇”资源库，科学制定楼宇盘活方案，坚持开展</w:t>
      </w:r>
      <w:r>
        <w:rPr>
          <w:rFonts w:hint="eastAsia" w:eastAsia="仿宋_GB2312" w:cs="Times New Roman"/>
          <w:color w:val="auto"/>
          <w:szCs w:val="32"/>
          <w:highlight w:val="none"/>
          <w:lang w:eastAsia="zh-CN"/>
        </w:rPr>
        <w:t>更新改造</w:t>
      </w:r>
      <w:r>
        <w:rPr>
          <w:rFonts w:hint="default" w:eastAsia="仿宋_GB2312" w:cs="Times New Roman"/>
          <w:color w:val="auto"/>
          <w:szCs w:val="32"/>
          <w:highlight w:val="none"/>
        </w:rPr>
        <w:t>和二次招商服务工作，使闲置楼宇、低效楼宇“重焕生机”。</w:t>
      </w:r>
      <w:r>
        <w:rPr>
          <w:rFonts w:hint="default" w:eastAsia="仿宋_GB2312" w:cs="Times New Roman"/>
          <w:color w:val="auto"/>
          <w:szCs w:val="32"/>
          <w:highlight w:val="none"/>
          <w:lang w:eastAsia="zh-CN"/>
        </w:rPr>
        <w:t>鼓励老旧楼宇对外立面、停车场、电梯系统、电力设施等公共部位和共用设施实施升级改造。设置茶歇、共享、健身等社交空间，使楼宇更加生活化、人性化。注重全方位服务体系塑造，深化运营管理服务，搭建党建群团、民生事务、政策宣传、商务服务等多方面服务内容的综合平台，为楼宇内入驻企业、从业人员提供全方位个性化服务。</w:t>
      </w:r>
      <w:r>
        <w:rPr>
          <w:rFonts w:hint="default" w:eastAsia="仿宋_GB2312" w:cs="Times New Roman"/>
          <w:color w:val="auto"/>
          <w:szCs w:val="32"/>
          <w:highlight w:val="none"/>
        </w:rPr>
        <w:t>围绕停车、通行、会议、环境、安防、管理等应用场景，构建楼宇智能管理系统。</w:t>
      </w:r>
    </w:p>
    <w:p>
      <w:pPr>
        <w:pageBreakBefore w:val="0"/>
        <w:widowControl w:val="0"/>
        <w:kinsoku/>
        <w:wordWrap/>
        <w:overflowPunct/>
        <w:topLinePunct w:val="0"/>
        <w:autoSpaceDE/>
        <w:autoSpaceDN/>
        <w:bidi w:val="0"/>
        <w:adjustRightInd/>
        <w:snapToGrid/>
        <w:spacing w:line="550" w:lineRule="exact"/>
        <w:textAlignment w:val="auto"/>
        <w:rPr>
          <w:rFonts w:hint="default" w:eastAsia="仿宋_GB2312" w:cs="Times New Roman"/>
          <w:color w:val="auto"/>
          <w:szCs w:val="32"/>
          <w:highlight w:val="none"/>
        </w:rPr>
      </w:pPr>
      <w:r>
        <w:rPr>
          <w:rFonts w:hint="default"/>
          <w:b/>
          <w:bCs/>
          <w:lang w:val="en-US" w:eastAsia="zh-CN"/>
        </w:rPr>
        <w:t>3.综合配套高</w:t>
      </w:r>
      <w:r>
        <w:rPr>
          <w:rFonts w:hint="eastAsia"/>
          <w:b/>
          <w:bCs/>
          <w:lang w:val="en-US" w:eastAsia="zh-CN"/>
        </w:rPr>
        <w:t>标准</w:t>
      </w:r>
      <w:r>
        <w:rPr>
          <w:rFonts w:hint="default"/>
          <w:b/>
          <w:bCs/>
          <w:lang w:val="en-US" w:eastAsia="zh-CN"/>
        </w:rPr>
        <w:t>构建</w:t>
      </w:r>
      <w:r>
        <w:rPr>
          <w:rFonts w:hint="eastAsia"/>
          <w:b/>
          <w:bCs/>
          <w:lang w:val="en-US" w:eastAsia="zh-CN"/>
        </w:rPr>
        <w:t>。</w:t>
      </w:r>
      <w:r>
        <w:rPr>
          <w:rFonts w:hint="default" w:eastAsia="仿宋_GB2312" w:cs="Times New Roman"/>
          <w:color w:val="auto"/>
          <w:szCs w:val="32"/>
          <w:highlight w:val="none"/>
        </w:rPr>
        <w:t>加快楼宇周边</w:t>
      </w:r>
      <w:r>
        <w:rPr>
          <w:rFonts w:hint="eastAsia" w:cs="Times New Roman"/>
          <w:color w:val="auto"/>
          <w:szCs w:val="32"/>
          <w:highlight w:val="none"/>
          <w:lang w:eastAsia="zh-CN"/>
        </w:rPr>
        <w:t>公用</w:t>
      </w:r>
      <w:r>
        <w:rPr>
          <w:rFonts w:hint="default" w:eastAsia="仿宋_GB2312" w:cs="Times New Roman"/>
          <w:color w:val="auto"/>
          <w:szCs w:val="32"/>
          <w:highlight w:val="none"/>
        </w:rPr>
        <w:t>设施建设，加强环境</w:t>
      </w:r>
      <w:r>
        <w:rPr>
          <w:rFonts w:hint="eastAsia" w:cs="Times New Roman"/>
          <w:color w:val="auto"/>
          <w:szCs w:val="32"/>
          <w:highlight w:val="none"/>
          <w:lang w:eastAsia="zh-CN"/>
        </w:rPr>
        <w:t>卫生</w:t>
      </w:r>
      <w:r>
        <w:rPr>
          <w:rFonts w:hint="default" w:eastAsia="仿宋_GB2312" w:cs="Times New Roman"/>
          <w:color w:val="auto"/>
          <w:szCs w:val="32"/>
          <w:highlight w:val="none"/>
        </w:rPr>
        <w:t>整治，统筹完善餐饮、休闲娱乐、生活服务等商业商务配套，提升公共服务能力。改善楼宇周边交通环境，通过选择设定道路单行线、街区人行道清障以及清理占道经营等，提升楼宇生态质量，解决周边交通堵塞等质量问题。对楼宇</w:t>
      </w:r>
      <w:r>
        <w:rPr>
          <w:rFonts w:hint="eastAsia" w:cs="Times New Roman"/>
          <w:color w:val="auto"/>
          <w:szCs w:val="32"/>
          <w:highlight w:val="none"/>
          <w:lang w:eastAsia="zh-CN"/>
        </w:rPr>
        <w:t>周边</w:t>
      </w:r>
      <w:r>
        <w:rPr>
          <w:rFonts w:hint="default" w:eastAsia="仿宋_GB2312" w:cs="Times New Roman"/>
          <w:color w:val="auto"/>
          <w:szCs w:val="32"/>
          <w:highlight w:val="none"/>
        </w:rPr>
        <w:t>停车需求进行专项调研，列出需求清单</w:t>
      </w:r>
      <w:r>
        <w:rPr>
          <w:rFonts w:hint="eastAsia" w:cs="Times New Roman"/>
          <w:color w:val="auto"/>
          <w:szCs w:val="32"/>
          <w:highlight w:val="none"/>
          <w:lang w:eastAsia="zh-CN"/>
        </w:rPr>
        <w:t>，</w:t>
      </w:r>
      <w:r>
        <w:rPr>
          <w:rFonts w:hint="default" w:eastAsia="仿宋_GB2312" w:cs="Times New Roman"/>
          <w:color w:val="auto"/>
          <w:szCs w:val="32"/>
          <w:highlight w:val="none"/>
        </w:rPr>
        <w:t>推动</w:t>
      </w:r>
      <w:r>
        <w:rPr>
          <w:rFonts w:hint="default" w:eastAsia="仿宋_GB2312" w:cs="Times New Roman"/>
          <w:color w:val="auto"/>
          <w:szCs w:val="32"/>
          <w:highlight w:val="none"/>
          <w:lang w:eastAsia="zh-CN"/>
        </w:rPr>
        <w:t>楼宇</w:t>
      </w:r>
      <w:r>
        <w:rPr>
          <w:rFonts w:hint="default" w:eastAsia="仿宋_GB2312" w:cs="Times New Roman"/>
          <w:color w:val="auto"/>
          <w:szCs w:val="32"/>
          <w:highlight w:val="none"/>
        </w:rPr>
        <w:t>周边停车场工作日向楼宇企业开放，优化停车收费标准，推动现有公共停车场联网及专用停车场共享。鼓励楼宇开展</w:t>
      </w:r>
      <w:r>
        <w:rPr>
          <w:rFonts w:hint="eastAsia" w:cs="Times New Roman"/>
          <w:color w:val="auto"/>
          <w:szCs w:val="32"/>
          <w:highlight w:val="none"/>
          <w:lang w:eastAsia="zh-CN"/>
        </w:rPr>
        <w:t>“</w:t>
      </w:r>
      <w:r>
        <w:rPr>
          <w:rFonts w:hint="default" w:eastAsia="仿宋_GB2312" w:cs="Times New Roman"/>
          <w:color w:val="auto"/>
          <w:szCs w:val="32"/>
          <w:highlight w:val="none"/>
        </w:rPr>
        <w:t>午餐工程</w:t>
      </w:r>
      <w:r>
        <w:rPr>
          <w:rFonts w:hint="eastAsia" w:cs="Times New Roman"/>
          <w:color w:val="auto"/>
          <w:szCs w:val="32"/>
          <w:highlight w:val="none"/>
          <w:lang w:eastAsia="zh-CN"/>
        </w:rPr>
        <w:t>”，</w:t>
      </w:r>
      <w:r>
        <w:rPr>
          <w:rFonts w:hint="default" w:eastAsia="仿宋_GB2312" w:cs="Times New Roman"/>
          <w:color w:val="auto"/>
          <w:szCs w:val="32"/>
          <w:highlight w:val="none"/>
        </w:rPr>
        <w:t>充分利用楼宇周边的商超、餐饮企业资源，拓展大众餐饮服务渠道</w:t>
      </w:r>
      <w:r>
        <w:rPr>
          <w:rFonts w:hint="default" w:eastAsia="仿宋_GB2312" w:cs="Times New Roman"/>
          <w:color w:val="auto"/>
          <w:szCs w:val="32"/>
          <w:highlight w:val="none"/>
          <w:lang w:eastAsia="zh-CN"/>
        </w:rPr>
        <w:t>。</w:t>
      </w:r>
      <w:r>
        <w:rPr>
          <w:rFonts w:hint="default" w:eastAsia="仿宋_GB2312" w:cs="Times New Roman"/>
          <w:color w:val="auto"/>
          <w:szCs w:val="32"/>
          <w:highlight w:val="none"/>
        </w:rPr>
        <w:t>推动老旧楼宇改扩建健身房、会议中心等文体活动服务空间，完善楼宇托幼等配套服务，提升驻楼企业员工的体验感和便利度</w:t>
      </w:r>
      <w:r>
        <w:rPr>
          <w:rFonts w:hint="default" w:eastAsia="仿宋_GB2312" w:cs="Times New Roman"/>
          <w:color w:val="auto"/>
          <w:szCs w:val="32"/>
          <w:highlight w:val="none"/>
          <w:lang w:eastAsia="zh-CN"/>
        </w:rPr>
        <w:t>。</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二</w:t>
      </w:r>
      <w:r>
        <w:rPr>
          <w:rFonts w:hint="eastAsia" w:ascii="Times New Roman" w:hAnsi="Times New Roman" w:cs="Times New Roman"/>
          <w:color w:val="auto"/>
          <w:highlight w:val="none"/>
          <w:lang w:eastAsia="zh-CN"/>
        </w:rPr>
        <w:t>）构建重点楼宇分类发展体系</w:t>
      </w:r>
    </w:p>
    <w:p>
      <w:pPr>
        <w:pageBreakBefore w:val="0"/>
        <w:widowControl w:val="0"/>
        <w:kinsoku/>
        <w:wordWrap/>
        <w:overflowPunct/>
        <w:topLinePunct w:val="0"/>
        <w:autoSpaceDE/>
        <w:autoSpaceDN/>
        <w:bidi w:val="0"/>
        <w:adjustRightInd/>
        <w:snapToGrid/>
        <w:spacing w:line="550" w:lineRule="exact"/>
        <w:ind w:left="0" w:leftChars="0" w:right="0" w:rightChars="0"/>
        <w:jc w:val="left"/>
        <w:textAlignment w:val="auto"/>
        <w:rPr>
          <w:rFonts w:hint="default"/>
          <w:color w:val="auto"/>
          <w:highlight w:val="none"/>
          <w:lang w:val="en-US" w:eastAsia="zh-CN"/>
        </w:rPr>
      </w:pPr>
      <w:r>
        <w:rPr>
          <w:rFonts w:hint="eastAsia"/>
          <w:color w:val="auto"/>
          <w:highlight w:val="none"/>
          <w:lang w:eastAsia="zh-CN"/>
        </w:rPr>
        <w:t>以现有专业集中度</w:t>
      </w:r>
      <w:r>
        <w:rPr>
          <w:rStyle w:val="22"/>
          <w:rFonts w:hint="eastAsia"/>
          <w:color w:val="auto"/>
          <w:highlight w:val="none"/>
          <w:lang w:eastAsia="zh-CN"/>
        </w:rPr>
        <w:footnoteReference w:id="1"/>
      </w:r>
      <w:r>
        <w:rPr>
          <w:rFonts w:hint="eastAsia"/>
          <w:color w:val="auto"/>
          <w:highlight w:val="none"/>
          <w:lang w:val="en-US" w:eastAsia="zh-CN"/>
        </w:rPr>
        <w:t>5</w:t>
      </w:r>
      <w:r>
        <w:rPr>
          <w:rFonts w:hint="eastAsia"/>
          <w:color w:val="auto"/>
          <w:highlight w:val="none"/>
        </w:rPr>
        <w:t>0%</w:t>
      </w:r>
      <w:r>
        <w:rPr>
          <w:rFonts w:hint="eastAsia"/>
          <w:color w:val="auto"/>
          <w:highlight w:val="none"/>
          <w:lang w:eastAsia="zh-CN"/>
        </w:rPr>
        <w:t>以上的楼宇为重点，</w:t>
      </w:r>
      <w:r>
        <w:rPr>
          <w:rFonts w:hint="eastAsia"/>
          <w:color w:val="auto"/>
          <w:highlight w:val="none"/>
          <w:lang w:val="en-US" w:eastAsia="zh-CN"/>
        </w:rPr>
        <w:t>大力培育特色楼宇，推动产业聚集度提升、关联度增强。</w:t>
      </w:r>
    </w:p>
    <w:p>
      <w:pPr>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 w:cs="Times New Roman"/>
          <w:color w:val="auto"/>
          <w:sz w:val="32"/>
          <w:szCs w:val="32"/>
          <w:highlight w:val="none"/>
        </w:rPr>
      </w:pPr>
      <w:r>
        <w:rPr>
          <w:rFonts w:hint="eastAsia"/>
          <w:b/>
          <w:bCs/>
          <w:lang w:val="en-US" w:eastAsia="zh-CN"/>
        </w:rPr>
        <w:t>1.做精做强商务楼宇。</w:t>
      </w:r>
      <w:r>
        <w:rPr>
          <w:rFonts w:hint="eastAsia"/>
          <w:color w:val="auto"/>
          <w:highlight w:val="none"/>
        </w:rPr>
        <w:t>按照“一楼一产业、一楼一特色”原则，引导</w:t>
      </w:r>
      <w:r>
        <w:rPr>
          <w:rFonts w:hint="eastAsia"/>
          <w:color w:val="auto"/>
          <w:highlight w:val="none"/>
          <w:lang w:eastAsia="zh-CN"/>
        </w:rPr>
        <w:t>商务</w:t>
      </w:r>
      <w:r>
        <w:rPr>
          <w:rFonts w:hint="eastAsia"/>
          <w:color w:val="auto"/>
          <w:highlight w:val="none"/>
        </w:rPr>
        <w:t>楼宇运营商招大引强，走“高端化、精品化、特色化、专业化”发展道路。挖掘区域经济新的增长点，撬动区域融合经济发展的核心着力点，通过集聚招引行业龙头企业、领军企业等</w:t>
      </w:r>
      <w:r>
        <w:rPr>
          <w:rFonts w:hint="eastAsia"/>
          <w:color w:val="auto"/>
          <w:highlight w:val="none"/>
          <w:lang w:eastAsia="zh-CN"/>
        </w:rPr>
        <w:t>，进一步优化提升</w:t>
      </w:r>
      <w:r>
        <w:rPr>
          <w:rFonts w:hint="eastAsia"/>
          <w:color w:val="auto"/>
          <w:highlight w:val="none"/>
        </w:rPr>
        <w:t>金融中心</w:t>
      </w:r>
      <w:r>
        <w:rPr>
          <w:rFonts w:hint="eastAsia"/>
          <w:color w:val="auto"/>
          <w:highlight w:val="none"/>
          <w:lang w:eastAsia="zh-CN"/>
        </w:rPr>
        <w:t>、</w:t>
      </w:r>
      <w:r>
        <w:rPr>
          <w:rFonts w:hint="eastAsia"/>
          <w:color w:val="auto"/>
          <w:highlight w:val="none"/>
        </w:rPr>
        <w:t>鸿丰大厦</w:t>
      </w:r>
      <w:r>
        <w:rPr>
          <w:rFonts w:hint="eastAsia"/>
          <w:color w:val="auto"/>
          <w:highlight w:val="none"/>
          <w:lang w:eastAsia="zh-CN"/>
        </w:rPr>
        <w:t>等一批金融服务类特色楼宇，宁夏大学国家大学科技园、海沃空间黄河东路孵化基地等一批科技创新类特色楼宇，和信商务中心、亲水商务中心等一批商务咨询类特色楼宇；通过</w:t>
      </w:r>
      <w:r>
        <w:rPr>
          <w:color w:val="auto"/>
          <w:highlight w:val="none"/>
        </w:rPr>
        <w:t>开展以商</w:t>
      </w:r>
      <w:r>
        <w:rPr>
          <w:rFonts w:hint="eastAsia"/>
          <w:color w:val="auto"/>
          <w:highlight w:val="none"/>
          <w:lang w:eastAsia="zh-CN"/>
        </w:rPr>
        <w:t>招</w:t>
      </w:r>
      <w:r>
        <w:rPr>
          <w:color w:val="auto"/>
          <w:highlight w:val="none"/>
        </w:rPr>
        <w:t>商，</w:t>
      </w:r>
      <w:r>
        <w:rPr>
          <w:rFonts w:hint="eastAsia"/>
          <w:color w:val="auto"/>
          <w:highlight w:val="none"/>
          <w:lang w:eastAsia="zh-CN"/>
        </w:rPr>
        <w:t>拓展产业功能，延展产业链条，打造宁夏国际会议中心等会展文创特色楼宇，升级金榜大厦、建材大厦、路桥大厦等传统建筑工程类特色楼宇；</w:t>
      </w:r>
      <w:r>
        <w:rPr>
          <w:rFonts w:hint="eastAsia" w:ascii="仿宋_GB2312" w:hAnsi="仿宋" w:eastAsia="仿宋_GB2312" w:cs="Times New Roman"/>
          <w:color w:val="auto"/>
          <w:sz w:val="32"/>
          <w:szCs w:val="32"/>
          <w:highlight w:val="none"/>
        </w:rPr>
        <w:t>与总部经济、平台经济、</w:t>
      </w:r>
      <w:r>
        <w:rPr>
          <w:rFonts w:hint="eastAsia" w:ascii="仿宋_GB2312" w:hAnsi="仿宋" w:cs="Times New Roman"/>
          <w:color w:val="auto"/>
          <w:sz w:val="32"/>
          <w:szCs w:val="32"/>
          <w:highlight w:val="none"/>
          <w:lang w:eastAsia="zh-CN"/>
        </w:rPr>
        <w:t>数字</w:t>
      </w:r>
      <w:r>
        <w:rPr>
          <w:rFonts w:hint="eastAsia" w:ascii="仿宋_GB2312" w:hAnsi="仿宋" w:eastAsia="仿宋_GB2312" w:cs="Times New Roman"/>
          <w:color w:val="auto"/>
          <w:sz w:val="32"/>
          <w:szCs w:val="32"/>
          <w:highlight w:val="none"/>
        </w:rPr>
        <w:t>经济等业态聚力融合，打造</w:t>
      </w:r>
      <w:r>
        <w:rPr>
          <w:rFonts w:hint="eastAsia" w:ascii="仿宋_GB2312" w:hAnsi="仿宋" w:cs="Times New Roman"/>
          <w:color w:val="auto"/>
          <w:sz w:val="32"/>
          <w:szCs w:val="32"/>
          <w:highlight w:val="none"/>
          <w:lang w:eastAsia="zh-CN"/>
        </w:rPr>
        <w:t>一批总部</w:t>
      </w:r>
      <w:r>
        <w:rPr>
          <w:rFonts w:hint="eastAsia" w:ascii="Times New Roman" w:hAnsi="Times New Roman" w:cstheme="minorBidi"/>
          <w:color w:val="auto"/>
          <w:sz w:val="32"/>
          <w:szCs w:val="22"/>
          <w:highlight w:val="none"/>
          <w:lang w:eastAsia="zh-CN"/>
        </w:rPr>
        <w:t>经济产业特色楼宇、电商产业特色楼宇等</w:t>
      </w:r>
      <w:r>
        <w:rPr>
          <w:rFonts w:hint="eastAsia" w:ascii="Times New Roman" w:hAnsi="Times New Roman" w:eastAsia="仿宋_GB2312" w:cstheme="minorBidi"/>
          <w:color w:val="auto"/>
          <w:sz w:val="32"/>
          <w:szCs w:val="22"/>
          <w:highlight w:val="none"/>
        </w:rPr>
        <w:t>“新经济商务综合体”</w:t>
      </w:r>
      <w:r>
        <w:rPr>
          <w:rFonts w:hint="eastAsia" w:cstheme="minorBidi"/>
          <w:color w:val="auto"/>
          <w:sz w:val="32"/>
          <w:szCs w:val="22"/>
          <w:highlight w:val="none"/>
          <w:lang w:eastAsia="zh-CN"/>
        </w:rPr>
        <w:t>。</w:t>
      </w:r>
    </w:p>
    <w:p>
      <w:pPr>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color w:val="auto"/>
          <w:highlight w:val="none"/>
        </w:rPr>
      </w:pPr>
      <w:r>
        <w:rPr>
          <w:rFonts w:hint="eastAsia"/>
          <w:b/>
          <w:bCs/>
          <w:lang w:val="en-US" w:eastAsia="zh-CN"/>
        </w:rPr>
        <w:t>2.</w:t>
      </w:r>
      <w:r>
        <w:rPr>
          <w:rFonts w:hint="eastAsia"/>
          <w:b/>
          <w:bCs/>
        </w:rPr>
        <w:t>做优做美商业楼宇</w:t>
      </w:r>
      <w:r>
        <w:rPr>
          <w:rFonts w:hint="eastAsia"/>
          <w:b/>
          <w:bCs/>
          <w:lang w:eastAsia="zh-CN"/>
        </w:rPr>
        <w:t>。</w:t>
      </w:r>
      <w:r>
        <w:rPr>
          <w:rFonts w:hint="eastAsia" w:ascii="Times New Roman" w:hAnsi="Times New Roman"/>
          <w:color w:val="auto"/>
          <w:highlight w:val="none"/>
        </w:rPr>
        <w:t>积极融入区域消费中心建设，建设“特色商圈、时尚街区、网红店铺、节日会展”多元化、多层次消费载体，优化商业服务设施布局。提升发展六大商圈，推进城市商业综合体建设，改造提升商贸、餐饮、住宿等传统服务业，发展新型商业业态，推进会展、金融保险、科技服务、数字经济等现代服务业</w:t>
      </w:r>
      <w:r>
        <w:rPr>
          <w:rFonts w:hint="eastAsia" w:ascii="Times New Roman" w:hAnsi="Times New Roman"/>
          <w:color w:val="auto"/>
          <w:highlight w:val="none"/>
          <w:lang w:eastAsia="zh-CN"/>
        </w:rPr>
        <w:t>发展</w:t>
      </w:r>
      <w:r>
        <w:rPr>
          <w:rFonts w:hint="eastAsia" w:ascii="Times New Roman" w:hAnsi="Times New Roman"/>
          <w:color w:val="auto"/>
          <w:highlight w:val="none"/>
        </w:rPr>
        <w:t>。强调商业消费模式多样化、数字化发展，积极鼓励以盒马鲜生为代表的新零售模式推广发展，创新无接触式消费模式，探索发展智慧超市、智慧商店、智慧餐厅等新零售业态，打造创意生活体验消费目的地。以互联网技术为核心，培育发展商业云经济、颜值经济、注意力经济等新消费经济模式，以创新技术驱动商业智慧化、场景化、复合化全面升级，打造未来城市“生活休闲体验空间”</w:t>
      </w:r>
      <w:r>
        <w:rPr>
          <w:rFonts w:hint="eastAsia" w:ascii="Times New Roman" w:hAnsi="Times New Roman"/>
          <w:color w:val="auto"/>
          <w:highlight w:val="none"/>
          <w:lang w:eastAsia="zh-CN"/>
        </w:rPr>
        <w:t>。</w:t>
      </w:r>
    </w:p>
    <w:p>
      <w:pPr>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cs="Times New Roman"/>
          <w:color w:val="auto"/>
          <w:highlight w:val="none"/>
          <w:lang w:eastAsia="zh-CN"/>
        </w:rPr>
      </w:pPr>
      <w:r>
        <w:rPr>
          <w:rFonts w:hint="eastAsia"/>
          <w:b/>
          <w:bCs/>
          <w:lang w:val="en-US" w:eastAsia="zh-CN"/>
        </w:rPr>
        <w:t>3.</w:t>
      </w:r>
      <w:r>
        <w:rPr>
          <w:rFonts w:hint="default"/>
          <w:b/>
          <w:bCs/>
          <w:lang w:val="en-US" w:eastAsia="zh-CN"/>
        </w:rPr>
        <w:t>做专做特工业楼宇</w:t>
      </w:r>
      <w:r>
        <w:rPr>
          <w:rFonts w:hint="eastAsia"/>
          <w:b/>
          <w:bCs/>
          <w:lang w:val="en-US" w:eastAsia="zh-CN"/>
        </w:rPr>
        <w:t>。</w:t>
      </w:r>
      <w:r>
        <w:rPr>
          <w:rFonts w:hint="eastAsia"/>
          <w:color w:val="auto"/>
          <w:highlight w:val="none"/>
        </w:rPr>
        <w:t>坚持</w:t>
      </w:r>
      <w:r>
        <w:rPr>
          <w:rFonts w:hint="eastAsia"/>
          <w:color w:val="auto"/>
          <w:highlight w:val="none"/>
          <w:lang w:eastAsia="zh-CN"/>
        </w:rPr>
        <w:t>“</w:t>
      </w:r>
      <w:r>
        <w:rPr>
          <w:rFonts w:hint="eastAsia"/>
          <w:color w:val="auto"/>
          <w:highlight w:val="none"/>
        </w:rPr>
        <w:t>产、科、城、人深度融合</w:t>
      </w:r>
      <w:r>
        <w:rPr>
          <w:rFonts w:hint="eastAsia"/>
          <w:color w:val="auto"/>
          <w:highlight w:val="none"/>
          <w:lang w:eastAsia="zh-CN"/>
        </w:rPr>
        <w:t>”</w:t>
      </w:r>
      <w:r>
        <w:rPr>
          <w:rFonts w:hint="eastAsia"/>
          <w:color w:val="auto"/>
          <w:highlight w:val="none"/>
        </w:rPr>
        <w:t>发展理念，坚持</w:t>
      </w:r>
      <w:r>
        <w:rPr>
          <w:rFonts w:hint="eastAsia"/>
          <w:color w:val="auto"/>
          <w:highlight w:val="none"/>
          <w:lang w:eastAsia="zh-CN"/>
        </w:rPr>
        <w:t>“</w:t>
      </w:r>
      <w:r>
        <w:rPr>
          <w:rFonts w:hint="eastAsia"/>
          <w:color w:val="auto"/>
          <w:highlight w:val="none"/>
        </w:rPr>
        <w:t>产业集聚、技术创新、</w:t>
      </w:r>
      <w:r>
        <w:rPr>
          <w:color w:val="auto"/>
          <w:highlight w:val="none"/>
        </w:rPr>
        <w:t>特色鲜明</w:t>
      </w:r>
      <w:r>
        <w:rPr>
          <w:rFonts w:hint="eastAsia"/>
          <w:color w:val="auto"/>
          <w:highlight w:val="none"/>
          <w:lang w:eastAsia="zh-CN"/>
        </w:rPr>
        <w:t>”</w:t>
      </w:r>
      <w:r>
        <w:rPr>
          <w:color w:val="auto"/>
          <w:highlight w:val="none"/>
        </w:rPr>
        <w:t>推进路径，聚焦</w:t>
      </w:r>
      <w:r>
        <w:rPr>
          <w:rFonts w:hint="eastAsia"/>
          <w:color w:val="auto"/>
          <w:highlight w:val="none"/>
          <w:lang w:eastAsia="zh-CN"/>
        </w:rPr>
        <w:t>金凤</w:t>
      </w:r>
      <w:r>
        <w:rPr>
          <w:rFonts w:hint="eastAsia"/>
          <w:color w:val="auto"/>
          <w:highlight w:val="none"/>
        </w:rPr>
        <w:t>区主导</w:t>
      </w:r>
      <w:r>
        <w:rPr>
          <w:color w:val="auto"/>
          <w:highlight w:val="none"/>
        </w:rPr>
        <w:t>产业，完成传统工业转型升级，</w:t>
      </w:r>
      <w:r>
        <w:rPr>
          <w:rFonts w:hint="eastAsia"/>
          <w:color w:val="auto"/>
          <w:highlight w:val="none"/>
        </w:rPr>
        <w:t>引导新型产业空间结构合理分布。积极盘活阅海湾中央商务区闲置楼宇资源、工业企业闲置厂房资源以及</w:t>
      </w:r>
      <w:r>
        <w:rPr>
          <w:rFonts w:hint="eastAsia"/>
          <w:color w:val="auto"/>
          <w:highlight w:val="none"/>
          <w:lang w:eastAsia="zh-CN"/>
        </w:rPr>
        <w:t>其他</w:t>
      </w:r>
      <w:r>
        <w:rPr>
          <w:rFonts w:hint="eastAsia"/>
          <w:color w:val="auto"/>
          <w:highlight w:val="none"/>
        </w:rPr>
        <w:t>闲置营业房资源，通过二次招商等方式提高资源利用率，大力发展创意设计、艺术品加工、定制定做</w:t>
      </w:r>
      <w:r>
        <w:rPr>
          <w:rFonts w:hint="eastAsia"/>
          <w:color w:val="auto"/>
          <w:highlight w:val="none"/>
          <w:lang w:eastAsia="zh-CN"/>
        </w:rPr>
        <w:t>、</w:t>
      </w:r>
      <w:r>
        <w:rPr>
          <w:rFonts w:hint="eastAsia"/>
          <w:color w:val="auto"/>
          <w:highlight w:val="none"/>
        </w:rPr>
        <w:t>软件开发、影音制作等楼宇加工业。鼓励工业研发设计</w:t>
      </w:r>
      <w:r>
        <w:rPr>
          <w:rFonts w:hint="eastAsia"/>
          <w:color w:val="auto"/>
          <w:highlight w:val="none"/>
          <w:lang w:eastAsia="zh-CN"/>
        </w:rPr>
        <w:t>，</w:t>
      </w:r>
      <w:r>
        <w:rPr>
          <w:rFonts w:hint="eastAsia"/>
          <w:color w:val="auto"/>
          <w:highlight w:val="none"/>
        </w:rPr>
        <w:t>把握银川经济技术开发区综合配套区建设、轴承小镇投产等契机，培育发展装备制造、生物制药研发、机械设计等，打造金凤“工业大脑”功能。</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三</w:t>
      </w:r>
      <w:r>
        <w:rPr>
          <w:rFonts w:hint="eastAsia" w:ascii="Times New Roman" w:hAnsi="Times New Roman" w:cs="Times New Roman"/>
          <w:color w:val="auto"/>
          <w:highlight w:val="none"/>
          <w:lang w:eastAsia="zh-CN"/>
        </w:rPr>
        <w:t>）着力提高楼宇经济产出效益</w:t>
      </w:r>
    </w:p>
    <w:p>
      <w:pPr>
        <w:pageBreakBefore w:val="0"/>
        <w:widowControl w:val="0"/>
        <w:kinsoku/>
        <w:wordWrap/>
        <w:overflowPunct/>
        <w:topLinePunct w:val="0"/>
        <w:autoSpaceDE/>
        <w:autoSpaceDN/>
        <w:bidi w:val="0"/>
        <w:adjustRightInd/>
        <w:snapToGrid/>
        <w:spacing w:line="550" w:lineRule="exact"/>
        <w:textAlignment w:val="auto"/>
        <w:rPr>
          <w:rFonts w:hint="eastAsia" w:eastAsia="仿宋_GB2312"/>
          <w:color w:val="auto"/>
          <w:highlight w:val="none"/>
          <w:lang w:eastAsia="zh-CN"/>
        </w:rPr>
      </w:pPr>
      <w:r>
        <w:rPr>
          <w:rFonts w:hint="eastAsia"/>
          <w:b/>
          <w:bCs/>
          <w:lang w:eastAsia="zh-CN"/>
        </w:rPr>
        <w:t>1.</w:t>
      </w:r>
      <w:r>
        <w:rPr>
          <w:b/>
          <w:bCs/>
        </w:rPr>
        <w:t>提升</w:t>
      </w:r>
      <w:r>
        <w:rPr>
          <w:rFonts w:hint="eastAsia"/>
          <w:b/>
          <w:bCs/>
          <w:lang w:val="en-US" w:eastAsia="zh-CN"/>
        </w:rPr>
        <w:t>楼宇产业规模。</w:t>
      </w:r>
      <w:r>
        <w:rPr>
          <w:color w:val="auto"/>
          <w:highlight w:val="none"/>
        </w:rPr>
        <w:t>重点培育</w:t>
      </w:r>
      <w:r>
        <w:rPr>
          <w:rFonts w:hint="eastAsia" w:ascii="仿宋_GB2312" w:hAnsi="仿宋_GB2312" w:eastAsia="仿宋_GB2312" w:cs="仿宋_GB2312"/>
          <w:color w:val="auto"/>
          <w:sz w:val="32"/>
          <w:szCs w:val="32"/>
          <w:highlight w:val="none"/>
        </w:rPr>
        <w:t>保险大厦</w:t>
      </w:r>
      <w:r>
        <w:rPr>
          <w:rFonts w:hint="eastAsia" w:ascii="仿宋_GB2312" w:hAnsi="仿宋_GB2312" w:cs="仿宋_GB2312"/>
          <w:color w:val="auto"/>
          <w:sz w:val="32"/>
          <w:szCs w:val="32"/>
          <w:highlight w:val="none"/>
          <w:lang w:eastAsia="zh-CN"/>
        </w:rPr>
        <w:t>、金融中心</w:t>
      </w:r>
      <w:r>
        <w:rPr>
          <w:color w:val="auto"/>
          <w:highlight w:val="none"/>
        </w:rPr>
        <w:t>等高</w:t>
      </w:r>
      <w:r>
        <w:rPr>
          <w:rFonts w:hint="eastAsia"/>
          <w:color w:val="auto"/>
          <w:highlight w:val="none"/>
          <w:lang w:eastAsia="zh-CN"/>
        </w:rPr>
        <w:t>产出</w:t>
      </w:r>
      <w:r>
        <w:rPr>
          <w:color w:val="auto"/>
          <w:highlight w:val="none"/>
        </w:rPr>
        <w:t>楼宇，助力引导</w:t>
      </w:r>
      <w:r>
        <w:rPr>
          <w:rFonts w:hint="eastAsia"/>
          <w:color w:val="auto"/>
          <w:highlight w:val="none"/>
          <w:lang w:eastAsia="zh-CN"/>
        </w:rPr>
        <w:t>全</w:t>
      </w:r>
      <w:r>
        <w:rPr>
          <w:rFonts w:hint="eastAsia"/>
          <w:color w:val="auto"/>
          <w:highlight w:val="none"/>
        </w:rPr>
        <w:t>国500强企业、大型企业</w:t>
      </w:r>
      <w:r>
        <w:rPr>
          <w:rFonts w:hint="eastAsia"/>
          <w:color w:val="auto"/>
          <w:highlight w:val="none"/>
          <w:lang w:eastAsia="zh-CN"/>
        </w:rPr>
        <w:t>及宁蒙甘陕地区中小型企业</w:t>
      </w:r>
      <w:r>
        <w:rPr>
          <w:color w:val="auto"/>
          <w:highlight w:val="none"/>
        </w:rPr>
        <w:t>把结算中心、研发中心、营销中心等功能性机构迁入楼宇</w:t>
      </w:r>
      <w:r>
        <w:rPr>
          <w:rFonts w:hint="eastAsia"/>
          <w:color w:val="auto"/>
          <w:highlight w:val="none"/>
          <w:lang w:eastAsia="zh-CN"/>
        </w:rPr>
        <w:t>，推动重点楼宇年度综合贡献保持稳步增长。鼓励楼宇内平台企业、总部企业、领军企业、独角兽企业等发挥优势，集聚行业相关生态企业，形成产业链配套，打造专业特色楼宇，做大楼宇整体营收规模和产出规模。</w:t>
      </w:r>
    </w:p>
    <w:p>
      <w:pPr>
        <w:pageBreakBefore w:val="0"/>
        <w:widowControl w:val="0"/>
        <w:kinsoku/>
        <w:wordWrap/>
        <w:overflowPunct/>
        <w:topLinePunct w:val="0"/>
        <w:autoSpaceDE/>
        <w:autoSpaceDN/>
        <w:bidi w:val="0"/>
        <w:adjustRightInd/>
        <w:snapToGrid/>
        <w:spacing w:line="550" w:lineRule="exact"/>
        <w:textAlignment w:val="auto"/>
        <w:rPr>
          <w:rFonts w:hint="eastAsia"/>
          <w:color w:val="auto"/>
          <w:highlight w:val="none"/>
        </w:rPr>
      </w:pPr>
      <w:r>
        <w:rPr>
          <w:rFonts w:hint="eastAsia"/>
          <w:b/>
          <w:bCs/>
          <w:lang w:val="en-US" w:eastAsia="zh-CN"/>
        </w:rPr>
        <w:t>2.</w:t>
      </w:r>
      <w:r>
        <w:rPr>
          <w:rFonts w:hint="eastAsia"/>
          <w:b/>
          <w:bCs/>
        </w:rPr>
        <w:t>加大税源培育</w:t>
      </w:r>
      <w:r>
        <w:rPr>
          <w:rFonts w:hint="eastAsia"/>
          <w:b/>
          <w:bCs/>
          <w:lang w:eastAsia="zh-CN"/>
        </w:rPr>
        <w:t>力度。</w:t>
      </w:r>
      <w:r>
        <w:rPr>
          <w:rFonts w:hint="eastAsia"/>
          <w:color w:val="auto"/>
          <w:highlight w:val="none"/>
        </w:rPr>
        <w:t>充分发挥新建楼宇优质资源作用，</w:t>
      </w:r>
      <w:r>
        <w:rPr>
          <w:rFonts w:hint="eastAsia"/>
          <w:color w:val="auto"/>
          <w:highlight w:val="none"/>
          <w:lang w:eastAsia="zh-CN"/>
        </w:rPr>
        <w:t>将</w:t>
      </w:r>
      <w:r>
        <w:rPr>
          <w:rFonts w:hint="eastAsia"/>
          <w:color w:val="auto"/>
          <w:highlight w:val="none"/>
        </w:rPr>
        <w:t>“在</w:t>
      </w:r>
      <w:r>
        <w:rPr>
          <w:rFonts w:hint="eastAsia"/>
          <w:color w:val="auto"/>
          <w:highlight w:val="none"/>
          <w:lang w:eastAsia="zh-CN"/>
        </w:rPr>
        <w:t>金凤</w:t>
      </w:r>
      <w:r>
        <w:rPr>
          <w:rFonts w:hint="eastAsia"/>
          <w:color w:val="auto"/>
          <w:highlight w:val="none"/>
        </w:rPr>
        <w:t>注册、在</w:t>
      </w:r>
      <w:r>
        <w:rPr>
          <w:rFonts w:hint="eastAsia"/>
          <w:color w:val="auto"/>
          <w:highlight w:val="none"/>
          <w:lang w:eastAsia="zh-CN"/>
        </w:rPr>
        <w:t>金凤</w:t>
      </w:r>
      <w:r>
        <w:rPr>
          <w:rFonts w:hint="eastAsia"/>
          <w:color w:val="auto"/>
          <w:highlight w:val="none"/>
        </w:rPr>
        <w:t>结算、在</w:t>
      </w:r>
      <w:r>
        <w:rPr>
          <w:rFonts w:hint="eastAsia"/>
          <w:color w:val="auto"/>
          <w:highlight w:val="none"/>
          <w:lang w:eastAsia="zh-CN"/>
        </w:rPr>
        <w:t>金凤</w:t>
      </w:r>
      <w:r>
        <w:rPr>
          <w:rFonts w:hint="eastAsia"/>
          <w:color w:val="auto"/>
          <w:highlight w:val="none"/>
        </w:rPr>
        <w:t>纳税”</w:t>
      </w:r>
      <w:r>
        <w:rPr>
          <w:rFonts w:hint="eastAsia"/>
          <w:color w:val="auto"/>
          <w:highlight w:val="none"/>
          <w:lang w:eastAsia="zh-CN"/>
        </w:rPr>
        <w:t>作为楼宇招商重点</w:t>
      </w:r>
      <w:r>
        <w:rPr>
          <w:rFonts w:hint="eastAsia"/>
          <w:color w:val="auto"/>
          <w:highlight w:val="none"/>
        </w:rPr>
        <w:t>，鼓励和支持楼宇招纳知名大企业、大公司进驻，形成稳定性高、支撑力强的税源支撑体系。积极开展</w:t>
      </w:r>
      <w:r>
        <w:rPr>
          <w:rFonts w:hint="eastAsia"/>
          <w:color w:val="auto"/>
          <w:highlight w:val="none"/>
          <w:lang w:eastAsia="zh-CN"/>
        </w:rPr>
        <w:t>现有楼宇</w:t>
      </w:r>
      <w:r>
        <w:rPr>
          <w:rFonts w:hint="eastAsia"/>
          <w:color w:val="auto"/>
          <w:highlight w:val="none"/>
        </w:rPr>
        <w:t>未注册、未登记、未纳税企业的清查工作，建立重点税源企业专用档案，完善税源监控机制，加强税源预测分析，全面掌握重点税源变化情况，强化纳税服务，确保楼宇税收应收尽收。</w:t>
      </w:r>
      <w:r>
        <w:rPr>
          <w:rFonts w:hint="eastAsia"/>
          <w:color w:val="auto"/>
          <w:highlight w:val="none"/>
          <w:lang w:eastAsia="zh-CN"/>
        </w:rPr>
        <w:t>重点开展异地纳税企业走访调研及服务工作，力争外注内营税源归位。</w:t>
      </w:r>
      <w:r>
        <w:rPr>
          <w:rFonts w:hint="eastAsia"/>
          <w:color w:val="auto"/>
          <w:highlight w:val="none"/>
        </w:rPr>
        <w:t>实施亿元楼宇梯度培育计划，助推“准亿元楼宇”“准千万元楼宇”加快晋级，</w:t>
      </w:r>
      <w:r>
        <w:rPr>
          <w:rFonts w:hint="eastAsia"/>
          <w:color w:val="auto"/>
          <w:highlight w:val="none"/>
          <w:lang w:eastAsia="zh-CN"/>
        </w:rPr>
        <w:t>加大</w:t>
      </w:r>
      <w:r>
        <w:rPr>
          <w:rFonts w:hint="eastAsia"/>
          <w:color w:val="auto"/>
          <w:highlight w:val="none"/>
        </w:rPr>
        <w:t>成长型小微企业的培育力度，努力扩大税源后续储备。</w:t>
      </w:r>
    </w:p>
    <w:p>
      <w:pPr>
        <w:pageBreakBefore w:val="0"/>
        <w:widowControl w:val="0"/>
        <w:kinsoku/>
        <w:wordWrap/>
        <w:overflowPunct/>
        <w:topLinePunct w:val="0"/>
        <w:autoSpaceDE/>
        <w:autoSpaceDN/>
        <w:bidi w:val="0"/>
        <w:adjustRightInd/>
        <w:snapToGrid/>
        <w:spacing w:line="550" w:lineRule="exact"/>
        <w:textAlignment w:val="auto"/>
        <w:rPr>
          <w:rFonts w:hint="eastAsia" w:ascii="楷体_GB2312" w:hAnsi="楷体_GB2312" w:eastAsia="楷体_GB2312" w:cs="楷体_GB2312"/>
          <w:b/>
          <w:bCs/>
          <w:color w:val="auto"/>
          <w:highlight w:val="none"/>
          <w:lang w:eastAsia="zh-CN"/>
        </w:rPr>
      </w:pPr>
      <w:r>
        <w:rPr>
          <w:rFonts w:hint="eastAsia" w:ascii="楷体_GB2312" w:hAnsi="楷体_GB2312" w:eastAsia="楷体_GB2312" w:cs="楷体_GB2312"/>
          <w:b/>
          <w:bCs/>
          <w:color w:val="auto"/>
          <w:highlight w:val="none"/>
          <w:lang w:eastAsia="zh-CN"/>
        </w:rPr>
        <w:t>（</w:t>
      </w:r>
      <w:r>
        <w:rPr>
          <w:rFonts w:hint="eastAsia" w:ascii="楷体_GB2312" w:hAnsi="楷体_GB2312" w:eastAsia="楷体_GB2312" w:cs="楷体_GB2312"/>
          <w:b/>
          <w:bCs/>
          <w:color w:val="auto"/>
          <w:highlight w:val="none"/>
          <w:lang w:val="en-US" w:eastAsia="zh-CN"/>
        </w:rPr>
        <w:t>四</w:t>
      </w:r>
      <w:r>
        <w:rPr>
          <w:rFonts w:hint="eastAsia" w:ascii="楷体_GB2312" w:hAnsi="楷体_GB2312" w:eastAsia="楷体_GB2312" w:cs="楷体_GB2312"/>
          <w:b/>
          <w:bCs/>
          <w:color w:val="auto"/>
          <w:highlight w:val="none"/>
          <w:lang w:eastAsia="zh-CN"/>
        </w:rPr>
        <w:t>）拓展</w:t>
      </w:r>
      <w:r>
        <w:rPr>
          <w:rFonts w:hint="eastAsia" w:ascii="楷体_GB2312" w:hAnsi="楷体_GB2312" w:eastAsia="楷体_GB2312" w:cs="楷体_GB2312"/>
          <w:b/>
          <w:bCs/>
          <w:color w:val="auto"/>
          <w:highlight w:val="none"/>
        </w:rPr>
        <w:t>楼宇</w:t>
      </w:r>
      <w:r>
        <w:rPr>
          <w:rFonts w:hint="eastAsia" w:ascii="楷体_GB2312" w:hAnsi="楷体_GB2312" w:eastAsia="楷体_GB2312" w:cs="楷体_GB2312"/>
          <w:b/>
          <w:bCs/>
          <w:color w:val="auto"/>
          <w:highlight w:val="none"/>
          <w:lang w:eastAsia="zh-CN"/>
        </w:rPr>
        <w:t>招商模式和行业资源</w:t>
      </w:r>
    </w:p>
    <w:p>
      <w:pPr>
        <w:pageBreakBefore w:val="0"/>
        <w:widowControl w:val="0"/>
        <w:kinsoku/>
        <w:wordWrap/>
        <w:overflowPunct/>
        <w:topLinePunct w:val="0"/>
        <w:autoSpaceDE/>
        <w:autoSpaceDN/>
        <w:bidi w:val="0"/>
        <w:adjustRightInd/>
        <w:snapToGrid/>
        <w:spacing w:line="550" w:lineRule="exact"/>
        <w:textAlignment w:val="auto"/>
        <w:rPr>
          <w:color w:val="auto"/>
          <w:highlight w:val="none"/>
        </w:rPr>
      </w:pPr>
      <w:r>
        <w:rPr>
          <w:rFonts w:hint="eastAsia"/>
          <w:b/>
          <w:bCs/>
          <w:lang w:val="en-US" w:eastAsia="zh-CN"/>
        </w:rPr>
        <w:t>1.</w:t>
      </w:r>
      <w:r>
        <w:rPr>
          <w:rFonts w:hint="eastAsia"/>
          <w:b/>
          <w:bCs/>
          <w:lang w:eastAsia="zh-CN"/>
        </w:rPr>
        <w:t>推进</w:t>
      </w:r>
      <w:r>
        <w:rPr>
          <w:b/>
          <w:bCs/>
        </w:rPr>
        <w:t>联合招商模式</w:t>
      </w:r>
      <w:r>
        <w:rPr>
          <w:rFonts w:hint="eastAsia"/>
          <w:b/>
          <w:bCs/>
          <w:lang w:eastAsia="zh-CN"/>
        </w:rPr>
        <w:t>。</w:t>
      </w:r>
      <w:r>
        <w:rPr>
          <w:rFonts w:hint="eastAsia"/>
          <w:color w:val="auto"/>
          <w:highlight w:val="none"/>
          <w:lang w:eastAsia="zh-CN"/>
        </w:rPr>
        <w:t>探索建立楼宇经济招商联盟，推动招商引资“一盘棋”，打破楼宇“孤岛效应”，搭建起“政府与企业”“企业与企业”“企业与市场”之间沟通互动的桥梁，促进楼宇间资源共享、优势互补、合作共赢。</w:t>
      </w:r>
      <w:r>
        <w:rPr>
          <w:color w:val="auto"/>
          <w:highlight w:val="none"/>
        </w:rPr>
        <w:t>鼓励</w:t>
      </w:r>
      <w:r>
        <w:rPr>
          <w:rFonts w:hint="eastAsia"/>
          <w:color w:val="auto"/>
          <w:highlight w:val="none"/>
          <w:lang w:eastAsia="zh-CN"/>
        </w:rPr>
        <w:t>辖区</w:t>
      </w:r>
      <w:r>
        <w:rPr>
          <w:color w:val="auto"/>
          <w:highlight w:val="none"/>
        </w:rPr>
        <w:t>楼宇优选</w:t>
      </w:r>
      <w:r>
        <w:rPr>
          <w:rFonts w:hint="eastAsia"/>
          <w:color w:val="auto"/>
          <w:highlight w:val="none"/>
          <w:lang w:eastAsia="zh-CN"/>
        </w:rPr>
        <w:t>具有</w:t>
      </w:r>
      <w:r>
        <w:rPr>
          <w:color w:val="auto"/>
          <w:highlight w:val="none"/>
        </w:rPr>
        <w:t>丰富产业资源和运营经验的第三方机构开展多种形式合作，整合</w:t>
      </w:r>
      <w:r>
        <w:rPr>
          <w:rFonts w:hint="eastAsia"/>
          <w:color w:val="auto"/>
          <w:highlight w:val="none"/>
          <w:lang w:eastAsia="zh-CN"/>
        </w:rPr>
        <w:t>“</w:t>
      </w:r>
      <w:r>
        <w:rPr>
          <w:color w:val="auto"/>
          <w:highlight w:val="none"/>
        </w:rPr>
        <w:t>属地+第三方</w:t>
      </w:r>
      <w:r>
        <w:rPr>
          <w:rFonts w:hint="eastAsia"/>
          <w:color w:val="auto"/>
          <w:highlight w:val="none"/>
          <w:lang w:eastAsia="zh-CN"/>
        </w:rPr>
        <w:t>”</w:t>
      </w:r>
      <w:r>
        <w:rPr>
          <w:color w:val="auto"/>
          <w:highlight w:val="none"/>
        </w:rPr>
        <w:t>招商资源，</w:t>
      </w:r>
      <w:r>
        <w:rPr>
          <w:rFonts w:hint="eastAsia"/>
          <w:color w:val="auto"/>
          <w:highlight w:val="none"/>
          <w:lang w:eastAsia="zh-CN"/>
        </w:rPr>
        <w:t>积极推进“</w:t>
      </w:r>
      <w:r>
        <w:rPr>
          <w:color w:val="auto"/>
          <w:highlight w:val="none"/>
        </w:rPr>
        <w:t>租税联动</w:t>
      </w:r>
      <w:r>
        <w:rPr>
          <w:rFonts w:hint="eastAsia"/>
          <w:color w:val="auto"/>
          <w:highlight w:val="none"/>
          <w:lang w:eastAsia="zh-CN"/>
        </w:rPr>
        <w:t>”</w:t>
      </w:r>
      <w:r>
        <w:rPr>
          <w:color w:val="auto"/>
          <w:highlight w:val="none"/>
        </w:rPr>
        <w:t>等创新招引模式，</w:t>
      </w:r>
      <w:r>
        <w:rPr>
          <w:rFonts w:hint="eastAsia"/>
          <w:color w:val="auto"/>
          <w:highlight w:val="none"/>
          <w:lang w:eastAsia="zh-CN"/>
        </w:rPr>
        <w:t>建立“行业</w:t>
      </w:r>
      <w:r>
        <w:rPr>
          <w:rFonts w:hint="eastAsia"/>
          <w:color w:val="auto"/>
          <w:highlight w:val="none"/>
          <w:lang w:val="en-US" w:eastAsia="zh-CN"/>
        </w:rPr>
        <w:t>+楼宇+企业</w:t>
      </w:r>
      <w:r>
        <w:rPr>
          <w:rFonts w:hint="eastAsia"/>
          <w:color w:val="auto"/>
          <w:highlight w:val="none"/>
          <w:lang w:eastAsia="zh-CN"/>
        </w:rPr>
        <w:t>”的联动机制，</w:t>
      </w:r>
      <w:r>
        <w:rPr>
          <w:color w:val="auto"/>
          <w:highlight w:val="none"/>
        </w:rPr>
        <w:t>通过市场化手段，吸引各类优质项目向</w:t>
      </w:r>
      <w:r>
        <w:rPr>
          <w:rFonts w:hint="eastAsia"/>
          <w:color w:val="auto"/>
          <w:highlight w:val="none"/>
          <w:lang w:eastAsia="zh-CN"/>
        </w:rPr>
        <w:t>金凤区</w:t>
      </w:r>
      <w:r>
        <w:rPr>
          <w:color w:val="auto"/>
          <w:highlight w:val="none"/>
        </w:rPr>
        <w:t>聚集</w:t>
      </w:r>
      <w:r>
        <w:rPr>
          <w:rFonts w:hint="eastAsia"/>
          <w:color w:val="auto"/>
          <w:highlight w:val="none"/>
          <w:lang w:eastAsia="zh-CN"/>
        </w:rPr>
        <w:t>，推动形成“上下楼就是上下游”的创新型产业集群</w:t>
      </w:r>
      <w:r>
        <w:rPr>
          <w:color w:val="auto"/>
          <w:highlight w:val="none"/>
        </w:rPr>
        <w:t>。</w:t>
      </w:r>
    </w:p>
    <w:p>
      <w:pPr>
        <w:pageBreakBefore w:val="0"/>
        <w:widowControl w:val="0"/>
        <w:kinsoku/>
        <w:wordWrap/>
        <w:overflowPunct/>
        <w:topLinePunct w:val="0"/>
        <w:autoSpaceDE/>
        <w:autoSpaceDN/>
        <w:bidi w:val="0"/>
        <w:adjustRightInd/>
        <w:snapToGrid/>
        <w:spacing w:line="550" w:lineRule="exact"/>
        <w:textAlignment w:val="auto"/>
        <w:rPr>
          <w:rFonts w:hint="eastAsia"/>
          <w:color w:val="auto"/>
          <w:highlight w:val="none"/>
        </w:rPr>
      </w:pPr>
      <w:r>
        <w:rPr>
          <w:rFonts w:hint="eastAsia"/>
          <w:b/>
          <w:bCs/>
          <w:lang w:val="en-US" w:eastAsia="zh-CN"/>
        </w:rPr>
        <w:t>2.</w:t>
      </w:r>
      <w:r>
        <w:rPr>
          <w:rFonts w:hint="eastAsia"/>
          <w:b/>
          <w:bCs/>
        </w:rPr>
        <w:t>深化</w:t>
      </w:r>
      <w:r>
        <w:rPr>
          <w:rFonts w:hint="eastAsia"/>
          <w:b/>
          <w:bCs/>
          <w:lang w:eastAsia="zh-CN"/>
        </w:rPr>
        <w:t>“链长”</w:t>
      </w:r>
      <w:r>
        <w:rPr>
          <w:rFonts w:hint="eastAsia"/>
          <w:b/>
          <w:bCs/>
        </w:rPr>
        <w:t>招商</w:t>
      </w:r>
      <w:r>
        <w:rPr>
          <w:rFonts w:hint="eastAsia"/>
          <w:b/>
          <w:bCs/>
          <w:lang w:eastAsia="zh-CN"/>
        </w:rPr>
        <w:t>。</w:t>
      </w:r>
      <w:r>
        <w:rPr>
          <w:rFonts w:hint="eastAsia"/>
          <w:color w:val="auto"/>
          <w:highlight w:val="none"/>
        </w:rPr>
        <w:t>坚持“突出主业、延伸产业、完善配套、加速集聚”的招商原则，</w:t>
      </w:r>
      <w:r>
        <w:rPr>
          <w:rFonts w:hint="eastAsia"/>
          <w:color w:val="auto"/>
          <w:highlight w:val="none"/>
          <w:lang w:eastAsia="zh-CN"/>
        </w:rPr>
        <w:t>以专业集中度较高的</w:t>
      </w:r>
      <w:r>
        <w:rPr>
          <w:rFonts w:hint="eastAsia"/>
          <w:b w:val="0"/>
          <w:bCs w:val="0"/>
          <w:color w:val="auto"/>
          <w:highlight w:val="none"/>
          <w:lang w:eastAsia="zh-CN"/>
        </w:rPr>
        <w:t>楼宇为重点，</w:t>
      </w:r>
      <w:r>
        <w:rPr>
          <w:rFonts w:hint="eastAsia"/>
          <w:color w:val="auto"/>
          <w:highlight w:val="none"/>
        </w:rPr>
        <w:t>重视楼宇内头部项目、头部企业的招商引领作用，</w:t>
      </w:r>
      <w:r>
        <w:rPr>
          <w:color w:val="auto"/>
          <w:highlight w:val="none"/>
        </w:rPr>
        <w:t>开展以商引商，</w:t>
      </w:r>
      <w:r>
        <w:rPr>
          <w:rFonts w:hint="eastAsia"/>
          <w:color w:val="auto"/>
          <w:highlight w:val="none"/>
        </w:rPr>
        <w:t>吸引关联项目和</w:t>
      </w:r>
      <w:r>
        <w:rPr>
          <w:color w:val="auto"/>
          <w:highlight w:val="none"/>
        </w:rPr>
        <w:t>上下游</w:t>
      </w:r>
      <w:r>
        <w:rPr>
          <w:rFonts w:hint="eastAsia"/>
          <w:color w:val="auto"/>
          <w:highlight w:val="none"/>
        </w:rPr>
        <w:t>企业入驻，着力打造资本、技术、人才等要素有机互融、高度互联的楼宇产业生态链，形成主辅产业协同发展、齐头并进的良好态势</w:t>
      </w:r>
      <w:r>
        <w:rPr>
          <w:rFonts w:hint="eastAsia"/>
          <w:color w:val="auto"/>
          <w:highlight w:val="none"/>
          <w:lang w:eastAsia="zh-CN"/>
        </w:rPr>
        <w:t>。针对老旧楼宇，突出区块招商与产业招商有机结合，以建链、补链、增链、强链为路径，结合自治区“六新六特六优”、银川“三新”产业链导入新业态，发展新产业。通过政府主要领导担任“链长”，组建招商团队、深入研究产业链，招引相关企业入驻特色楼宇，推动产业链招商向“链长”招商升级</w:t>
      </w:r>
      <w:r>
        <w:rPr>
          <w:rFonts w:hint="eastAsia"/>
          <w:color w:val="auto"/>
          <w:highlight w:val="none"/>
        </w:rPr>
        <w:t>。</w:t>
      </w:r>
    </w:p>
    <w:p>
      <w:pPr>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rPr>
          <w:rFonts w:hint="eastAsia"/>
          <w:color w:val="auto"/>
          <w:highlight w:val="none"/>
          <w:lang w:eastAsia="zh-CN"/>
        </w:rPr>
      </w:pPr>
      <w:r>
        <w:rPr>
          <w:rFonts w:hint="eastAsia"/>
          <w:b/>
          <w:bCs/>
          <w:lang w:val="en-US" w:eastAsia="zh-CN"/>
        </w:rPr>
        <w:t>3.</w:t>
      </w:r>
      <w:r>
        <w:rPr>
          <w:b/>
          <w:bCs/>
        </w:rPr>
        <w:t>引导注册经济向实</w:t>
      </w:r>
      <w:r>
        <w:rPr>
          <w:rFonts w:hint="eastAsia"/>
          <w:b/>
          <w:bCs/>
          <w:lang w:eastAsia="zh-CN"/>
        </w:rPr>
        <w:t>。</w:t>
      </w:r>
      <w:r>
        <w:rPr>
          <w:rFonts w:hint="eastAsia"/>
          <w:color w:val="auto"/>
          <w:highlight w:val="none"/>
        </w:rPr>
        <w:t>坚持发展实体经济，</w:t>
      </w:r>
      <w:r>
        <w:rPr>
          <w:rFonts w:hint="eastAsia"/>
          <w:color w:val="auto"/>
          <w:highlight w:val="none"/>
          <w:lang w:eastAsia="zh-CN"/>
        </w:rPr>
        <w:t>进一步落实创业惠商政策，简化行政审批流程，持续优化楼宇营商环境，保护维持社会创业热情，推动楼宇注册企业量质齐升。转变服务观念，深入楼宇、企业宣传国家退税、融资、补贴等各方面的优惠政策并提供指导，加强对新入驻企业的跟踪监测，引导企业规避市场风险，强化要素供给，多维度为企业壮大提供支持。双管齐下，加快打通注册型企业向实体型企业转变梗阻，全力引导内注外营企业回迁，推动存量异地经营企业回金凤区入楼。</w:t>
      </w:r>
    </w:p>
    <w:p>
      <w:pPr>
        <w:pageBreakBefore w:val="0"/>
        <w:widowControl w:val="0"/>
        <w:kinsoku/>
        <w:wordWrap/>
        <w:overflowPunct/>
        <w:topLinePunct w:val="0"/>
        <w:autoSpaceDE/>
        <w:autoSpaceDN/>
        <w:bidi w:val="0"/>
        <w:adjustRightInd/>
        <w:snapToGrid/>
        <w:spacing w:line="550" w:lineRule="exact"/>
        <w:textAlignment w:val="auto"/>
        <w:rPr>
          <w:rFonts w:hint="eastAsia"/>
          <w:color w:val="auto"/>
          <w:highlight w:val="none"/>
          <w:lang w:val="en-US" w:eastAsia="zh-CN"/>
        </w:rPr>
      </w:pPr>
      <w:r>
        <w:rPr>
          <w:rFonts w:hint="eastAsia"/>
          <w:b/>
          <w:bCs/>
          <w:lang w:val="en-US" w:eastAsia="zh-CN"/>
        </w:rPr>
        <w:t>4.大力</w:t>
      </w:r>
      <w:r>
        <w:rPr>
          <w:rFonts w:hint="eastAsia"/>
          <w:b/>
          <w:bCs/>
          <w:lang w:eastAsia="zh-CN"/>
        </w:rPr>
        <w:t>引进总部企业。</w:t>
      </w:r>
      <w:r>
        <w:rPr>
          <w:rFonts w:hint="eastAsia"/>
          <w:color w:val="auto"/>
          <w:highlight w:val="none"/>
          <w:lang w:eastAsia="zh-CN"/>
        </w:rPr>
        <w:t>依托国家首个内陆开放型经济试验区建设契机，利用好阅海湾中央商务区总部经济集聚基地建设基础，坚持市场主导和政府引导相结合，扩大总量、优化结构，大力引进各类500强企业、国内大型企业集团、行业龙头企业，打造具有核心竞争力的企业集群。充分发挥头部企业作用，积极培育成长型企业，推动瞪羚企业、独角兽企业等总部企业发展。着力推动总部经济与楼宇经济相结合，提升经营功能和配套服务，打造一批标志性建筑和亿元总部建筑，形成布局优化、贡献突出的总部大楼和总部经济发展格局。</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五</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优化提升楼宇运营服务</w:t>
      </w:r>
      <w:r>
        <w:rPr>
          <w:rFonts w:hint="eastAsia" w:ascii="Times New Roman" w:hAnsi="Times New Roman" w:cs="Times New Roman"/>
          <w:color w:val="auto"/>
          <w:highlight w:val="none"/>
          <w:lang w:eastAsia="zh-CN"/>
        </w:rPr>
        <w:t>效能</w:t>
      </w:r>
    </w:p>
    <w:p>
      <w:pPr>
        <w:pageBreakBefore w:val="0"/>
        <w:widowControl w:val="0"/>
        <w:kinsoku/>
        <w:wordWrap/>
        <w:overflowPunct/>
        <w:topLinePunct w:val="0"/>
        <w:autoSpaceDE/>
        <w:autoSpaceDN/>
        <w:bidi w:val="0"/>
        <w:adjustRightInd/>
        <w:snapToGrid/>
        <w:spacing w:line="550" w:lineRule="exact"/>
        <w:textAlignment w:val="auto"/>
      </w:pPr>
      <w:r>
        <w:rPr>
          <w:rFonts w:hint="eastAsia"/>
          <w:b/>
          <w:bCs/>
          <w:lang w:val="en-US" w:eastAsia="zh-CN"/>
        </w:rPr>
        <w:t>1</w:t>
      </w:r>
      <w:r>
        <w:rPr>
          <w:rFonts w:hint="eastAsia"/>
          <w:b/>
          <w:bCs/>
        </w:rPr>
        <w:t>.强化党建赋能促发展</w:t>
      </w:r>
      <w:r>
        <w:rPr>
          <w:rFonts w:hint="eastAsia"/>
          <w:b/>
          <w:bCs/>
          <w:lang w:eastAsia="zh-CN"/>
        </w:rPr>
        <w:t>。</w:t>
      </w:r>
      <w:r>
        <w:t>积极</w:t>
      </w:r>
      <w:r>
        <w:rPr>
          <w:rFonts w:hint="eastAsia"/>
          <w:lang w:eastAsia="zh-CN"/>
        </w:rPr>
        <w:t>建立楼宇</w:t>
      </w:r>
      <w:r>
        <w:rPr>
          <w:rFonts w:hint="eastAsia"/>
        </w:rPr>
        <w:t>党群服务中心</w:t>
      </w:r>
      <w:r>
        <w:rPr>
          <w:rFonts w:hint="eastAsia"/>
          <w:lang w:eastAsia="zh-CN"/>
        </w:rPr>
        <w:t>，</w:t>
      </w:r>
      <w:r>
        <w:t>推动促进不同单位、不同</w:t>
      </w:r>
      <w:r>
        <w:rPr>
          <w:rFonts w:hint="eastAsia"/>
        </w:rPr>
        <w:t>区域</w:t>
      </w:r>
      <w:r>
        <w:t>、不同行业党建工作跨领域协同</w:t>
      </w:r>
      <w:r>
        <w:rPr>
          <w:rFonts w:hint="eastAsia"/>
          <w:lang w:eastAsia="zh-CN"/>
        </w:rPr>
        <w:t>、</w:t>
      </w:r>
      <w:r>
        <w:t>共融共促</w:t>
      </w:r>
      <w:r>
        <w:rPr>
          <w:rFonts w:hint="eastAsia"/>
        </w:rPr>
        <w:t>。</w:t>
      </w:r>
      <w:r>
        <w:t>通过党建带动工会、</w:t>
      </w:r>
      <w:r>
        <w:rPr>
          <w:rFonts w:hint="eastAsia"/>
          <w:lang w:eastAsia="zh-CN"/>
        </w:rPr>
        <w:t>团委、</w:t>
      </w:r>
      <w:r>
        <w:t>妇联等力量，将政务、商务、文化</w:t>
      </w:r>
      <w:r>
        <w:rPr>
          <w:rFonts w:hint="eastAsia"/>
          <w:lang w:eastAsia="zh-CN"/>
        </w:rPr>
        <w:t>、生活</w:t>
      </w:r>
      <w:r>
        <w:t>等资源延伸进楼宇，</w:t>
      </w:r>
      <w:r>
        <w:rPr>
          <w:rFonts w:hint="eastAsia"/>
          <w:lang w:eastAsia="zh-CN"/>
        </w:rPr>
        <w:t>将</w:t>
      </w:r>
      <w:r>
        <w:rPr>
          <w:rFonts w:hint="eastAsia"/>
        </w:rPr>
        <w:t>党建宣教和便民服务有机融入日常工作，</w:t>
      </w:r>
      <w:r>
        <w:t>实现党组织有形覆盖和</w:t>
      </w:r>
      <w:r>
        <w:rPr>
          <w:rFonts w:hint="eastAsia"/>
        </w:rPr>
        <w:t>有效</w:t>
      </w:r>
      <w:r>
        <w:t>覆盖的同步提升</w:t>
      </w:r>
      <w:r>
        <w:rPr>
          <w:rFonts w:hint="eastAsia"/>
        </w:rPr>
        <w:t>，</w:t>
      </w:r>
      <w:r>
        <w:t>打造楼宇安心、企业顺心、</w:t>
      </w:r>
      <w:r>
        <w:rPr>
          <w:rFonts w:hint="eastAsia"/>
        </w:rPr>
        <w:t>职工</w:t>
      </w:r>
      <w:r>
        <w:t>舒心的发展氛围。</w:t>
      </w:r>
    </w:p>
    <w:p>
      <w:pPr>
        <w:pageBreakBefore w:val="0"/>
        <w:widowControl w:val="0"/>
        <w:kinsoku/>
        <w:wordWrap/>
        <w:overflowPunct/>
        <w:topLinePunct w:val="0"/>
        <w:autoSpaceDE/>
        <w:autoSpaceDN/>
        <w:bidi w:val="0"/>
        <w:adjustRightInd/>
        <w:snapToGrid/>
        <w:spacing w:line="550" w:lineRule="exact"/>
        <w:textAlignment w:val="auto"/>
        <w:rPr>
          <w:color w:val="auto"/>
          <w:highlight w:val="none"/>
        </w:rPr>
      </w:pPr>
      <w:r>
        <w:rPr>
          <w:rFonts w:hint="eastAsia"/>
          <w:b/>
          <w:bCs/>
          <w:lang w:val="en-US" w:eastAsia="zh-CN"/>
        </w:rPr>
        <w:t>2.创新资产运营模式。</w:t>
      </w:r>
      <w:r>
        <w:rPr>
          <w:color w:val="auto"/>
          <w:highlight w:val="none"/>
        </w:rPr>
        <w:t>鼓励国有企业、社会资本整合散售、散租</w:t>
      </w:r>
      <w:r>
        <w:rPr>
          <w:rFonts w:hint="eastAsia"/>
          <w:color w:val="auto"/>
          <w:highlight w:val="none"/>
          <w:lang w:eastAsia="zh-CN"/>
        </w:rPr>
        <w:t>楼宇</w:t>
      </w:r>
      <w:r>
        <w:rPr>
          <w:color w:val="auto"/>
          <w:highlight w:val="none"/>
        </w:rPr>
        <w:t>的业权和经营权，</w:t>
      </w:r>
      <w:r>
        <w:rPr>
          <w:rFonts w:hint="eastAsia" w:ascii="Times New Roman" w:hAnsi="Times New Roman" w:eastAsia="仿宋_GB2312"/>
          <w:color w:val="auto"/>
          <w:sz w:val="32"/>
          <w:szCs w:val="22"/>
          <w:highlight w:val="none"/>
          <w:lang w:val="en-US" w:eastAsia="zh-CN"/>
        </w:rPr>
        <w:t>支持</w:t>
      </w:r>
      <w:r>
        <w:rPr>
          <w:color w:val="auto"/>
          <w:highlight w:val="none"/>
        </w:rPr>
        <w:t>引导多业权楼宇成立业主联合会，</w:t>
      </w:r>
      <w:r>
        <w:rPr>
          <w:rFonts w:hint="eastAsia" w:ascii="Times New Roman" w:hAnsi="Times New Roman" w:eastAsia="仿宋_GB2312"/>
          <w:color w:val="auto"/>
          <w:sz w:val="32"/>
          <w:szCs w:val="22"/>
          <w:highlight w:val="none"/>
          <w:lang w:val="en-US" w:eastAsia="zh-CN"/>
        </w:rPr>
        <w:t>积极推动楼宇整体持有并统一运营，提高楼宇运营服务水平，解决市场化楼宇产权分散问题。鼓励引进第三方专业资产运管团队，采取不动产投资信托基金、不动产抵押贷款支持证券、不动产资产证券化等资产运营产品，缩短楼宇投资回报期，减轻楼宇业主自持资本压力。</w:t>
      </w:r>
    </w:p>
    <w:p>
      <w:pPr>
        <w:pageBreakBefore w:val="0"/>
        <w:widowControl w:val="0"/>
        <w:kinsoku/>
        <w:wordWrap/>
        <w:overflowPunct/>
        <w:topLinePunct w:val="0"/>
        <w:autoSpaceDE/>
        <w:autoSpaceDN/>
        <w:bidi w:val="0"/>
        <w:adjustRightInd/>
        <w:snapToGrid/>
        <w:spacing w:line="550" w:lineRule="exact"/>
        <w:textAlignment w:val="auto"/>
        <w:rPr>
          <w:rFonts w:hint="eastAsia"/>
          <w:color w:val="auto"/>
          <w:highlight w:val="none"/>
        </w:rPr>
      </w:pPr>
      <w:r>
        <w:rPr>
          <w:rFonts w:hint="eastAsia"/>
          <w:b/>
          <w:bCs/>
          <w:lang w:val="en-US" w:eastAsia="zh-CN"/>
        </w:rPr>
        <w:t>3.提高运营服务水平。</w:t>
      </w:r>
      <w:r>
        <w:rPr>
          <w:rFonts w:hint="eastAsia"/>
          <w:color w:val="auto"/>
          <w:highlight w:val="none"/>
        </w:rPr>
        <w:t>加强与第三方专业机构合作，为楼宇运营主体提供专业的产业定位、数据分析、项目招引等服务</w:t>
      </w:r>
      <w:r>
        <w:rPr>
          <w:rFonts w:hint="eastAsia"/>
          <w:color w:val="auto"/>
          <w:highlight w:val="none"/>
          <w:lang w:eastAsia="zh-CN"/>
        </w:rPr>
        <w:t>。</w:t>
      </w:r>
      <w:r>
        <w:rPr>
          <w:rFonts w:hint="eastAsia"/>
          <w:color w:val="auto"/>
          <w:highlight w:val="none"/>
        </w:rPr>
        <w:t>支持开展社区论坛、人才交流会、融资对接会等活动，提升楼宇和入驻企业</w:t>
      </w:r>
      <w:r>
        <w:rPr>
          <w:rFonts w:hint="eastAsia"/>
          <w:color w:val="auto"/>
          <w:highlight w:val="none"/>
          <w:lang w:eastAsia="zh-CN"/>
        </w:rPr>
        <w:t>黏合度。</w:t>
      </w:r>
      <w:r>
        <w:rPr>
          <w:rFonts w:hint="eastAsia"/>
          <w:color w:val="auto"/>
          <w:highlight w:val="none"/>
        </w:rPr>
        <w:t>积极培育高水平物业管理公司，</w:t>
      </w:r>
      <w:r>
        <w:rPr>
          <w:rFonts w:hint="eastAsia"/>
          <w:color w:val="auto"/>
          <w:highlight w:val="none"/>
          <w:lang w:eastAsia="zh-CN"/>
        </w:rPr>
        <w:t>针对楼宇</w:t>
      </w:r>
      <w:r>
        <w:rPr>
          <w:rFonts w:hint="eastAsia"/>
          <w:color w:val="auto"/>
          <w:highlight w:val="none"/>
        </w:rPr>
        <w:t>不同服务需求和特点开展个性化服务，以优质物业集聚优质企业。加强楼宇、通讯、办公、安保、消防等“5A智能化”建设，提升楼宇管理品质</w:t>
      </w:r>
      <w:r>
        <w:rPr>
          <w:rFonts w:hint="eastAsia"/>
          <w:color w:val="auto"/>
          <w:highlight w:val="none"/>
          <w:lang w:eastAsia="zh-CN"/>
        </w:rPr>
        <w:t>。</w:t>
      </w:r>
    </w:p>
    <w:p>
      <w:pPr>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color w:val="auto"/>
          <w:highlight w:val="none"/>
        </w:rPr>
      </w:pPr>
      <w:r>
        <w:rPr>
          <w:rFonts w:hint="eastAsia"/>
          <w:b/>
          <w:bCs/>
          <w:lang w:val="en-US" w:eastAsia="zh-CN"/>
        </w:rPr>
        <w:t>4.建立楼宇共生体系。</w:t>
      </w:r>
      <w:r>
        <w:rPr>
          <w:rFonts w:hint="eastAsia" w:ascii="Times New Roman" w:hAnsi="Times New Roman" w:eastAsia="仿宋_GB2312" w:cstheme="minorBidi"/>
          <w:color w:val="auto"/>
          <w:highlight w:val="none"/>
        </w:rPr>
        <w:t>切实摸清</w:t>
      </w:r>
      <w:r>
        <w:rPr>
          <w:rFonts w:hint="eastAsia" w:cstheme="minorBidi"/>
          <w:color w:val="auto"/>
          <w:sz w:val="32"/>
          <w:szCs w:val="22"/>
          <w:highlight w:val="none"/>
          <w:lang w:val="en-US" w:eastAsia="zh-CN"/>
        </w:rPr>
        <w:t>辖区</w:t>
      </w:r>
      <w:r>
        <w:rPr>
          <w:rFonts w:hint="eastAsia" w:ascii="Times New Roman" w:hAnsi="Times New Roman" w:eastAsia="仿宋_GB2312" w:cstheme="minorBidi"/>
          <w:color w:val="auto"/>
          <w:highlight w:val="none"/>
        </w:rPr>
        <w:t>楼宇基本情况、招商意向和楼宇内各类经济组织</w:t>
      </w:r>
      <w:r>
        <w:rPr>
          <w:rFonts w:hint="eastAsia" w:cstheme="minorBidi"/>
          <w:color w:val="auto"/>
          <w:highlight w:val="none"/>
          <w:lang w:eastAsia="zh-CN"/>
        </w:rPr>
        <w:t>运行</w:t>
      </w:r>
      <w:r>
        <w:rPr>
          <w:rFonts w:hint="eastAsia" w:ascii="Times New Roman" w:hAnsi="Times New Roman" w:eastAsia="仿宋_GB2312" w:cstheme="minorBidi"/>
          <w:color w:val="auto"/>
          <w:highlight w:val="none"/>
        </w:rPr>
        <w:t>情况</w:t>
      </w:r>
      <w:r>
        <w:rPr>
          <w:rFonts w:hint="eastAsia" w:ascii="Times New Roman" w:hAnsi="Times New Roman" w:eastAsia="仿宋_GB2312" w:cstheme="minorBidi"/>
          <w:color w:val="auto"/>
          <w:highlight w:val="none"/>
          <w:lang w:eastAsia="zh-CN"/>
        </w:rPr>
        <w:t>，</w:t>
      </w:r>
      <w:r>
        <w:rPr>
          <w:rFonts w:hint="eastAsia" w:ascii="Times New Roman" w:hAnsi="Times New Roman" w:eastAsia="仿宋_GB2312" w:cstheme="minorBidi"/>
          <w:color w:val="auto"/>
          <w:sz w:val="32"/>
          <w:szCs w:val="22"/>
          <w:highlight w:val="none"/>
          <w:lang w:val="en-US" w:eastAsia="zh-CN"/>
        </w:rPr>
        <w:t>建立详细的楼宇资源及企业信息台账</w:t>
      </w:r>
      <w:r>
        <w:rPr>
          <w:rFonts w:hint="eastAsia" w:cstheme="minorBidi"/>
          <w:color w:val="auto"/>
          <w:sz w:val="32"/>
          <w:szCs w:val="22"/>
          <w:highlight w:val="none"/>
          <w:lang w:val="en-US" w:eastAsia="zh-CN"/>
        </w:rPr>
        <w:t>，建设集</w:t>
      </w:r>
      <w:r>
        <w:rPr>
          <w:rFonts w:hint="eastAsia" w:ascii="Times New Roman" w:hAnsi="Times New Roman" w:eastAsia="仿宋_GB2312" w:cstheme="minorBidi"/>
          <w:color w:val="auto"/>
          <w:sz w:val="32"/>
          <w:szCs w:val="22"/>
          <w:highlight w:val="none"/>
          <w:lang w:val="en-US" w:eastAsia="zh-CN"/>
        </w:rPr>
        <w:t>动态数据统计、信息发布、资源共享</w:t>
      </w:r>
      <w:r>
        <w:rPr>
          <w:rFonts w:hint="eastAsia" w:ascii="Times New Roman" w:hAnsi="Times New Roman" w:eastAsia="仿宋_GB2312"/>
          <w:color w:val="auto"/>
          <w:sz w:val="32"/>
          <w:szCs w:val="22"/>
          <w:highlight w:val="none"/>
          <w:lang w:val="en-US" w:eastAsia="zh-CN"/>
        </w:rPr>
        <w:t>等功能于一体的楼宇数据信息平台。在具备条件的重点楼宇建立便民政务服务点，</w:t>
      </w:r>
      <w:r>
        <w:rPr>
          <w:rFonts w:hint="eastAsia" w:ascii="Times New Roman" w:hAnsi="Times New Roman"/>
          <w:color w:val="auto"/>
          <w:sz w:val="32"/>
          <w:szCs w:val="22"/>
          <w:highlight w:val="none"/>
          <w:lang w:val="en-US" w:eastAsia="zh-CN"/>
        </w:rPr>
        <w:t>构建政府与楼宇及入驻企业交流对话、合作对接、共建共生平台</w:t>
      </w:r>
      <w:r>
        <w:rPr>
          <w:rFonts w:hint="eastAsia"/>
          <w:color w:val="auto"/>
          <w:sz w:val="32"/>
          <w:szCs w:val="22"/>
          <w:highlight w:val="none"/>
          <w:lang w:val="en-US" w:eastAsia="zh-CN"/>
        </w:rPr>
        <w:t>，大力</w:t>
      </w:r>
      <w:r>
        <w:rPr>
          <w:rFonts w:hint="eastAsia" w:ascii="Times New Roman" w:hAnsi="Times New Roman"/>
          <w:color w:val="auto"/>
          <w:sz w:val="32"/>
          <w:szCs w:val="22"/>
          <w:highlight w:val="none"/>
          <w:lang w:val="en-US" w:eastAsia="zh-CN"/>
        </w:rPr>
        <w:t>推广“五个一”管理服务标准。</w:t>
      </w:r>
    </w:p>
    <w:p>
      <w:pPr>
        <w:pStyle w:val="2"/>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jc w:val="both"/>
        <w:textAlignment w:val="auto"/>
        <w:rPr>
          <w:rFonts w:hint="eastAsia" w:ascii="Times New Roman" w:hAnsi="Times New Roman" w:cs="Times New Roman"/>
          <w:b w:val="0"/>
          <w:bCs/>
          <w:color w:val="auto"/>
          <w:highlight w:val="none"/>
          <w:lang w:val="en-US" w:eastAsia="zh-CN"/>
        </w:rPr>
      </w:pPr>
      <w:r>
        <w:rPr>
          <w:rFonts w:hint="eastAsia" w:ascii="Times New Roman" w:hAnsi="Times New Roman" w:cs="Times New Roman"/>
          <w:b w:val="0"/>
          <w:bCs/>
          <w:color w:val="auto"/>
          <w:highlight w:val="none"/>
          <w:lang w:val="en-US" w:eastAsia="zh-CN"/>
        </w:rPr>
        <w:t>五、</w:t>
      </w:r>
      <w:r>
        <w:rPr>
          <w:rFonts w:hint="eastAsia" w:cs="Times New Roman"/>
          <w:b w:val="0"/>
          <w:bCs/>
          <w:color w:val="auto"/>
          <w:highlight w:val="none"/>
          <w:lang w:val="en-US" w:eastAsia="zh-CN"/>
        </w:rPr>
        <w:t>激励</w:t>
      </w:r>
      <w:r>
        <w:rPr>
          <w:rFonts w:hint="eastAsia" w:ascii="Times New Roman" w:hAnsi="Times New Roman" w:cs="Times New Roman"/>
          <w:b w:val="0"/>
          <w:bCs/>
          <w:color w:val="auto"/>
          <w:highlight w:val="none"/>
          <w:lang w:val="en-US" w:eastAsia="zh-CN"/>
        </w:rPr>
        <w:t>措施</w:t>
      </w:r>
    </w:p>
    <w:p>
      <w:pPr>
        <w:pageBreakBefore w:val="0"/>
        <w:widowControl w:val="0"/>
        <w:kinsoku/>
        <w:wordWrap/>
        <w:overflowPunct/>
        <w:topLinePunct w:val="0"/>
        <w:autoSpaceDE/>
        <w:autoSpaceDN/>
        <w:bidi w:val="0"/>
        <w:adjustRightInd/>
        <w:snapToGrid/>
        <w:spacing w:line="550" w:lineRule="exact"/>
        <w:textAlignment w:val="auto"/>
        <w:rPr>
          <w:rFonts w:hint="eastAsia" w:ascii="Arial" w:hAnsi="Arial" w:eastAsia="楷体" w:cstheme="minorBidi"/>
          <w:b/>
          <w:kern w:val="2"/>
          <w:sz w:val="32"/>
          <w:szCs w:val="22"/>
          <w:lang w:val="en-US" w:eastAsia="zh-CN" w:bidi="ar-SA"/>
        </w:rPr>
      </w:pPr>
      <w:r>
        <w:rPr>
          <w:rFonts w:hint="eastAsia" w:ascii="Arial" w:hAnsi="Arial" w:eastAsia="楷体" w:cstheme="minorBidi"/>
          <w:b/>
          <w:kern w:val="2"/>
          <w:sz w:val="32"/>
          <w:szCs w:val="22"/>
          <w:lang w:val="en-US" w:eastAsia="zh-CN" w:bidi="ar-SA"/>
        </w:rPr>
        <w:t>（一）适用范围和对象</w:t>
      </w:r>
    </w:p>
    <w:p>
      <w:pPr>
        <w:pageBreakBefore w:val="0"/>
        <w:widowControl w:val="0"/>
        <w:kinsoku/>
        <w:wordWrap/>
        <w:overflowPunct/>
        <w:topLinePunct w:val="0"/>
        <w:autoSpaceDE/>
        <w:autoSpaceDN/>
        <w:bidi w:val="0"/>
        <w:adjustRightInd/>
        <w:snapToGrid/>
        <w:spacing w:line="550" w:lineRule="exact"/>
        <w:textAlignment w:val="auto"/>
        <w:rPr>
          <w:rFonts w:hint="eastAsia"/>
        </w:rPr>
      </w:pPr>
      <w:r>
        <w:rPr>
          <w:rFonts w:hint="eastAsia"/>
        </w:rPr>
        <w:t>市场主体注册登记、税收登记和统计关系均在</w:t>
      </w:r>
      <w:r>
        <w:rPr>
          <w:rFonts w:hint="eastAsia"/>
          <w:lang w:eastAsia="zh-CN"/>
        </w:rPr>
        <w:t>金凤</w:t>
      </w:r>
      <w:r>
        <w:rPr>
          <w:rFonts w:hint="eastAsia"/>
        </w:rPr>
        <w:t>区的具有独立法人资格的的新增入驻企业、招商企业、楼宇开发企业、楼宇运营企业、楼宇物业服务企业等。</w:t>
      </w:r>
    </w:p>
    <w:p>
      <w:pPr>
        <w:pageBreakBefore w:val="0"/>
        <w:widowControl w:val="0"/>
        <w:kinsoku/>
        <w:wordWrap/>
        <w:overflowPunct/>
        <w:topLinePunct w:val="0"/>
        <w:autoSpaceDE/>
        <w:autoSpaceDN/>
        <w:bidi w:val="0"/>
        <w:adjustRightInd/>
        <w:snapToGrid/>
        <w:spacing w:line="550" w:lineRule="exact"/>
        <w:textAlignment w:val="auto"/>
        <w:rPr>
          <w:rFonts w:hint="eastAsia"/>
        </w:rPr>
      </w:pPr>
      <w:r>
        <w:rPr>
          <w:rFonts w:hint="eastAsia"/>
        </w:rPr>
        <w:t>列入经营异常名录或严重违法失信名单（黑名单）以及其他失信名单的企业除外。</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lang w:val="en-US" w:eastAsia="zh-CN"/>
        </w:rPr>
      </w:pPr>
      <w:r>
        <w:rPr>
          <w:rFonts w:hint="eastAsia"/>
          <w:lang w:val="en-US" w:eastAsia="zh-CN"/>
        </w:rPr>
        <w:t>（二）奖励扶持标准</w:t>
      </w:r>
    </w:p>
    <w:p>
      <w:pPr>
        <w:pageBreakBefore w:val="0"/>
        <w:widowControl w:val="0"/>
        <w:kinsoku/>
        <w:wordWrap/>
        <w:overflowPunct/>
        <w:topLinePunct w:val="0"/>
        <w:autoSpaceDE/>
        <w:autoSpaceDN/>
        <w:bidi w:val="0"/>
        <w:adjustRightInd/>
        <w:snapToGrid/>
        <w:spacing w:line="550" w:lineRule="exact"/>
        <w:textAlignment w:val="auto"/>
        <w:rPr>
          <w:rFonts w:hint="eastAsia"/>
          <w:lang w:eastAsia="zh-CN"/>
        </w:rPr>
      </w:pPr>
      <w:r>
        <w:rPr>
          <w:rFonts w:hint="eastAsia"/>
        </w:rPr>
        <w:t>按</w:t>
      </w:r>
      <w:r>
        <w:rPr>
          <w:rFonts w:hint="eastAsia"/>
          <w:lang w:eastAsia="zh-CN"/>
        </w:rPr>
        <w:t>年度新增入驻企业辖区内经济</w:t>
      </w:r>
      <w:r>
        <w:rPr>
          <w:rFonts w:hint="eastAsia"/>
        </w:rPr>
        <w:t>贡献</w:t>
      </w:r>
      <w:r>
        <w:rPr>
          <w:rFonts w:hint="eastAsia"/>
          <w:lang w:eastAsia="zh-CN"/>
        </w:rPr>
        <w:t>核算奖励扶持资金，不足部分由本级财政统筹配套。</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lang w:eastAsia="zh-CN"/>
        </w:rPr>
      </w:pPr>
      <w:r>
        <w:rPr>
          <w:rFonts w:hint="eastAsia" w:ascii="Arial" w:eastAsia="楷体"/>
          <w:lang w:val="en-US" w:eastAsia="zh-CN"/>
        </w:rPr>
        <w:t>（</w:t>
      </w:r>
      <w:r>
        <w:rPr>
          <w:rFonts w:hint="eastAsia"/>
          <w:lang w:val="en-US" w:eastAsia="zh-CN"/>
        </w:rPr>
        <w:t>三</w:t>
      </w:r>
      <w:r>
        <w:rPr>
          <w:rFonts w:hint="eastAsia" w:ascii="Arial" w:eastAsia="楷体"/>
          <w:lang w:val="en-US" w:eastAsia="zh-CN"/>
        </w:rPr>
        <w:t>）</w:t>
      </w:r>
      <w:r>
        <w:rPr>
          <w:rFonts w:hint="eastAsia"/>
          <w:lang w:val="en-US" w:eastAsia="zh-CN"/>
        </w:rPr>
        <w:t>新增入驻企业扶持政策及资金其他用途</w:t>
      </w:r>
    </w:p>
    <w:p>
      <w:pPr>
        <w:pageBreakBefore w:val="0"/>
        <w:widowControl w:val="0"/>
        <w:kinsoku/>
        <w:wordWrap/>
        <w:overflowPunct/>
        <w:topLinePunct w:val="0"/>
        <w:autoSpaceDE/>
        <w:autoSpaceDN/>
        <w:bidi w:val="0"/>
        <w:adjustRightInd/>
        <w:snapToGrid/>
        <w:spacing w:line="550" w:lineRule="exact"/>
        <w:textAlignment w:val="auto"/>
        <w:rPr>
          <w:rFonts w:hint="eastAsia"/>
          <w:b w:val="0"/>
          <w:bCs w:val="0"/>
          <w:lang w:val="en-US" w:eastAsia="zh-CN"/>
        </w:rPr>
      </w:pPr>
      <w:r>
        <w:rPr>
          <w:rFonts w:hint="eastAsia"/>
          <w:b w:val="0"/>
          <w:bCs w:val="0"/>
          <w:lang w:val="en-US" w:eastAsia="zh-CN"/>
        </w:rPr>
        <w:t>新增入驻企业年度辖区内经济贡献的50%作为扶持资金直接返还给企业，用于鼓励和支持企业发展。</w:t>
      </w:r>
    </w:p>
    <w:p>
      <w:pPr>
        <w:pageBreakBefore w:val="0"/>
        <w:widowControl w:val="0"/>
        <w:kinsoku/>
        <w:wordWrap/>
        <w:overflowPunct/>
        <w:topLinePunct w:val="0"/>
        <w:autoSpaceDE/>
        <w:autoSpaceDN/>
        <w:bidi w:val="0"/>
        <w:adjustRightInd/>
        <w:snapToGrid/>
        <w:spacing w:line="550" w:lineRule="exact"/>
        <w:textAlignment w:val="auto"/>
        <w:rPr>
          <w:rFonts w:hint="eastAsia"/>
          <w:b w:val="0"/>
          <w:bCs w:val="0"/>
          <w:highlight w:val="none"/>
          <w:lang w:val="en-US" w:eastAsia="zh-CN"/>
        </w:rPr>
      </w:pPr>
      <w:r>
        <w:rPr>
          <w:rFonts w:hint="eastAsia"/>
          <w:b w:val="0"/>
          <w:bCs w:val="0"/>
          <w:lang w:val="en-US" w:eastAsia="zh-CN"/>
        </w:rPr>
        <w:t>剩余资金由阅海湾中央商务区管委会、各街道办事处作为统筹兑现其他奖励措施，以及招商引资、楼宇宣传、品质提升等</w:t>
      </w:r>
      <w:r>
        <w:rPr>
          <w:rFonts w:hint="eastAsia"/>
          <w:b w:val="0"/>
          <w:bCs w:val="0"/>
          <w:highlight w:val="none"/>
          <w:lang w:val="en-US" w:eastAsia="zh-CN"/>
        </w:rPr>
        <w:t>楼宇经济发展专项经费</w:t>
      </w:r>
      <w:r>
        <w:rPr>
          <w:rFonts w:hint="eastAsia"/>
          <w:b w:val="0"/>
          <w:bCs w:val="0"/>
          <w:lang w:val="en-US" w:eastAsia="zh-CN"/>
        </w:rPr>
        <w:t>。</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lang w:val="en-US" w:eastAsia="zh-CN"/>
        </w:rPr>
      </w:pPr>
      <w:r>
        <w:rPr>
          <w:rFonts w:hint="eastAsia"/>
          <w:lang w:val="en-US" w:eastAsia="zh-CN"/>
        </w:rPr>
        <w:t>（四）其他奖励措施</w:t>
      </w:r>
    </w:p>
    <w:p>
      <w:pPr>
        <w:pageBreakBefore w:val="0"/>
        <w:widowControl w:val="0"/>
        <w:kinsoku/>
        <w:wordWrap/>
        <w:overflowPunct/>
        <w:topLinePunct w:val="0"/>
        <w:autoSpaceDE/>
        <w:autoSpaceDN/>
        <w:bidi w:val="0"/>
        <w:adjustRightInd/>
        <w:snapToGrid/>
        <w:spacing w:line="550" w:lineRule="exact"/>
        <w:textAlignment w:val="auto"/>
        <w:rPr>
          <w:rFonts w:hint="default"/>
          <w:lang w:val="en-US" w:eastAsia="zh-CN"/>
        </w:rPr>
      </w:pPr>
      <w:r>
        <w:rPr>
          <w:rFonts w:hint="eastAsia"/>
          <w:b/>
          <w:bCs/>
          <w:lang w:val="en-US" w:eastAsia="zh-CN"/>
        </w:rPr>
        <w:t>1.招强育优奖励。</w:t>
      </w:r>
      <w:r>
        <w:rPr>
          <w:rFonts w:hint="eastAsia"/>
          <w:lang w:eastAsia="zh-CN"/>
        </w:rPr>
        <w:t>鼓励企业参与招商，对于通过招商方式在金凤区新注册或新迁入并入驻辖区楼宇的企业，</w:t>
      </w:r>
      <w:r>
        <w:rPr>
          <w:rFonts w:hint="eastAsia" w:ascii="仿宋" w:hAnsi="仿宋" w:eastAsia="仿宋" w:cs="仿宋"/>
          <w:highlight w:val="none"/>
          <w:lang w:eastAsia="zh-CN"/>
        </w:rPr>
        <w:t>每招引一家企业，</w:t>
      </w:r>
      <w:r>
        <w:rPr>
          <w:rFonts w:hint="eastAsia"/>
          <w:lang w:eastAsia="zh-CN"/>
        </w:rPr>
        <w:t>给予招引企业</w:t>
      </w:r>
      <w:r>
        <w:rPr>
          <w:rFonts w:hint="eastAsia"/>
          <w:lang w:val="en-US" w:eastAsia="zh-CN"/>
        </w:rPr>
        <w:t>3000-100000元不等的一次性奖励，其中，被招引企业为楼宇特色产业企业，</w:t>
      </w:r>
      <w:r>
        <w:rPr>
          <w:rFonts w:hint="eastAsia"/>
          <w:lang w:eastAsia="zh-CN"/>
        </w:rPr>
        <w:t>给予招引企业</w:t>
      </w:r>
      <w:r>
        <w:rPr>
          <w:rFonts w:hint="eastAsia"/>
          <w:lang w:val="en-US" w:eastAsia="zh-CN"/>
        </w:rPr>
        <w:t>5000元一次性奖励；被招引企业为中国500强企业、大型企业等总部企业分支机构或</w:t>
      </w:r>
      <w:r>
        <w:rPr>
          <w:rFonts w:hint="eastAsia"/>
          <w:color w:val="auto"/>
          <w:highlight w:val="none"/>
          <w:lang w:eastAsia="zh-CN"/>
        </w:rPr>
        <w:t>宁蒙甘陕地区中小型企业总部</w:t>
      </w:r>
      <w:r>
        <w:rPr>
          <w:rFonts w:hint="eastAsia"/>
          <w:lang w:val="en-US" w:eastAsia="zh-CN"/>
        </w:rPr>
        <w:t>的，</w:t>
      </w:r>
      <w:r>
        <w:rPr>
          <w:rFonts w:hint="eastAsia"/>
          <w:lang w:eastAsia="zh-CN"/>
        </w:rPr>
        <w:t>给予招引企业</w:t>
      </w:r>
      <w:r>
        <w:rPr>
          <w:rFonts w:hint="eastAsia"/>
          <w:lang w:val="en-US" w:eastAsia="zh-CN"/>
        </w:rPr>
        <w:t>10000元一次性奖励。上述被招引企业当年产值超过1亿元的，奖励金额追加10000元，超过2亿元的，奖励金额追加20000元，以此类推，奖励金额最高不超过100000元。</w:t>
      </w:r>
    </w:p>
    <w:p>
      <w:pPr>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b w:val="0"/>
          <w:bCs w:val="0"/>
          <w:highlight w:val="none"/>
          <w:lang w:eastAsia="zh-CN"/>
        </w:rPr>
      </w:pPr>
      <w:r>
        <w:rPr>
          <w:rFonts w:hint="eastAsia"/>
          <w:b/>
          <w:bCs/>
          <w:highlight w:val="none"/>
          <w:lang w:val="en-US" w:eastAsia="zh-CN"/>
        </w:rPr>
        <w:t>2.</w:t>
      </w:r>
      <w:r>
        <w:rPr>
          <w:rFonts w:hint="eastAsia"/>
          <w:b/>
          <w:bCs/>
          <w:highlight w:val="none"/>
          <w:lang w:val="zh-CN" w:eastAsia="zh-CN"/>
        </w:rPr>
        <w:t>特色聚集奖励。</w:t>
      </w:r>
      <w:r>
        <w:rPr>
          <w:rFonts w:hint="eastAsia" w:ascii="仿宋" w:hAnsi="仿宋" w:eastAsia="仿宋" w:cs="仿宋"/>
          <w:b w:val="0"/>
          <w:bCs w:val="0"/>
          <w:highlight w:val="none"/>
          <w:lang w:val="zh-CN" w:eastAsia="zh-CN"/>
        </w:rPr>
        <w:t>通过楼宇运营企业的管理，</w:t>
      </w:r>
      <w:r>
        <w:rPr>
          <w:rFonts w:hint="eastAsia"/>
          <w:highlight w:val="none"/>
        </w:rPr>
        <w:t>对符合</w:t>
      </w:r>
      <w:r>
        <w:rPr>
          <w:rFonts w:hint="eastAsia"/>
          <w:highlight w:val="none"/>
          <w:lang w:eastAsia="zh-CN"/>
        </w:rPr>
        <w:t>金凤</w:t>
      </w:r>
      <w:r>
        <w:rPr>
          <w:rFonts w:hint="eastAsia"/>
          <w:highlight w:val="none"/>
        </w:rPr>
        <w:t>区主导产业体系并在楼宇内形成产业集群，</w:t>
      </w:r>
      <w:r>
        <w:rPr>
          <w:rFonts w:hint="eastAsia"/>
          <w:highlight w:val="none"/>
          <w:lang w:eastAsia="zh-CN"/>
        </w:rPr>
        <w:t>且</w:t>
      </w:r>
      <w:r>
        <w:rPr>
          <w:rFonts w:hint="eastAsia"/>
          <w:highlight w:val="none"/>
        </w:rPr>
        <w:t>单栋楼宇企业入驻率</w:t>
      </w:r>
      <w:r>
        <w:rPr>
          <w:rFonts w:hint="eastAsia"/>
          <w:highlight w:val="none"/>
          <w:lang w:val="en-US" w:eastAsia="zh-CN"/>
        </w:rPr>
        <w:t>85</w:t>
      </w:r>
      <w:r>
        <w:rPr>
          <w:rFonts w:hint="eastAsia"/>
          <w:highlight w:val="none"/>
        </w:rPr>
        <w:t>%以上、注册率</w:t>
      </w:r>
      <w:r>
        <w:rPr>
          <w:rFonts w:hint="eastAsia"/>
          <w:highlight w:val="none"/>
          <w:lang w:val="en-US" w:eastAsia="zh-CN"/>
        </w:rPr>
        <w:t>90</w:t>
      </w:r>
      <w:r>
        <w:rPr>
          <w:rFonts w:hint="eastAsia"/>
          <w:highlight w:val="none"/>
        </w:rPr>
        <w:t>%以上</w:t>
      </w:r>
      <w:r>
        <w:rPr>
          <w:rFonts w:hint="eastAsia"/>
          <w:highlight w:val="none"/>
          <w:lang w:eastAsia="zh-CN"/>
        </w:rPr>
        <w:t>、</w:t>
      </w:r>
      <w:r>
        <w:rPr>
          <w:rFonts w:hint="eastAsia"/>
          <w:highlight w:val="none"/>
        </w:rPr>
        <w:t>专业集中度</w:t>
      </w:r>
      <w:r>
        <w:rPr>
          <w:rFonts w:hint="eastAsia"/>
          <w:highlight w:val="none"/>
          <w:lang w:val="en-US" w:eastAsia="zh-CN"/>
        </w:rPr>
        <w:t>7</w:t>
      </w:r>
      <w:r>
        <w:rPr>
          <w:rFonts w:hint="eastAsia"/>
          <w:highlight w:val="none"/>
        </w:rPr>
        <w:t>0%以上的</w:t>
      </w:r>
      <w:r>
        <w:rPr>
          <w:rFonts w:hint="eastAsia" w:eastAsia="仿宋"/>
          <w:highlight w:val="none"/>
          <w:lang w:eastAsia="zh-CN"/>
        </w:rPr>
        <w:t>，</w:t>
      </w:r>
      <w:r>
        <w:rPr>
          <w:rFonts w:hint="eastAsia"/>
          <w:highlight w:val="none"/>
          <w:lang w:val="en-US" w:eastAsia="zh-CN"/>
        </w:rPr>
        <w:t>可被认定为年度“特色楼宇”，</w:t>
      </w:r>
      <w:r>
        <w:rPr>
          <w:rFonts w:hint="eastAsia"/>
          <w:highlight w:val="none"/>
        </w:rPr>
        <w:t>给予楼宇运营</w:t>
      </w:r>
      <w:r>
        <w:rPr>
          <w:rFonts w:hint="eastAsia"/>
          <w:highlight w:val="none"/>
          <w:lang w:eastAsia="zh-CN"/>
        </w:rPr>
        <w:t>企业</w:t>
      </w:r>
      <w:r>
        <w:rPr>
          <w:rFonts w:hint="eastAsia"/>
          <w:highlight w:val="none"/>
          <w:lang w:val="en-US" w:eastAsia="zh-CN"/>
        </w:rPr>
        <w:t>1</w:t>
      </w:r>
      <w:r>
        <w:rPr>
          <w:rFonts w:hint="eastAsia"/>
          <w:highlight w:val="none"/>
        </w:rPr>
        <w:t>0万元的一次性奖励</w:t>
      </w:r>
      <w:r>
        <w:rPr>
          <w:rFonts w:hint="eastAsia"/>
          <w:highlight w:val="none"/>
          <w:lang w:val="en-US" w:eastAsia="zh-CN"/>
        </w:rPr>
        <w:t>。</w:t>
      </w:r>
      <w:r>
        <w:rPr>
          <w:rFonts w:hint="eastAsia" w:ascii="仿宋" w:hAnsi="仿宋" w:eastAsia="仿宋" w:cs="仿宋"/>
          <w:b w:val="0"/>
          <w:bCs w:val="0"/>
          <w:highlight w:val="none"/>
          <w:lang w:val="en-US" w:eastAsia="zh-CN"/>
        </w:rPr>
        <w:t>本奖励在激励扶持期限内只享受一次。</w:t>
      </w:r>
    </w:p>
    <w:p>
      <w:pPr>
        <w:pageBreakBefore w:val="0"/>
        <w:widowControl w:val="0"/>
        <w:kinsoku/>
        <w:wordWrap/>
        <w:overflowPunct/>
        <w:topLinePunct w:val="0"/>
        <w:autoSpaceDE/>
        <w:autoSpaceDN/>
        <w:bidi w:val="0"/>
        <w:adjustRightInd/>
        <w:snapToGrid/>
        <w:spacing w:line="550" w:lineRule="exact"/>
        <w:textAlignment w:val="auto"/>
        <w:rPr>
          <w:rFonts w:hint="eastAsia" w:eastAsia="仿宋_GB2312"/>
          <w:highlight w:val="none"/>
          <w:lang w:eastAsia="zh-CN"/>
        </w:rPr>
      </w:pPr>
      <w:r>
        <w:rPr>
          <w:rFonts w:hint="eastAsia"/>
          <w:b/>
          <w:bCs/>
          <w:highlight w:val="none"/>
          <w:lang w:val="en-US" w:eastAsia="zh-CN"/>
        </w:rPr>
        <w:t>3.规模经营奖励。</w:t>
      </w:r>
      <w:r>
        <w:rPr>
          <w:rFonts w:hint="eastAsia" w:ascii="仿宋" w:hAnsi="仿宋" w:eastAsia="仿宋" w:cs="仿宋"/>
          <w:b w:val="0"/>
          <w:bCs w:val="0"/>
          <w:highlight w:val="none"/>
          <w:lang w:val="en-US" w:eastAsia="zh-CN"/>
        </w:rPr>
        <w:t>通过楼宇运营企业的管理，</w:t>
      </w:r>
      <w:r>
        <w:rPr>
          <w:rFonts w:hint="eastAsia"/>
          <w:highlight w:val="none"/>
          <w:lang w:val="en-US" w:eastAsia="zh-CN"/>
        </w:rPr>
        <w:t>楼宇企业入驻率、注册率均达到90%以上，且辖区年度税收首次达到1000万元和1亿元的楼宇</w:t>
      </w:r>
      <w:r>
        <w:rPr>
          <w:rFonts w:hint="eastAsia" w:eastAsia="仿宋"/>
          <w:highlight w:val="none"/>
          <w:lang w:eastAsia="zh-CN"/>
        </w:rPr>
        <w:t>，分别</w:t>
      </w:r>
      <w:r>
        <w:rPr>
          <w:rFonts w:hint="eastAsia"/>
          <w:highlight w:val="none"/>
          <w:lang w:val="en-US" w:eastAsia="zh-CN"/>
        </w:rPr>
        <w:t>给予楼宇运营企业10万元、100万元奖励。</w:t>
      </w:r>
    </w:p>
    <w:p>
      <w:pPr>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b w:val="0"/>
          <w:bCs w:val="0"/>
          <w:highlight w:val="none"/>
          <w:lang w:val="en-US" w:eastAsia="zh-CN"/>
        </w:rPr>
      </w:pPr>
      <w:r>
        <w:rPr>
          <w:rFonts w:hint="eastAsia"/>
          <w:b/>
          <w:bCs/>
          <w:lang w:val="en-US" w:eastAsia="zh-CN"/>
        </w:rPr>
        <w:t>4.优质</w:t>
      </w:r>
      <w:r>
        <w:rPr>
          <w:rFonts w:hint="eastAsia"/>
          <w:b/>
          <w:bCs/>
          <w:lang w:eastAsia="zh-CN"/>
        </w:rPr>
        <w:t>服务奖励。</w:t>
      </w:r>
      <w:r>
        <w:rPr>
          <w:rFonts w:hint="eastAsia"/>
          <w:lang w:eastAsia="zh-CN"/>
        </w:rPr>
        <w:t>对</w:t>
      </w:r>
      <w:r>
        <w:rPr>
          <w:rFonts w:hint="eastAsia"/>
        </w:rPr>
        <w:t>建立楼宇综合服务中心，为</w:t>
      </w:r>
      <w:r>
        <w:rPr>
          <w:rFonts w:hint="eastAsia"/>
          <w:lang w:eastAsia="zh-CN"/>
        </w:rPr>
        <w:t>楼宇入驻</w:t>
      </w:r>
      <w:r>
        <w:rPr>
          <w:rFonts w:hint="eastAsia"/>
        </w:rPr>
        <w:t>企业提供公共性、专业化、个性化增值服务</w:t>
      </w:r>
      <w:r>
        <w:rPr>
          <w:rFonts w:hint="eastAsia"/>
          <w:lang w:eastAsia="zh-CN"/>
        </w:rPr>
        <w:t>，且入驻企业好评度达到95%以上，</w:t>
      </w:r>
      <w:r>
        <w:rPr>
          <w:rFonts w:hint="eastAsia"/>
          <w:lang w:val="en-US" w:eastAsia="zh-CN"/>
        </w:rPr>
        <w:t>配合有关部门做好实时动态统计监测、</w:t>
      </w:r>
      <w:r>
        <w:rPr>
          <w:rFonts w:hint="eastAsia" w:ascii="仿宋_GB2312" w:hAnsi="仿宋_GB2312" w:cs="仿宋_GB2312"/>
          <w:b w:val="0"/>
          <w:bCs w:val="0"/>
          <w:color w:val="000000" w:themeColor="text1"/>
          <w:szCs w:val="32"/>
          <w:lang w:val="en-US" w:eastAsia="zh-CN"/>
          <w14:textFill>
            <w14:solidFill>
              <w14:schemeClr w14:val="tx1"/>
            </w14:solidFill>
          </w14:textFill>
        </w:rPr>
        <w:t>工商注册、税务属地化等工作的物业服务企业或楼宇运营企</w:t>
      </w:r>
      <w:r>
        <w:rPr>
          <w:rFonts w:hint="eastAsia"/>
          <w:lang w:val="en-US" w:eastAsia="zh-CN"/>
        </w:rPr>
        <w:t>业</w:t>
      </w:r>
      <w:r>
        <w:rPr>
          <w:rFonts w:hint="eastAsia" w:ascii="仿宋_GB2312" w:hAnsi="仿宋_GB2312" w:cs="仿宋_GB2312"/>
          <w:b w:val="0"/>
          <w:bCs w:val="0"/>
          <w:color w:val="000000" w:themeColor="text1"/>
          <w:szCs w:val="32"/>
          <w:lang w:val="en-US" w:eastAsia="zh-CN"/>
          <w14:textFill>
            <w14:solidFill>
              <w14:schemeClr w14:val="tx1"/>
            </w14:solidFill>
          </w14:textFill>
        </w:rPr>
        <w:t>，经认定给予</w:t>
      </w:r>
      <w:r>
        <w:rPr>
          <w:rFonts w:hint="eastAsia"/>
          <w:lang w:val="en-US" w:eastAsia="zh-CN"/>
        </w:rPr>
        <w:t>10万元的一次性奖励。</w:t>
      </w:r>
      <w:r>
        <w:rPr>
          <w:rFonts w:hint="eastAsia" w:ascii="仿宋" w:hAnsi="仿宋" w:eastAsia="仿宋" w:cs="仿宋"/>
          <w:b w:val="0"/>
          <w:bCs w:val="0"/>
          <w:highlight w:val="none"/>
          <w:lang w:val="en-US" w:eastAsia="zh-CN"/>
        </w:rPr>
        <w:t>本奖励在激励扶持期限内只享受一次。</w:t>
      </w:r>
    </w:p>
    <w:p>
      <w:pPr>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cs="仿宋"/>
          <w:highlight w:val="none"/>
        </w:rPr>
      </w:pPr>
      <w:r>
        <w:rPr>
          <w:rFonts w:hint="eastAsia"/>
          <w:b/>
          <w:bCs/>
          <w:highlight w:val="none"/>
          <w:lang w:val="en-US" w:eastAsia="zh-CN"/>
        </w:rPr>
        <w:t>5.</w:t>
      </w:r>
      <w:r>
        <w:rPr>
          <w:rFonts w:hint="eastAsia"/>
          <w:b/>
          <w:bCs/>
          <w:highlight w:val="none"/>
          <w:lang w:eastAsia="zh-CN"/>
        </w:rPr>
        <w:t>改造升级奖励。</w:t>
      </w:r>
      <w:r>
        <w:rPr>
          <w:rFonts w:hint="eastAsia"/>
          <w:highlight w:val="none"/>
          <w:lang w:eastAsia="zh-CN"/>
        </w:rPr>
        <w:t>更新改造硬件设施（电梯、通讯、消防、5G应用、大堂、外立面等公共区域设施）、新建及扩建商务生活配套设施（餐厅、停车场、会议中心等公共服务空间），取得明显成效的，</w:t>
      </w:r>
      <w:r>
        <w:rPr>
          <w:rFonts w:hint="eastAsia" w:ascii="仿宋" w:hAnsi="仿宋" w:eastAsia="仿宋" w:cs="仿宋"/>
          <w:b w:val="0"/>
          <w:bCs w:val="0"/>
          <w:kern w:val="2"/>
          <w:sz w:val="32"/>
          <w:szCs w:val="32"/>
          <w:highlight w:val="none"/>
          <w:lang w:val="en-US" w:eastAsia="zh-CN" w:bidi="ar-SA"/>
        </w:rPr>
        <w:t>在楼宇建设单位和施工单位工程结算完毕，并经金凤区有关部门复核后，</w:t>
      </w:r>
      <w:r>
        <w:rPr>
          <w:rFonts w:hint="default" w:ascii="仿宋_GB2312" w:hAnsi="仿宋_GB2312" w:eastAsia="仿宋_GB2312" w:cs="仿宋_GB2312"/>
          <w:b w:val="0"/>
          <w:bCs w:val="0"/>
          <w:kern w:val="2"/>
          <w:sz w:val="32"/>
          <w:szCs w:val="32"/>
          <w:highlight w:val="none"/>
          <w:lang w:val="en-US" w:eastAsia="zh-CN" w:bidi="ar-SA"/>
        </w:rPr>
        <w:t>按工程</w:t>
      </w:r>
      <w:r>
        <w:rPr>
          <w:rFonts w:hint="eastAsia" w:ascii="仿宋_GB2312" w:hAnsi="仿宋_GB2312" w:cs="仿宋_GB2312"/>
          <w:b w:val="0"/>
          <w:bCs w:val="0"/>
          <w:kern w:val="2"/>
          <w:sz w:val="32"/>
          <w:szCs w:val="32"/>
          <w:highlight w:val="none"/>
          <w:lang w:val="en-US" w:eastAsia="zh-CN" w:bidi="ar-SA"/>
        </w:rPr>
        <w:t>复核</w:t>
      </w:r>
      <w:r>
        <w:rPr>
          <w:rFonts w:hint="default" w:ascii="仿宋_GB2312" w:hAnsi="仿宋_GB2312" w:eastAsia="仿宋_GB2312" w:cs="仿宋_GB2312"/>
          <w:b w:val="0"/>
          <w:bCs w:val="0"/>
          <w:kern w:val="2"/>
          <w:sz w:val="32"/>
          <w:szCs w:val="32"/>
          <w:highlight w:val="none"/>
          <w:lang w:val="en-US" w:eastAsia="zh-CN" w:bidi="ar-SA"/>
        </w:rPr>
        <w:t>金额的</w:t>
      </w:r>
      <w:r>
        <w:rPr>
          <w:rFonts w:hint="eastAsia" w:ascii="仿宋_GB2312" w:hAnsi="仿宋_GB2312" w:cs="仿宋_GB2312"/>
          <w:b w:val="0"/>
          <w:bCs w:val="0"/>
          <w:kern w:val="2"/>
          <w:sz w:val="32"/>
          <w:szCs w:val="32"/>
          <w:highlight w:val="none"/>
          <w:lang w:val="en-US" w:eastAsia="zh-CN" w:bidi="ar-SA"/>
        </w:rPr>
        <w:t>10</w:t>
      </w:r>
      <w:r>
        <w:rPr>
          <w:rFonts w:hint="default"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cs="仿宋_GB2312"/>
          <w:b w:val="0"/>
          <w:bCs w:val="0"/>
          <w:kern w:val="2"/>
          <w:sz w:val="32"/>
          <w:szCs w:val="32"/>
          <w:highlight w:val="none"/>
          <w:lang w:val="en-US" w:eastAsia="zh-CN" w:bidi="ar-SA"/>
        </w:rPr>
        <w:t>给予</w:t>
      </w:r>
      <w:r>
        <w:rPr>
          <w:rFonts w:hint="eastAsia" w:ascii="仿宋_GB2312" w:hAnsi="仿宋_GB2312" w:eastAsia="仿宋_GB2312" w:cs="仿宋_GB2312"/>
          <w:b w:val="0"/>
          <w:bCs w:val="0"/>
          <w:kern w:val="2"/>
          <w:sz w:val="32"/>
          <w:szCs w:val="32"/>
          <w:highlight w:val="none"/>
          <w:lang w:val="en-US" w:eastAsia="zh-CN" w:bidi="ar-SA"/>
        </w:rPr>
        <w:t>奖励</w:t>
      </w:r>
      <w:r>
        <w:rPr>
          <w:rFonts w:hint="default"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单栋</w:t>
      </w:r>
      <w:r>
        <w:rPr>
          <w:rFonts w:hint="eastAsia" w:ascii="仿宋_GB2312" w:hAnsi="仿宋_GB2312" w:cs="仿宋_GB2312"/>
          <w:b w:val="0"/>
          <w:bCs w:val="0"/>
          <w:kern w:val="2"/>
          <w:sz w:val="32"/>
          <w:szCs w:val="32"/>
          <w:highlight w:val="none"/>
          <w:lang w:val="en-US" w:eastAsia="zh-CN" w:bidi="ar-SA"/>
        </w:rPr>
        <w:t>楼宇</w:t>
      </w:r>
      <w:r>
        <w:rPr>
          <w:rFonts w:hint="default" w:ascii="仿宋_GB2312" w:hAnsi="仿宋_GB2312" w:eastAsia="仿宋_GB2312" w:cs="仿宋_GB2312"/>
          <w:b w:val="0"/>
          <w:bCs w:val="0"/>
          <w:kern w:val="2"/>
          <w:sz w:val="32"/>
          <w:szCs w:val="32"/>
          <w:highlight w:val="none"/>
          <w:lang w:val="en-US" w:eastAsia="zh-CN" w:bidi="ar-SA"/>
        </w:rPr>
        <w:t>最高不超过</w:t>
      </w:r>
      <w:r>
        <w:rPr>
          <w:rFonts w:hint="eastAsia" w:ascii="仿宋_GB2312" w:hAnsi="仿宋_GB2312" w:cs="仿宋_GB2312"/>
          <w:b w:val="0"/>
          <w:bCs w:val="0"/>
          <w:kern w:val="2"/>
          <w:sz w:val="32"/>
          <w:szCs w:val="32"/>
          <w:highlight w:val="none"/>
          <w:lang w:val="en-US" w:eastAsia="zh-CN" w:bidi="ar-SA"/>
        </w:rPr>
        <w:t>100</w:t>
      </w:r>
      <w:r>
        <w:rPr>
          <w:rFonts w:hint="default" w:ascii="仿宋_GB2312" w:hAnsi="仿宋_GB2312" w:eastAsia="仿宋_GB2312" w:cs="仿宋_GB2312"/>
          <w:b w:val="0"/>
          <w:bCs w:val="0"/>
          <w:kern w:val="2"/>
          <w:sz w:val="32"/>
          <w:szCs w:val="32"/>
          <w:highlight w:val="none"/>
          <w:lang w:val="en-US" w:eastAsia="zh-CN" w:bidi="ar-SA"/>
        </w:rPr>
        <w:t>万元</w:t>
      </w:r>
      <w:r>
        <w:rPr>
          <w:rFonts w:hint="eastAsia" w:ascii="仿宋_GB2312" w:hAnsi="仿宋_GB2312" w:cs="仿宋_GB2312"/>
          <w:b w:val="0"/>
          <w:bCs w:val="0"/>
          <w:kern w:val="2"/>
          <w:sz w:val="32"/>
          <w:szCs w:val="32"/>
          <w:highlight w:val="none"/>
          <w:lang w:val="en-US" w:eastAsia="zh-CN" w:bidi="ar-SA"/>
        </w:rPr>
        <w:t>。</w:t>
      </w:r>
      <w:r>
        <w:rPr>
          <w:rFonts w:hint="eastAsia" w:ascii="仿宋" w:hAnsi="仿宋" w:eastAsia="仿宋" w:cs="仿宋"/>
          <w:b w:val="0"/>
          <w:bCs w:val="0"/>
          <w:highlight w:val="none"/>
          <w:lang w:val="en-US" w:eastAsia="zh-CN"/>
        </w:rPr>
        <w:t>本奖励在激励扶持期限内只享受一次。</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lang w:val="en-US" w:eastAsia="zh-CN"/>
        </w:rPr>
      </w:pPr>
      <w:r>
        <w:rPr>
          <w:rFonts w:hint="eastAsia"/>
          <w:lang w:val="en-US" w:eastAsia="zh-CN"/>
        </w:rPr>
        <w:t>（五）奖励申报方式</w:t>
      </w:r>
    </w:p>
    <w:p>
      <w:pPr>
        <w:pageBreakBefore w:val="0"/>
        <w:widowControl w:val="0"/>
        <w:kinsoku/>
        <w:wordWrap/>
        <w:overflowPunct/>
        <w:topLinePunct w:val="0"/>
        <w:autoSpaceDE/>
        <w:autoSpaceDN/>
        <w:bidi w:val="0"/>
        <w:adjustRightInd/>
        <w:snapToGrid/>
        <w:spacing w:line="550" w:lineRule="exact"/>
        <w:textAlignment w:val="auto"/>
        <w:rPr>
          <w:rFonts w:hint="eastAsia" w:eastAsia="仿宋_GB2312"/>
          <w:lang w:eastAsia="zh-CN"/>
        </w:rPr>
      </w:pPr>
      <w:r>
        <w:rPr>
          <w:rFonts w:hint="eastAsia"/>
          <w:lang w:eastAsia="zh-CN"/>
        </w:rPr>
        <w:t>奖励扶持政策采取属地管理原则，由阅海湾中央商务区管委会、楼宇所属街道办事处每年按照要求予以上报审批、统筹发放。</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lang w:val="en-US" w:eastAsia="zh-CN"/>
        </w:rPr>
      </w:pPr>
      <w:r>
        <w:rPr>
          <w:rFonts w:hint="eastAsia"/>
          <w:lang w:val="en-US" w:eastAsia="zh-CN"/>
        </w:rPr>
        <w:t>（六）附则</w:t>
      </w:r>
    </w:p>
    <w:p>
      <w:pPr>
        <w:pageBreakBefore w:val="0"/>
        <w:widowControl w:val="0"/>
        <w:kinsoku/>
        <w:wordWrap/>
        <w:overflowPunct/>
        <w:topLinePunct w:val="0"/>
        <w:autoSpaceDE/>
        <w:autoSpaceDN/>
        <w:bidi w:val="0"/>
        <w:adjustRightInd/>
        <w:snapToGrid/>
        <w:spacing w:line="550" w:lineRule="exact"/>
        <w:textAlignment w:val="auto"/>
        <w:rPr>
          <w:rFonts w:hint="eastAsia"/>
          <w:lang w:val="en-US" w:eastAsia="zh-CN"/>
        </w:rPr>
      </w:pPr>
      <w:r>
        <w:rPr>
          <w:rFonts w:hint="eastAsia"/>
          <w:lang w:val="en-US" w:eastAsia="zh-CN"/>
        </w:rPr>
        <w:t>1.奖励</w:t>
      </w:r>
      <w:r>
        <w:rPr>
          <w:rFonts w:hint="eastAsia"/>
        </w:rPr>
        <w:t>扶持期限为</w:t>
      </w:r>
      <w:r>
        <w:rPr>
          <w:rFonts w:hint="eastAsia"/>
          <w:lang w:val="en-US" w:eastAsia="zh-CN"/>
        </w:rPr>
        <w:t>5</w:t>
      </w:r>
      <w:r>
        <w:rPr>
          <w:rFonts w:hint="eastAsia"/>
        </w:rPr>
        <w:t>年，</w:t>
      </w:r>
      <w:r>
        <w:rPr>
          <w:rFonts w:hint="eastAsia"/>
          <w:lang w:eastAsia="zh-CN"/>
        </w:rPr>
        <w:t>执行期限为</w:t>
      </w:r>
      <w:r>
        <w:rPr>
          <w:rFonts w:hint="eastAsia"/>
          <w:lang w:val="en-US" w:eastAsia="zh-CN"/>
        </w:rPr>
        <w:t>2024年1月1日</w:t>
      </w:r>
      <w:r>
        <w:rPr>
          <w:rFonts w:hint="eastAsia"/>
          <w:lang w:eastAsia="zh-CN"/>
        </w:rPr>
        <w:t>至</w:t>
      </w:r>
      <w:r>
        <w:rPr>
          <w:rFonts w:hint="eastAsia"/>
          <w:lang w:val="en-US" w:eastAsia="zh-CN"/>
        </w:rPr>
        <w:t>2028年12月31日。</w:t>
      </w:r>
    </w:p>
    <w:p>
      <w:pPr>
        <w:pageBreakBefore w:val="0"/>
        <w:widowControl w:val="0"/>
        <w:kinsoku/>
        <w:wordWrap/>
        <w:overflowPunct/>
        <w:topLinePunct w:val="0"/>
        <w:autoSpaceDE/>
        <w:autoSpaceDN/>
        <w:bidi w:val="0"/>
        <w:adjustRightInd/>
        <w:snapToGrid/>
        <w:spacing w:line="550" w:lineRule="exact"/>
        <w:textAlignment w:val="auto"/>
        <w:rPr>
          <w:rFonts w:hint="eastAsia"/>
          <w:lang w:eastAsia="zh-CN"/>
        </w:rPr>
      </w:pPr>
      <w:r>
        <w:rPr>
          <w:rFonts w:hint="eastAsia"/>
          <w:lang w:val="en-US" w:eastAsia="zh-CN"/>
        </w:rPr>
        <w:t>2.</w:t>
      </w:r>
      <w:r>
        <w:rPr>
          <w:rFonts w:hint="eastAsia"/>
        </w:rPr>
        <w:t>凡享受奖励扶持的楼宇相关主体，在金凤区正常经营存续期不得低于</w:t>
      </w:r>
      <w:r>
        <w:rPr>
          <w:rFonts w:hint="eastAsia"/>
          <w:lang w:val="en-US" w:eastAsia="zh-CN"/>
        </w:rPr>
        <w:t>5</w:t>
      </w:r>
      <w:r>
        <w:rPr>
          <w:rFonts w:hint="eastAsia"/>
        </w:rPr>
        <w:t>年或投资协议约定年限</w:t>
      </w:r>
      <w:r>
        <w:rPr>
          <w:rFonts w:hint="eastAsia"/>
          <w:lang w:eastAsia="zh-CN"/>
        </w:rPr>
        <w:t>。</w:t>
      </w:r>
    </w:p>
    <w:p>
      <w:pPr>
        <w:pageBreakBefore w:val="0"/>
        <w:widowControl w:val="0"/>
        <w:kinsoku/>
        <w:wordWrap/>
        <w:overflowPunct/>
        <w:topLinePunct w:val="0"/>
        <w:autoSpaceDE/>
        <w:autoSpaceDN/>
        <w:bidi w:val="0"/>
        <w:adjustRightInd/>
        <w:snapToGrid/>
        <w:spacing w:line="550" w:lineRule="exact"/>
        <w:textAlignment w:val="auto"/>
        <w:rPr>
          <w:rFonts w:hint="eastAsia" w:eastAsia="仿宋_GB2312"/>
          <w:lang w:val="en-US" w:eastAsia="zh-CN"/>
        </w:rPr>
      </w:pPr>
      <w:r>
        <w:rPr>
          <w:rFonts w:hint="eastAsia"/>
          <w:lang w:val="en-US" w:eastAsia="zh-CN"/>
        </w:rPr>
        <w:t>3.其他产业支持、科技创新、人才保障及税收优惠等政策详见《金凤区高质量发展楼宇经济政策汇编》或相关政策公告。</w:t>
      </w:r>
      <w:r>
        <w:rPr>
          <w:rFonts w:hint="eastAsia"/>
        </w:rPr>
        <w:t>在执行过程中，如遇国家和</w:t>
      </w:r>
      <w:r>
        <w:rPr>
          <w:rFonts w:hint="eastAsia"/>
          <w:lang w:eastAsia="zh-CN"/>
        </w:rPr>
        <w:t>自治区</w:t>
      </w:r>
      <w:r>
        <w:rPr>
          <w:rFonts w:hint="eastAsia"/>
        </w:rPr>
        <w:t>、</w:t>
      </w:r>
      <w:r>
        <w:rPr>
          <w:rFonts w:hint="eastAsia"/>
          <w:lang w:val="en-US" w:eastAsia="zh-CN"/>
        </w:rPr>
        <w:t>银川</w:t>
      </w:r>
      <w:r>
        <w:rPr>
          <w:rFonts w:hint="eastAsia"/>
        </w:rPr>
        <w:t>市相关政策调整，按调整后的政策执行</w:t>
      </w:r>
      <w:r>
        <w:rPr>
          <w:rFonts w:hint="eastAsia"/>
          <w:lang w:eastAsia="zh-CN"/>
        </w:rPr>
        <w:t>；如与国家和自治区、银川市或有关部门奖励扶持政策内容相同的，按最高标准落实。</w:t>
      </w:r>
    </w:p>
    <w:p>
      <w:pPr>
        <w:pageBreakBefore w:val="0"/>
        <w:widowControl w:val="0"/>
        <w:kinsoku/>
        <w:wordWrap/>
        <w:overflowPunct/>
        <w:topLinePunct w:val="0"/>
        <w:autoSpaceDE/>
        <w:autoSpaceDN/>
        <w:bidi w:val="0"/>
        <w:adjustRightInd/>
        <w:snapToGrid/>
        <w:spacing w:line="550" w:lineRule="exact"/>
        <w:textAlignment w:val="auto"/>
        <w:rPr>
          <w:rFonts w:hint="eastAsia"/>
          <w:lang w:val="en-US" w:eastAsia="zh-CN"/>
        </w:rPr>
      </w:pPr>
      <w:r>
        <w:rPr>
          <w:rFonts w:hint="eastAsia"/>
          <w:lang w:val="en-US" w:eastAsia="zh-CN"/>
        </w:rPr>
        <w:t>4.以上奖励扶持政策由金凤区发展和改革局负责解释。</w:t>
      </w:r>
    </w:p>
    <w:p>
      <w:pPr>
        <w:pageBreakBefore w:val="0"/>
        <w:widowControl w:val="0"/>
        <w:kinsoku/>
        <w:wordWrap/>
        <w:overflowPunct/>
        <w:topLinePunct w:val="0"/>
        <w:autoSpaceDE/>
        <w:autoSpaceDN/>
        <w:bidi w:val="0"/>
        <w:adjustRightInd/>
        <w:snapToGrid/>
        <w:spacing w:line="550" w:lineRule="exact"/>
        <w:textAlignment w:val="auto"/>
        <w:rPr>
          <w:rFonts w:hint="default" w:ascii="仿宋" w:hAnsi="仿宋" w:eastAsia="仿宋" w:cs="仿宋"/>
          <w:b w:val="0"/>
          <w:bCs w:val="0"/>
          <w:highlight w:val="cyan"/>
          <w:lang w:val="en-US" w:eastAsia="zh-CN"/>
        </w:rPr>
      </w:pPr>
      <w:r>
        <w:rPr>
          <w:rFonts w:hint="eastAsia"/>
          <w:lang w:val="en-US" w:eastAsia="zh-CN"/>
        </w:rPr>
        <w:t>5.</w:t>
      </w:r>
      <w:r>
        <w:rPr>
          <w:rFonts w:hint="eastAsia"/>
        </w:rPr>
        <w:t>其他未尽事宜，采取一事一议制度执行。</w:t>
      </w:r>
    </w:p>
    <w:p>
      <w:pPr>
        <w:pageBreakBefore w:val="0"/>
        <w:widowControl w:val="0"/>
        <w:kinsoku/>
        <w:wordWrap/>
        <w:overflowPunct/>
        <w:topLinePunct w:val="0"/>
        <w:autoSpaceDE/>
        <w:autoSpaceDN/>
        <w:bidi w:val="0"/>
        <w:adjustRightInd/>
        <w:snapToGrid/>
        <w:spacing w:line="550" w:lineRule="exact"/>
        <w:textAlignment w:val="auto"/>
        <w:rPr>
          <w:rFonts w:hint="eastAsia" w:ascii="黑体" w:hAnsi="黑体" w:eastAsia="黑体" w:cs="黑体"/>
          <w:b w:val="0"/>
          <w:bCs/>
          <w:color w:val="auto"/>
          <w:highlight w:val="none"/>
          <w:lang w:eastAsia="zh-CN"/>
        </w:rPr>
      </w:pPr>
      <w:r>
        <w:rPr>
          <w:rFonts w:hint="eastAsia" w:ascii="黑体" w:hAnsi="黑体" w:eastAsia="黑体" w:cs="黑体"/>
          <w:b w:val="0"/>
          <w:bCs/>
          <w:color w:val="auto"/>
          <w:highlight w:val="none"/>
          <w:lang w:eastAsia="zh-CN"/>
        </w:rPr>
        <w:t>六、行动保障</w:t>
      </w:r>
    </w:p>
    <w:p>
      <w:pPr>
        <w:pageBreakBefore w:val="0"/>
        <w:widowControl w:val="0"/>
        <w:kinsoku/>
        <w:wordWrap/>
        <w:overflowPunct/>
        <w:topLinePunct w:val="0"/>
        <w:autoSpaceDE/>
        <w:autoSpaceDN/>
        <w:bidi w:val="0"/>
        <w:adjustRightInd/>
        <w:snapToGrid/>
        <w:spacing w:line="550" w:lineRule="exact"/>
        <w:textAlignment w:val="auto"/>
        <w:rPr>
          <w:rFonts w:hint="eastAsia" w:ascii="楷体_GB2312" w:hAnsi="楷体_GB2312" w:eastAsia="楷体_GB2312" w:cs="楷体_GB2312"/>
          <w:b/>
          <w:bCs/>
          <w:lang w:eastAsia="zh-CN"/>
        </w:rPr>
      </w:pPr>
      <w:r>
        <w:rPr>
          <w:rFonts w:hint="eastAsia" w:ascii="楷体_GB2312" w:hAnsi="楷体_GB2312" w:eastAsia="楷体_GB2312" w:cs="楷体_GB2312"/>
          <w:b/>
          <w:bCs/>
          <w:lang w:val="en-US" w:eastAsia="zh-CN"/>
        </w:rPr>
        <w:t>（一）加强组织协调</w:t>
      </w:r>
    </w:p>
    <w:p>
      <w:pPr>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rPr>
          <w:rFonts w:hint="eastAsia"/>
          <w:color w:val="auto"/>
          <w:highlight w:val="none"/>
          <w:lang w:eastAsia="zh-CN"/>
        </w:rPr>
      </w:pPr>
      <w:r>
        <w:rPr>
          <w:rFonts w:hint="eastAsia"/>
          <w:color w:val="auto"/>
          <w:highlight w:val="none"/>
          <w:lang w:eastAsia="zh-CN"/>
        </w:rPr>
        <w:t>充分认识楼宇经济对增强区域经济竞争力的重要意义，成立楼宇经济工作领导小组，由区委、政府主要领导、分管领导担任组长、副组长，对楼宇经济发展工作统筹协调和组织指导，研究楼宇经济发展重大政策落实、重大项目推进等，调动各方积极因素，形成工作合力。领导小组办公室设置在金凤区发展和改革局，局长担任办公室主任，牵头推动楼宇经济规划谋划、政策制定、招商组织、企业服务等工作。建立区级领导和部门、街道联动的立体化网格化责任体系，全力推动责任落实、目标实现。</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eastAsia="楷体_GB2312"/>
          <w:lang w:eastAsia="zh-CN"/>
        </w:rPr>
      </w:pPr>
      <w:r>
        <w:rPr>
          <w:rFonts w:hint="eastAsia"/>
        </w:rPr>
        <w:t>（</w:t>
      </w:r>
      <w:r>
        <w:rPr>
          <w:rFonts w:hint="eastAsia"/>
          <w:lang w:eastAsia="zh-CN"/>
        </w:rPr>
        <w:t>二</w:t>
      </w:r>
      <w:r>
        <w:rPr>
          <w:rFonts w:hint="eastAsia"/>
        </w:rPr>
        <w:t>）</w:t>
      </w:r>
      <w:r>
        <w:rPr>
          <w:rFonts w:hint="eastAsia"/>
          <w:lang w:eastAsia="zh-CN"/>
        </w:rPr>
        <w:t>推动政策兑现</w:t>
      </w:r>
    </w:p>
    <w:p>
      <w:pPr>
        <w:pageBreakBefore w:val="0"/>
        <w:widowControl w:val="0"/>
        <w:kinsoku/>
        <w:wordWrap/>
        <w:overflowPunct/>
        <w:topLinePunct w:val="0"/>
        <w:autoSpaceDE/>
        <w:autoSpaceDN/>
        <w:bidi w:val="0"/>
        <w:adjustRightInd/>
        <w:snapToGrid/>
        <w:spacing w:line="550" w:lineRule="exact"/>
        <w:textAlignment w:val="auto"/>
        <w:rPr>
          <w:rFonts w:hint="eastAsia"/>
          <w:lang w:val="en-US" w:eastAsia="zh-CN"/>
        </w:rPr>
      </w:pPr>
      <w:r>
        <w:rPr>
          <w:rFonts w:hint="eastAsia"/>
          <w:lang w:val="en-US" w:eastAsia="zh-CN"/>
        </w:rPr>
        <w:t>全面梳理自治区级、市级、区级层面惠企政策，编印《金凤区高质量发展楼宇经济政策汇编》，方便企业查找和使用，提高政策数据使用效率。充分利用政策解读、走访服务，宣传和讲解楼宇经济政策等形式，真正让辖区楼宇、企业对各类政策能知晓、会使用。开通企业留言板，打通全天候、全链条线上政企沟通渠道，实现“投诉专线+线上留言”“双联动”，对意见建议类问题及时反馈，对合理诉求予以解决答复。尤其针对惠企政策不明、申报条件不清、兑现政策不易等问题，落实专员上门服务，不断畅通楼宇经济政策落地“最后一公里”。</w:t>
      </w:r>
    </w:p>
    <w:p>
      <w:pPr>
        <w:pStyle w:val="3"/>
        <w:pageBreakBefore w:val="0"/>
        <w:widowControl w:val="0"/>
        <w:kinsoku/>
        <w:wordWrap/>
        <w:overflowPunct/>
        <w:topLinePunct w:val="0"/>
        <w:autoSpaceDE/>
        <w:autoSpaceDN/>
        <w:bidi w:val="0"/>
        <w:adjustRightInd/>
        <w:snapToGrid/>
        <w:spacing w:before="0" w:beforeLines="0" w:after="0" w:afterLines="0" w:line="550" w:lineRule="exact"/>
        <w:textAlignment w:val="auto"/>
        <w:rPr>
          <w:rFonts w:hint="eastAsia"/>
          <w:lang w:eastAsia="zh-CN"/>
        </w:rPr>
      </w:pPr>
      <w:r>
        <w:rPr>
          <w:rFonts w:hint="eastAsia"/>
          <w:lang w:eastAsia="zh-CN"/>
        </w:rPr>
        <w:t>（</w:t>
      </w:r>
      <w:r>
        <w:rPr>
          <w:rFonts w:hint="eastAsia"/>
          <w:lang w:val="en-US" w:eastAsia="zh-CN"/>
        </w:rPr>
        <w:t>三</w:t>
      </w:r>
      <w:r>
        <w:rPr>
          <w:rFonts w:hint="eastAsia"/>
          <w:lang w:eastAsia="zh-CN"/>
        </w:rPr>
        <w:t>）落实包联制度</w:t>
      </w:r>
    </w:p>
    <w:p>
      <w:pPr>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rPr>
          <w:rFonts w:hint="eastAsia"/>
          <w:color w:val="auto"/>
          <w:highlight w:val="none"/>
          <w:lang w:eastAsia="zh-CN"/>
        </w:rPr>
      </w:pPr>
      <w:r>
        <w:rPr>
          <w:rFonts w:hint="eastAsia"/>
          <w:color w:val="auto"/>
          <w:highlight w:val="none"/>
          <w:lang w:eastAsia="zh-CN"/>
        </w:rPr>
        <w:t>各街道、商务区优选辖区内具规模、有特色的重点楼宇，明确楼宇的名称、面积、楼内重点企业、包联领导、牵头部门、承办部门等，建立重点楼宇“楼长制”的管理网络：县处级领导担任重点楼宇的“楼长”，发改局、科信局、商务局等部门作为楼宇的“联络负责人”，各街道、商务区包联辖区楼宇，统筹楼宇资源，开展属地服务。实行县处级领导、区直部门、街道（</w:t>
      </w:r>
      <w:r>
        <w:rPr>
          <w:rFonts w:hint="eastAsia"/>
          <w:color w:val="auto"/>
          <w:highlight w:val="none"/>
          <w:lang w:val="en-US" w:eastAsia="zh-CN"/>
        </w:rPr>
        <w:t>商务区</w:t>
      </w:r>
      <w:r>
        <w:rPr>
          <w:rFonts w:hint="eastAsia"/>
          <w:color w:val="auto"/>
          <w:highlight w:val="none"/>
          <w:lang w:eastAsia="zh-CN"/>
        </w:rPr>
        <w:t>）三级包联机制，实现点对点服务，精确掌握楼宇内重点企业发展需求，了解企业战略发展方向，鼓励楼宇业主发挥主体作用，助力企业做大做强。</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（四）强化考核评估</w:t>
      </w:r>
    </w:p>
    <w:p>
      <w:pPr>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将楼宇经济高质量发展推进情况纳入全区高质量发展综合绩效考核体系，激励各相关部门主动作为、勇于担当，保障工作有效推进。完善有关部门、街道联动考核机制，开展自评与互评相结合的“双向考核”，对培育楼宇经济工作中有突出成绩的街道、部门，</w:t>
      </w:r>
      <w:r>
        <w:rPr>
          <w:rFonts w:hint="eastAsia"/>
          <w:color w:val="auto"/>
          <w:highlight w:val="none"/>
          <w:lang w:eastAsia="zh-CN"/>
        </w:rPr>
        <w:t>在资金奖补、干部任用、年度考核奖励等方面适当倾斜</w:t>
      </w:r>
      <w:r>
        <w:rPr>
          <w:rFonts w:hint="eastAsia" w:ascii="Times New Roman" w:hAnsi="Times New Roman"/>
          <w:color w:val="auto"/>
          <w:highlight w:val="none"/>
          <w:lang w:eastAsia="zh-CN"/>
        </w:rPr>
        <w:t>。加强与楼宇业主、物业公司等相关单位的互动，提高考核的参与面与公信度。对已投入使用的楼宇进行运营绩效评估，对未达到入驻率、经济产出效益、产业集聚度等要求的，在享受各类扶持政策方面予以限制。</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550" w:lineRule="exact"/>
        <w:ind w:firstLine="643"/>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五</w:t>
      </w:r>
      <w:r>
        <w:rPr>
          <w:rFonts w:hint="eastAsia" w:ascii="Times New Roman" w:hAnsi="Times New Roman" w:cs="Times New Roman"/>
          <w:color w:val="auto"/>
          <w:highlight w:val="none"/>
          <w:lang w:eastAsia="zh-CN"/>
        </w:rPr>
        <w:t>）加大宣传力度</w:t>
      </w:r>
    </w:p>
    <w:p>
      <w:pPr>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rPr>
          <w:rFonts w:hint="eastAsia"/>
          <w:color w:val="auto"/>
          <w:highlight w:val="none"/>
          <w:lang w:eastAsia="zh-CN"/>
        </w:rPr>
      </w:pPr>
      <w:r>
        <w:rPr>
          <w:rFonts w:hint="eastAsia"/>
          <w:color w:val="auto"/>
          <w:highlight w:val="none"/>
          <w:lang w:eastAsia="zh-CN"/>
        </w:rPr>
        <w:t>编印《金凤区内楼宇分布地图及楼宇招商手册》，充分利用智慧城市运营中心专业网络平台实施楼宇招商招租线上信息发布，适时组织政策发布会、招商推介会及对接考察活动。在各楼宇、市民大厅、宁夏国际会堂（中国·阿拉伯国家博览会永久会址）等重要场所、窗口单位提供办公选址服务。</w:t>
      </w:r>
      <w:r>
        <w:rPr>
          <w:rFonts w:hint="eastAsia"/>
          <w:color w:val="auto"/>
          <w:highlight w:val="none"/>
        </w:rPr>
        <w:t>定期编制楼宇专刊，</w:t>
      </w:r>
      <w:r>
        <w:rPr>
          <w:rFonts w:hint="eastAsia"/>
          <w:color w:val="auto"/>
          <w:highlight w:val="none"/>
          <w:lang w:eastAsia="zh-CN"/>
        </w:rPr>
        <w:t>充分利用报纸、广播、电视、网络等新闻媒体，广泛宣传报道金凤区相关政策举措、亮点成果，</w:t>
      </w:r>
      <w:r>
        <w:rPr>
          <w:rFonts w:hint="eastAsia"/>
          <w:color w:val="auto"/>
          <w:highlight w:val="none"/>
        </w:rPr>
        <w:t>对已取得一定成效的</w:t>
      </w:r>
      <w:r>
        <w:rPr>
          <w:rFonts w:hint="eastAsia"/>
          <w:color w:val="auto"/>
          <w:highlight w:val="none"/>
          <w:lang w:eastAsia="zh-CN"/>
        </w:rPr>
        <w:t>楼宇</w:t>
      </w:r>
      <w:r>
        <w:rPr>
          <w:rFonts w:hint="eastAsia"/>
          <w:color w:val="auto"/>
          <w:highlight w:val="none"/>
        </w:rPr>
        <w:t>进行广泛宣传和表彰，树立先进典型，</w:t>
      </w:r>
      <w:r>
        <w:rPr>
          <w:rFonts w:hint="eastAsia"/>
          <w:color w:val="auto"/>
          <w:highlight w:val="none"/>
          <w:lang w:eastAsia="zh-CN"/>
        </w:rPr>
        <w:t>营造金凤区发展楼宇经济、总部经济的浓厚氛围。</w:t>
      </w:r>
    </w:p>
    <w:p>
      <w:pPr>
        <w:pageBreakBefore w:val="0"/>
        <w:widowControl w:val="0"/>
        <w:kinsoku/>
        <w:overflowPunct/>
        <w:topLinePunct w:val="0"/>
        <w:autoSpaceDE/>
        <w:autoSpaceDN/>
        <w:bidi w:val="0"/>
        <w:adjustRightInd/>
        <w:snapToGrid/>
        <w:ind w:left="0" w:leftChars="0" w:right="0" w:rightChars="0"/>
        <w:jc w:val="left"/>
        <w:textAlignment w:val="auto"/>
        <w:rPr>
          <w:rFonts w:hint="eastAsia"/>
          <w:color w:val="auto"/>
          <w:highlight w:val="none"/>
          <w:lang w:eastAsia="zh-CN"/>
        </w:rPr>
      </w:pPr>
      <w:r>
        <w:rPr>
          <w:rFonts w:hint="eastAsia"/>
          <w:color w:val="auto"/>
          <w:highlight w:val="none"/>
          <w:lang w:eastAsia="zh-CN"/>
        </w:rPr>
        <w:br w:type="page"/>
      </w:r>
    </w:p>
    <w:p>
      <w:pPr>
        <w:pStyle w:val="14"/>
        <w:pageBreakBefore w:val="0"/>
        <w:widowControl w:val="0"/>
        <w:kinsoku/>
        <w:overflowPunct/>
        <w:topLinePunct w:val="0"/>
        <w:autoSpaceDE/>
        <w:autoSpaceDN/>
        <w:bidi w:val="0"/>
        <w:adjustRightInd/>
        <w:snapToGrid/>
        <w:spacing w:before="0" w:after="0"/>
        <w:ind w:firstLine="0" w:firstLineChars="0"/>
        <w:jc w:val="both"/>
        <w:rPr>
          <w:rFonts w:hint="eastAsia"/>
          <w:lang w:val="en-US" w:eastAsia="zh-CN"/>
        </w:rPr>
        <w:sectPr>
          <w:footerReference r:id="rId5" w:type="default"/>
          <w:pgSz w:w="11849" w:h="16781"/>
          <w:pgMar w:top="2098" w:right="1474" w:bottom="1701" w:left="1587" w:header="850" w:footer="992" w:gutter="0"/>
          <w:pgNumType w:fmt="numberInDash" w:start="1"/>
          <w:cols w:space="0" w:num="1"/>
          <w:docGrid w:linePitch="312" w:charSpace="0"/>
        </w:sectPr>
      </w:pPr>
    </w:p>
    <w:p>
      <w:pPr>
        <w:pStyle w:val="14"/>
        <w:pageBreakBefore w:val="0"/>
        <w:widowControl w:val="0"/>
        <w:kinsoku/>
        <w:overflowPunct/>
        <w:topLinePunct w:val="0"/>
        <w:autoSpaceDE/>
        <w:autoSpaceDN/>
        <w:bidi w:val="0"/>
        <w:adjustRightInd/>
        <w:snapToGrid/>
        <w:spacing w:before="0" w:after="0"/>
        <w:ind w:firstLine="0" w:firstLineChars="0"/>
        <w:jc w:val="both"/>
        <w:rPr>
          <w:rFonts w:hint="eastAsia"/>
          <w:lang w:val="en-US" w:eastAsia="zh-CN"/>
        </w:rPr>
      </w:pPr>
      <w:r>
        <w:rPr>
          <w:rFonts w:hint="eastAsia"/>
          <w:lang w:val="en-US" w:eastAsia="zh-CN"/>
        </w:rPr>
        <w:t>附表：</w:t>
      </w:r>
    </w:p>
    <w:p>
      <w:pPr>
        <w:pStyle w:val="14"/>
        <w:pageBreakBefore w:val="0"/>
        <w:widowControl w:val="0"/>
        <w:kinsoku/>
        <w:overflowPunct/>
        <w:topLinePunct w:val="0"/>
        <w:autoSpaceDE/>
        <w:autoSpaceDN/>
        <w:bidi w:val="0"/>
        <w:adjustRightInd/>
        <w:snapToGrid/>
        <w:spacing w:before="0" w:after="0"/>
        <w:ind w:firstLine="0" w:firstLineChars="0"/>
        <w:jc w:val="center"/>
        <w:rPr>
          <w:rFonts w:hint="eastAsia" w:ascii="Times New Roman" w:hAnsi="Times New Roman" w:eastAsia="仿宋_GB2312" w:cstheme="minorBidi"/>
          <w:b/>
          <w:bCs/>
          <w:color w:val="auto"/>
          <w:kern w:val="2"/>
          <w:sz w:val="32"/>
          <w:szCs w:val="22"/>
          <w:highlight w:val="none"/>
          <w:lang w:val="en-US" w:eastAsia="zh-CN" w:bidi="ar-SA"/>
        </w:rPr>
      </w:pPr>
      <w:r>
        <w:rPr>
          <w:rFonts w:hint="eastAsia" w:ascii="Times New Roman" w:hAnsi="Times New Roman" w:eastAsia="仿宋_GB2312" w:cstheme="minorBidi"/>
          <w:b/>
          <w:bCs/>
          <w:color w:val="auto"/>
          <w:kern w:val="2"/>
          <w:sz w:val="32"/>
          <w:szCs w:val="22"/>
          <w:highlight w:val="none"/>
          <w:lang w:val="en-US" w:eastAsia="zh-CN" w:bidi="ar-SA"/>
        </w:rPr>
        <w:t>金凤区第一批重点发展楼宇</w:t>
      </w:r>
      <w:r>
        <w:rPr>
          <w:rStyle w:val="19"/>
          <w:rFonts w:hint="eastAsia" w:ascii="Times New Roman" w:hAnsi="Times New Roman" w:eastAsia="仿宋_GB2312" w:cstheme="minorBidi"/>
          <w:b/>
          <w:bCs/>
          <w:color w:val="auto"/>
          <w:kern w:val="2"/>
          <w:sz w:val="32"/>
          <w:szCs w:val="22"/>
          <w:highlight w:val="none"/>
          <w:lang w:val="en-US" w:eastAsia="zh-CN" w:bidi="ar-SA"/>
        </w:rPr>
        <w:endnoteReference w:id="0"/>
      </w:r>
      <w:r>
        <w:rPr>
          <w:rFonts w:hint="eastAsia" w:ascii="Times New Roman" w:hAnsi="Times New Roman" w:eastAsia="仿宋_GB2312" w:cstheme="minorBidi"/>
          <w:b/>
          <w:bCs/>
          <w:color w:val="auto"/>
          <w:kern w:val="2"/>
          <w:sz w:val="32"/>
          <w:szCs w:val="22"/>
          <w:highlight w:val="none"/>
          <w:lang w:val="en-US" w:eastAsia="zh-CN" w:bidi="ar-SA"/>
        </w:rPr>
        <w:t>信息一览表</w:t>
      </w:r>
    </w:p>
    <w:p>
      <w:pPr>
        <w:rPr>
          <w:rFonts w:hint="eastAsia"/>
          <w:lang w:val="en-US" w:eastAsia="zh-CN"/>
        </w:rPr>
      </w:pPr>
      <w:bookmarkStart w:id="1" w:name="_GoBack"/>
      <w:bookmarkEnd w:id="1"/>
    </w:p>
    <w:tbl>
      <w:tblPr>
        <w:tblStyle w:val="1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47"/>
        <w:gridCol w:w="2892"/>
        <w:gridCol w:w="964"/>
        <w:gridCol w:w="1958"/>
        <w:gridCol w:w="1229"/>
        <w:gridCol w:w="994"/>
        <w:gridCol w:w="1283"/>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blHeader/>
        </w:trPr>
        <w:tc>
          <w:tcPr>
            <w:tcW w:w="567"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333333"/>
                <w:kern w:val="0"/>
                <w:sz w:val="24"/>
                <w:szCs w:val="24"/>
                <w:u w:val="none"/>
                <w:lang w:val="en-US" w:eastAsia="zh-CN" w:bidi="ar"/>
              </w:rPr>
            </w:pPr>
            <w:r>
              <w:rPr>
                <w:rStyle w:val="18"/>
                <w:rFonts w:hint="default" w:ascii="Times New Roman" w:hAnsi="Times New Roman" w:eastAsia="仿宋" w:cs="Times New Roman"/>
                <w:b/>
                <w:bCs/>
                <w:color w:val="333333"/>
                <w:sz w:val="24"/>
                <w:szCs w:val="24"/>
                <w:u w:val="none"/>
              </w:rPr>
              <w:t>序号</w:t>
            </w:r>
          </w:p>
        </w:tc>
        <w:tc>
          <w:tcPr>
            <w:tcW w:w="1247"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333333"/>
                <w:kern w:val="0"/>
                <w:sz w:val="24"/>
                <w:szCs w:val="24"/>
                <w:u w:val="none"/>
                <w:lang w:val="en-US" w:eastAsia="zh-CN" w:bidi="ar"/>
              </w:rPr>
            </w:pPr>
            <w:r>
              <w:rPr>
                <w:rStyle w:val="18"/>
                <w:rFonts w:hint="default" w:ascii="Times New Roman" w:hAnsi="Times New Roman" w:eastAsia="仿宋" w:cs="Times New Roman"/>
                <w:b/>
                <w:bCs/>
                <w:color w:val="333333"/>
                <w:sz w:val="24"/>
                <w:szCs w:val="24"/>
                <w:u w:val="none"/>
              </w:rPr>
              <w:t>所属街道</w:t>
            </w:r>
            <w:r>
              <w:rPr>
                <w:rStyle w:val="18"/>
                <w:rFonts w:hint="eastAsia" w:eastAsia="仿宋" w:cs="Times New Roman"/>
                <w:b/>
                <w:bCs/>
                <w:color w:val="333333"/>
                <w:sz w:val="24"/>
                <w:szCs w:val="24"/>
                <w:u w:val="none"/>
                <w:lang w:val="en-US" w:eastAsia="zh-CN"/>
              </w:rPr>
              <w:t>/</w:t>
            </w:r>
            <w:r>
              <w:rPr>
                <w:rStyle w:val="18"/>
                <w:rFonts w:hint="eastAsia" w:eastAsia="仿宋" w:cs="Times New Roman"/>
                <w:b/>
                <w:bCs/>
                <w:color w:val="333333"/>
                <w:sz w:val="24"/>
                <w:szCs w:val="24"/>
                <w:u w:val="none"/>
                <w:lang w:eastAsia="zh-CN"/>
              </w:rPr>
              <w:t>商务区</w:t>
            </w:r>
          </w:p>
        </w:tc>
        <w:tc>
          <w:tcPr>
            <w:tcW w:w="2892"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333333"/>
                <w:kern w:val="0"/>
                <w:sz w:val="24"/>
                <w:szCs w:val="24"/>
                <w:u w:val="none"/>
                <w:lang w:val="en-US" w:eastAsia="zh-CN" w:bidi="ar"/>
              </w:rPr>
            </w:pPr>
            <w:r>
              <w:rPr>
                <w:rStyle w:val="18"/>
                <w:rFonts w:hint="default" w:ascii="Times New Roman" w:hAnsi="Times New Roman" w:eastAsia="仿宋" w:cs="Times New Roman"/>
                <w:b/>
                <w:bCs/>
                <w:color w:val="333333"/>
                <w:sz w:val="24"/>
                <w:szCs w:val="24"/>
                <w:u w:val="none"/>
              </w:rPr>
              <w:t>楼宇名称</w:t>
            </w:r>
          </w:p>
        </w:tc>
        <w:tc>
          <w:tcPr>
            <w:tcW w:w="964"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Style w:val="18"/>
                <w:rFonts w:hint="default" w:ascii="Times New Roman" w:hAnsi="Times New Roman" w:eastAsia="仿宋" w:cs="Times New Roman"/>
                <w:b/>
                <w:bCs/>
                <w:color w:val="auto"/>
                <w:sz w:val="24"/>
                <w:szCs w:val="24"/>
                <w:u w:val="none"/>
                <w:lang w:eastAsia="zh-CN"/>
              </w:rPr>
            </w:pPr>
            <w:r>
              <w:rPr>
                <w:rStyle w:val="18"/>
                <w:rFonts w:hint="eastAsia" w:eastAsia="仿宋" w:cs="Times New Roman"/>
                <w:b/>
                <w:bCs/>
                <w:color w:val="auto"/>
                <w:sz w:val="24"/>
                <w:szCs w:val="24"/>
                <w:u w:val="none"/>
                <w:lang w:eastAsia="zh-CN"/>
              </w:rPr>
              <w:t>已使用年限</w:t>
            </w:r>
          </w:p>
        </w:tc>
        <w:tc>
          <w:tcPr>
            <w:tcW w:w="1958"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Style w:val="18"/>
                <w:rFonts w:hint="default" w:ascii="Times New Roman" w:hAnsi="Times New Roman" w:eastAsia="仿宋" w:cs="Times New Roman"/>
                <w:b/>
                <w:bCs/>
                <w:color w:val="auto"/>
                <w:sz w:val="24"/>
                <w:szCs w:val="24"/>
                <w:u w:val="none"/>
                <w:lang w:eastAsia="zh-CN"/>
              </w:rPr>
            </w:pPr>
            <w:r>
              <w:rPr>
                <w:rStyle w:val="18"/>
                <w:rFonts w:hint="default" w:ascii="Times New Roman" w:hAnsi="Times New Roman" w:eastAsia="仿宋" w:cs="Times New Roman"/>
                <w:b/>
                <w:bCs/>
                <w:color w:val="auto"/>
                <w:sz w:val="24"/>
                <w:szCs w:val="24"/>
                <w:u w:val="none"/>
                <w:lang w:eastAsia="zh-CN"/>
              </w:rPr>
              <w:t>楼宇类型</w:t>
            </w:r>
          </w:p>
        </w:tc>
        <w:tc>
          <w:tcPr>
            <w:tcW w:w="1229"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仿宋" w:cs="Times New Roman"/>
                <w:b/>
                <w:bCs/>
                <w:color w:val="333333"/>
                <w:kern w:val="0"/>
                <w:sz w:val="24"/>
                <w:szCs w:val="24"/>
                <w:u w:val="none"/>
                <w:lang w:val="en-US" w:eastAsia="zh-CN" w:bidi="ar"/>
              </w:rPr>
            </w:pPr>
            <w:r>
              <w:rPr>
                <w:rStyle w:val="18"/>
                <w:rFonts w:hint="default" w:ascii="Times New Roman" w:hAnsi="Times New Roman" w:eastAsia="仿宋" w:cs="Times New Roman"/>
                <w:b/>
                <w:bCs/>
                <w:color w:val="333333"/>
                <w:sz w:val="24"/>
                <w:szCs w:val="24"/>
                <w:u w:val="none"/>
                <w:lang w:eastAsia="zh-CN"/>
              </w:rPr>
              <w:t>总</w:t>
            </w:r>
            <w:r>
              <w:rPr>
                <w:rStyle w:val="18"/>
                <w:rFonts w:hint="default" w:ascii="Times New Roman" w:hAnsi="Times New Roman" w:eastAsia="仿宋" w:cs="Times New Roman"/>
                <w:b/>
                <w:bCs/>
                <w:color w:val="333333"/>
                <w:sz w:val="24"/>
                <w:szCs w:val="24"/>
                <w:u w:val="none"/>
              </w:rPr>
              <w:t>建筑</w:t>
            </w:r>
            <w:r>
              <w:rPr>
                <w:rStyle w:val="18"/>
                <w:rFonts w:hint="eastAsia" w:eastAsia="仿宋" w:cs="Times New Roman"/>
                <w:b/>
                <w:bCs/>
                <w:color w:val="333333"/>
                <w:sz w:val="24"/>
                <w:szCs w:val="24"/>
                <w:u w:val="none"/>
                <w:lang w:val="en-US" w:eastAsia="zh-CN"/>
              </w:rPr>
              <w:t xml:space="preserve"> </w:t>
            </w:r>
            <w:r>
              <w:rPr>
                <w:rStyle w:val="18"/>
                <w:rFonts w:hint="default" w:ascii="Times New Roman" w:hAnsi="Times New Roman" w:eastAsia="仿宋" w:cs="Times New Roman"/>
                <w:b/>
                <w:bCs/>
                <w:color w:val="333333"/>
                <w:sz w:val="24"/>
                <w:szCs w:val="24"/>
                <w:u w:val="none"/>
              </w:rPr>
              <w:t>面积</w:t>
            </w:r>
            <w:r>
              <w:rPr>
                <w:rStyle w:val="18"/>
                <w:rFonts w:hint="eastAsia" w:ascii="Times New Roman" w:hAnsi="Times New Roman" w:eastAsia="仿宋" w:cs="Times New Roman"/>
                <w:b/>
                <w:bCs/>
                <w:color w:val="333333"/>
                <w:sz w:val="24"/>
                <w:szCs w:val="24"/>
                <w:u w:val="none"/>
                <w:lang w:val="en-US" w:eastAsia="zh-CN"/>
              </w:rPr>
              <w:t>（</w:t>
            </w:r>
            <w:r>
              <w:rPr>
                <w:rStyle w:val="18"/>
                <w:rFonts w:hint="default" w:ascii="Times New Roman" w:hAnsi="Times New Roman" w:eastAsia="仿宋" w:cs="Times New Roman"/>
                <w:b/>
                <w:bCs/>
                <w:color w:val="333333"/>
                <w:sz w:val="24"/>
                <w:szCs w:val="24"/>
                <w:u w:val="none"/>
                <w:lang w:eastAsia="zh-CN"/>
              </w:rPr>
              <w:t>㎡</w:t>
            </w:r>
            <w:r>
              <w:rPr>
                <w:rStyle w:val="18"/>
                <w:rFonts w:hint="eastAsia" w:ascii="Times New Roman" w:hAnsi="Times New Roman" w:eastAsia="仿宋" w:cs="Times New Roman"/>
                <w:b/>
                <w:bCs/>
                <w:color w:val="333333"/>
                <w:sz w:val="24"/>
                <w:szCs w:val="24"/>
                <w:u w:val="none"/>
                <w:lang w:val="en-US" w:eastAsia="zh-CN"/>
              </w:rPr>
              <w:t>）</w:t>
            </w:r>
          </w:p>
        </w:tc>
        <w:tc>
          <w:tcPr>
            <w:tcW w:w="994"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Style w:val="18"/>
                <w:rFonts w:hint="default" w:ascii="Times New Roman" w:hAnsi="Times New Roman" w:eastAsia="仿宋" w:cs="Times New Roman"/>
                <w:b/>
                <w:bCs/>
                <w:color w:val="333333"/>
                <w:sz w:val="24"/>
                <w:szCs w:val="24"/>
                <w:u w:val="none"/>
                <w:lang w:val="en-US" w:eastAsia="zh-CN"/>
              </w:rPr>
            </w:pPr>
            <w:r>
              <w:rPr>
                <w:rStyle w:val="18"/>
                <w:rFonts w:hint="default" w:ascii="Times New Roman" w:hAnsi="Times New Roman" w:eastAsia="仿宋" w:cs="Times New Roman"/>
                <w:b/>
                <w:bCs/>
                <w:color w:val="333333"/>
                <w:sz w:val="24"/>
                <w:szCs w:val="24"/>
                <w:u w:val="none"/>
                <w:lang w:eastAsia="zh-CN"/>
              </w:rPr>
              <w:t>空置率</w:t>
            </w:r>
            <w:r>
              <w:rPr>
                <w:rStyle w:val="18"/>
                <w:rFonts w:hint="eastAsia" w:ascii="Times New Roman" w:hAnsi="Times New Roman" w:eastAsia="仿宋" w:cs="Times New Roman"/>
                <w:b/>
                <w:bCs/>
                <w:color w:val="333333"/>
                <w:sz w:val="24"/>
                <w:szCs w:val="24"/>
                <w:u w:val="none"/>
                <w:lang w:val="en-US" w:eastAsia="zh-CN"/>
              </w:rPr>
              <w:t>（</w:t>
            </w:r>
            <w:r>
              <w:rPr>
                <w:rStyle w:val="18"/>
                <w:rFonts w:hint="default" w:ascii="Times New Roman" w:hAnsi="Times New Roman" w:eastAsia="仿宋" w:cs="Times New Roman"/>
                <w:b/>
                <w:bCs/>
                <w:color w:val="333333"/>
                <w:sz w:val="24"/>
                <w:szCs w:val="24"/>
                <w:u w:val="none"/>
                <w:lang w:val="en-US" w:eastAsia="zh-CN"/>
              </w:rPr>
              <w:t>%</w:t>
            </w:r>
            <w:r>
              <w:rPr>
                <w:rStyle w:val="18"/>
                <w:rFonts w:hint="eastAsia" w:ascii="Times New Roman" w:hAnsi="Times New Roman" w:eastAsia="仿宋" w:cs="Times New Roman"/>
                <w:b/>
                <w:bCs/>
                <w:color w:val="333333"/>
                <w:sz w:val="24"/>
                <w:szCs w:val="24"/>
                <w:u w:val="none"/>
                <w:lang w:val="en-US" w:eastAsia="zh-CN"/>
              </w:rPr>
              <w:t>）</w:t>
            </w:r>
          </w:p>
        </w:tc>
        <w:tc>
          <w:tcPr>
            <w:tcW w:w="1283"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rPr>
                <w:rStyle w:val="18"/>
                <w:rFonts w:hint="default" w:ascii="Times New Roman" w:hAnsi="Times New Roman" w:eastAsia="仿宋" w:cs="Times New Roman"/>
                <w:b/>
                <w:bCs/>
                <w:color w:val="333333"/>
                <w:sz w:val="24"/>
                <w:szCs w:val="24"/>
                <w:u w:val="none"/>
                <w:lang w:val="en-US" w:eastAsia="zh-CN"/>
              </w:rPr>
            </w:pPr>
            <w:r>
              <w:rPr>
                <w:rStyle w:val="18"/>
                <w:rFonts w:hint="default" w:ascii="Times New Roman" w:hAnsi="Times New Roman" w:eastAsia="仿宋" w:cs="Times New Roman"/>
                <w:b/>
                <w:bCs/>
                <w:color w:val="333333"/>
                <w:sz w:val="24"/>
                <w:szCs w:val="24"/>
                <w:u w:val="none"/>
                <w:lang w:val="en-US" w:eastAsia="zh-CN"/>
              </w:rPr>
              <w:t>产权管理方式</w:t>
            </w:r>
          </w:p>
        </w:tc>
        <w:tc>
          <w:tcPr>
            <w:tcW w:w="2948" w:type="dxa"/>
            <w:vAlign w:val="center"/>
          </w:tcPr>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Style w:val="18"/>
                <w:rFonts w:hint="default" w:ascii="Times New Roman" w:hAnsi="Times New Roman" w:eastAsia="仿宋" w:cs="Times New Roman"/>
                <w:b/>
                <w:bCs/>
                <w:color w:val="333333"/>
                <w:sz w:val="24"/>
                <w:szCs w:val="24"/>
                <w:u w:val="none"/>
                <w:lang w:val="en-US" w:eastAsia="zh-CN"/>
              </w:rPr>
            </w:pPr>
            <w:r>
              <w:rPr>
                <w:rStyle w:val="18"/>
                <w:rFonts w:hint="default" w:ascii="Times New Roman" w:hAnsi="Times New Roman" w:eastAsia="仿宋" w:cs="Times New Roman"/>
                <w:b/>
                <w:bCs/>
                <w:color w:val="333333"/>
                <w:sz w:val="24"/>
                <w:szCs w:val="24"/>
                <w:u w:val="none"/>
                <w:lang w:val="en-US" w:eastAsia="zh-CN"/>
              </w:rPr>
              <w:t>入驻企业主要类型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1</w:t>
            </w:r>
          </w:p>
        </w:tc>
        <w:tc>
          <w:tcPr>
            <w:tcW w:w="1247"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仿宋" w:cs="Times New Roman"/>
                <w:b w:val="0"/>
                <w:bCs w:val="0"/>
                <w:color w:val="auto"/>
                <w:kern w:val="2"/>
                <w:sz w:val="24"/>
                <w:szCs w:val="24"/>
                <w:highlight w:val="none"/>
                <w:lang w:val="en-US" w:eastAsia="zh-CN" w:bidi="ar-SA"/>
              </w:rPr>
              <w:t>北京中路街道</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德丰大厦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4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商务商业</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138700</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26.58</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2</w:t>
            </w:r>
          </w:p>
        </w:tc>
        <w:tc>
          <w:tcPr>
            <w:tcW w:w="1247"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长城中路街道</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金榜大厦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4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商务办公</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35092</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16.62</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建筑工程类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3</w:t>
            </w:r>
          </w:p>
        </w:tc>
        <w:tc>
          <w:tcPr>
            <w:tcW w:w="124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龙马·商务中心1号写字楼</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商务办公</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4"/>
                <w:szCs w:val="24"/>
                <w:u w:val="none"/>
                <w:lang w:val="en-US" w:eastAsia="zh-CN" w:bidi="ar"/>
              </w:rPr>
              <w:t>43503</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55.44</w:t>
            </w:r>
          </w:p>
        </w:tc>
        <w:tc>
          <w:tcPr>
            <w:tcW w:w="1283"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4</w:t>
            </w:r>
          </w:p>
        </w:tc>
        <w:tc>
          <w:tcPr>
            <w:tcW w:w="1247"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上海西路街道</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正丰科创中心</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商务商业</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55000</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4"/>
                <w:szCs w:val="24"/>
                <w:u w:val="none"/>
                <w:lang w:val="en-US" w:eastAsia="zh-CN" w:bidi="ar"/>
              </w:rPr>
              <w:t>25.78</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5</w:t>
            </w:r>
          </w:p>
        </w:tc>
        <w:tc>
          <w:tcPr>
            <w:tcW w:w="124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瑞银财富中心A</w:t>
            </w:r>
            <w:r>
              <w:rPr>
                <w:rFonts w:hint="eastAsia" w:eastAsia="仿宋" w:cs="Times New Roman"/>
                <w:b w:val="0"/>
                <w:bCs w:val="0"/>
                <w:i w:val="0"/>
                <w:iCs w:val="0"/>
                <w:color w:val="auto"/>
                <w:kern w:val="0"/>
                <w:sz w:val="24"/>
                <w:szCs w:val="24"/>
                <w:u w:val="none"/>
                <w:lang w:val="en-US" w:eastAsia="zh-CN" w:bidi="ar"/>
              </w:rPr>
              <w:t>、B、C</w:t>
            </w:r>
            <w:r>
              <w:rPr>
                <w:rFonts w:hint="default" w:ascii="Times New Roman" w:hAnsi="Times New Roman" w:eastAsia="仿宋" w:cs="Times New Roman"/>
                <w:b w:val="0"/>
                <w:bCs w:val="0"/>
                <w:i w:val="0"/>
                <w:iCs w:val="0"/>
                <w:color w:val="auto"/>
                <w:kern w:val="0"/>
                <w:sz w:val="24"/>
                <w:szCs w:val="24"/>
                <w:u w:val="none"/>
                <w:lang w:val="en-US" w:eastAsia="zh-CN" w:bidi="ar"/>
              </w:rPr>
              <w:t>座</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12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商务办公（A、B）、商务商业（C）</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4"/>
                <w:szCs w:val="24"/>
                <w:u w:val="none"/>
                <w:lang w:val="en-US" w:eastAsia="zh-CN" w:bidi="ar"/>
              </w:rPr>
              <w:t>103306</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4"/>
                <w:szCs w:val="24"/>
                <w:u w:val="none"/>
                <w:lang w:val="en-US" w:eastAsia="zh-CN" w:bidi="ar"/>
              </w:rPr>
              <w:t>21.47</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6</w:t>
            </w:r>
          </w:p>
        </w:tc>
        <w:tc>
          <w:tcPr>
            <w:tcW w:w="124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黄河文化创展中心</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2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商务商业</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102002</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65.45</w:t>
            </w:r>
          </w:p>
        </w:tc>
        <w:tc>
          <w:tcPr>
            <w:tcW w:w="1283" w:type="dxa"/>
            <w:vAlign w:val="center"/>
          </w:tcPr>
          <w:p>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7</w:t>
            </w:r>
          </w:p>
        </w:tc>
        <w:tc>
          <w:tcPr>
            <w:tcW w:w="1247"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满城北街街道</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天地奔牛科技大厦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9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科研\科技孵化器</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34011</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39.84</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科技创新类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8</w:t>
            </w:r>
          </w:p>
        </w:tc>
        <w:tc>
          <w:tcPr>
            <w:tcW w:w="1247"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贺兰山中路街道</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创意大厦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宋体" w:cs="Times New Roman"/>
                <w:b w:val="0"/>
                <w:bCs w:val="0"/>
                <w:i w:val="0"/>
                <w:iCs w:val="0"/>
                <w:color w:val="auto"/>
                <w:kern w:val="0"/>
                <w:sz w:val="24"/>
                <w:szCs w:val="24"/>
                <w:u w:val="none"/>
                <w:lang w:val="en-US" w:eastAsia="zh-CN" w:bidi="ar"/>
              </w:rPr>
              <w:t>6</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商务商业办公</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4"/>
                <w:szCs w:val="24"/>
                <w:u w:val="none"/>
                <w:lang w:val="en-US" w:eastAsia="zh-CN" w:bidi="ar"/>
              </w:rPr>
              <w:t>53750</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4"/>
                <w:szCs w:val="24"/>
                <w:u w:val="none"/>
                <w:lang w:val="en-US" w:eastAsia="zh-CN" w:bidi="ar"/>
              </w:rPr>
              <w:t>19.44</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分割产权</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9</w:t>
            </w:r>
          </w:p>
        </w:tc>
        <w:tc>
          <w:tcPr>
            <w:tcW w:w="1247"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黄河东路街道</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盈华商厦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8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商务商业</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89600</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30.52</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生活服务类</w:t>
            </w:r>
            <w:r>
              <w:rPr>
                <w:rFonts w:hint="eastAsia" w:ascii="Times New Roman" w:hAnsi="Times New Roman" w:eastAsia="仿宋" w:cs="Times New Roman"/>
                <w:b w:val="0"/>
                <w:bCs w:val="0"/>
                <w:color w:val="auto"/>
                <w:kern w:val="2"/>
                <w:sz w:val="24"/>
                <w:szCs w:val="24"/>
                <w:highlight w:val="none"/>
                <w:lang w:val="en-US" w:eastAsia="zh-CN" w:bidi="ar-SA"/>
              </w:rPr>
              <w:t>、</w:t>
            </w:r>
            <w:r>
              <w:rPr>
                <w:rFonts w:hint="default" w:ascii="Times New Roman" w:hAnsi="Times New Roman" w:eastAsia="仿宋" w:cs="Times New Roman"/>
                <w:b w:val="0"/>
                <w:bCs w:val="0"/>
                <w:color w:val="auto"/>
                <w:kern w:val="2"/>
                <w:sz w:val="24"/>
                <w:szCs w:val="24"/>
                <w:highlight w:val="none"/>
                <w:lang w:val="en-US" w:eastAsia="zh-CN" w:bidi="ar-SA"/>
              </w:rPr>
              <w:t>建筑工程类</w:t>
            </w:r>
            <w:r>
              <w:rPr>
                <w:rFonts w:hint="eastAsia" w:ascii="Times New Roman" w:hAnsi="Times New Roman" w:eastAsia="仿宋" w:cs="Times New Roman"/>
                <w:b w:val="0"/>
                <w:bCs w:val="0"/>
                <w:color w:val="auto"/>
                <w:kern w:val="2"/>
                <w:sz w:val="24"/>
                <w:szCs w:val="24"/>
                <w:highlight w:val="none"/>
                <w:lang w:val="en-US" w:eastAsia="zh-CN" w:bidi="ar-SA"/>
              </w:rPr>
              <w:t>、</w:t>
            </w:r>
            <w:r>
              <w:rPr>
                <w:rFonts w:hint="default" w:ascii="Times New Roman" w:hAnsi="Times New Roman" w:eastAsia="仿宋" w:cs="Times New Roman"/>
                <w:b w:val="0"/>
                <w:bCs w:val="0"/>
                <w:color w:val="auto"/>
                <w:kern w:val="2"/>
                <w:sz w:val="24"/>
                <w:szCs w:val="24"/>
                <w:highlight w:val="none"/>
                <w:lang w:val="en-US" w:eastAsia="zh-CN" w:bidi="ar-SA"/>
              </w:rPr>
              <w:t>商务咨询类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10</w:t>
            </w:r>
          </w:p>
        </w:tc>
        <w:tc>
          <w:tcPr>
            <w:tcW w:w="1247" w:type="dxa"/>
            <w:vMerge w:val="restart"/>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阅海湾中央商务区</w:t>
            </w: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CBD保险大厦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7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商务办公</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63853</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32.47</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color w:val="auto"/>
                <w:kern w:val="2"/>
                <w:sz w:val="24"/>
                <w:szCs w:val="24"/>
                <w:highlight w:val="none"/>
                <w:lang w:val="en-US" w:eastAsia="zh-CN" w:bidi="ar-SA"/>
              </w:rPr>
              <w:t>科技创新类</w:t>
            </w:r>
            <w:r>
              <w:rPr>
                <w:rFonts w:hint="eastAsia" w:ascii="Times New Roman" w:hAnsi="Times New Roman" w:eastAsia="仿宋" w:cs="Times New Roman"/>
                <w:b w:val="0"/>
                <w:bCs w:val="0"/>
                <w:color w:val="auto"/>
                <w:kern w:val="2"/>
                <w:sz w:val="24"/>
                <w:szCs w:val="24"/>
                <w:highlight w:val="none"/>
                <w:lang w:val="en-US" w:eastAsia="zh-CN" w:bidi="ar-SA"/>
              </w:rPr>
              <w:t>、都市工业类、新媒体传播类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11</w:t>
            </w:r>
          </w:p>
        </w:tc>
        <w:tc>
          <w:tcPr>
            <w:tcW w:w="124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力德财富大厦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3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商务办公</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91642</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32.29</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售租混合</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keepNext w:val="0"/>
              <w:keepLines w:val="0"/>
              <w:pageBreakBefore w:val="0"/>
              <w:widowControl w:val="0"/>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eastAsia" w:eastAsia="等线" w:cs="Times New Roman"/>
                <w:i w:val="0"/>
                <w:iCs w:val="0"/>
                <w:color w:val="000000"/>
                <w:kern w:val="0"/>
                <w:sz w:val="22"/>
                <w:szCs w:val="22"/>
                <w:u w:val="none"/>
                <w:lang w:val="en-US" w:eastAsia="zh-CN" w:bidi="ar"/>
              </w:rPr>
              <w:t>12</w:t>
            </w:r>
          </w:p>
        </w:tc>
        <w:tc>
          <w:tcPr>
            <w:tcW w:w="1247" w:type="dxa"/>
            <w:vMerge w:val="continue"/>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p>
        </w:tc>
        <w:tc>
          <w:tcPr>
            <w:tcW w:w="2892"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b w:val="0"/>
                <w:bCs w:val="0"/>
                <w:i w:val="0"/>
                <w:iCs w:val="0"/>
                <w:color w:val="auto"/>
                <w:kern w:val="0"/>
                <w:sz w:val="24"/>
                <w:szCs w:val="24"/>
                <w:u w:val="none"/>
                <w:lang w:val="en-US" w:eastAsia="zh-CN" w:bidi="ar"/>
              </w:rPr>
              <w:t>银帝大厦</w:t>
            </w:r>
          </w:p>
        </w:tc>
        <w:tc>
          <w:tcPr>
            <w:tcW w:w="96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i w:val="0"/>
                <w:iCs w:val="0"/>
                <w:color w:val="auto"/>
                <w:kern w:val="0"/>
                <w:sz w:val="24"/>
                <w:szCs w:val="24"/>
                <w:u w:val="none"/>
                <w:lang w:val="en-US" w:eastAsia="zh-CN" w:bidi="ar"/>
              </w:rPr>
              <w:t xml:space="preserve">6 </w:t>
            </w:r>
          </w:p>
        </w:tc>
        <w:tc>
          <w:tcPr>
            <w:tcW w:w="1958"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spacing w:val="-20"/>
                <w:kern w:val="2"/>
                <w:sz w:val="24"/>
                <w:szCs w:val="24"/>
                <w:highlight w:val="none"/>
                <w:lang w:val="en-US" w:eastAsia="zh-CN" w:bidi="ar-SA"/>
              </w:rPr>
            </w:pPr>
            <w:r>
              <w:rPr>
                <w:rFonts w:hint="eastAsia" w:ascii="仿宋" w:hAnsi="仿宋" w:eastAsia="仿宋" w:cs="仿宋"/>
                <w:i w:val="0"/>
                <w:iCs w:val="0"/>
                <w:color w:val="auto"/>
                <w:spacing w:val="-20"/>
                <w:kern w:val="0"/>
                <w:sz w:val="24"/>
                <w:szCs w:val="24"/>
                <w:u w:val="none"/>
                <w:lang w:val="en-US" w:eastAsia="zh-CN" w:bidi="ar"/>
              </w:rPr>
              <w:t>商务办公</w:t>
            </w:r>
          </w:p>
        </w:tc>
        <w:tc>
          <w:tcPr>
            <w:tcW w:w="1229"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41181</w:t>
            </w:r>
          </w:p>
        </w:tc>
        <w:tc>
          <w:tcPr>
            <w:tcW w:w="994"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74.42</w:t>
            </w:r>
          </w:p>
        </w:tc>
        <w:tc>
          <w:tcPr>
            <w:tcW w:w="1283" w:type="dxa"/>
            <w:vAlign w:val="center"/>
          </w:tcPr>
          <w:p>
            <w:pPr>
              <w:keepNext w:val="0"/>
              <w:keepLines w:val="0"/>
              <w:pageBreakBefore w:val="0"/>
              <w:widowControl w:val="0"/>
              <w:suppressLineNumbers w:val="0"/>
              <w:kinsoku/>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整体持有</w:t>
            </w:r>
          </w:p>
        </w:tc>
        <w:tc>
          <w:tcPr>
            <w:tcW w:w="2948" w:type="dxa"/>
            <w:vAlign w:val="center"/>
          </w:tcPr>
          <w:p>
            <w:pPr>
              <w:pStyle w:val="14"/>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eastAsia" w:ascii="Times New Roman" w:hAnsi="Times New Roman" w:eastAsia="仿宋" w:cs="Times New Roman"/>
                <w:b w:val="0"/>
                <w:bCs w:val="0"/>
                <w:color w:val="auto"/>
                <w:kern w:val="2"/>
                <w:sz w:val="24"/>
                <w:szCs w:val="24"/>
                <w:highlight w:val="none"/>
                <w:lang w:val="en-US" w:eastAsia="zh-CN" w:bidi="ar-SA"/>
              </w:rPr>
              <w:t>综合</w:t>
            </w:r>
          </w:p>
        </w:tc>
      </w:tr>
    </w:tbl>
    <w:p>
      <w:pPr>
        <w:pageBreakBefore w:val="0"/>
        <w:widowControl w:val="0"/>
        <w:kinsoku/>
        <w:overflowPunct/>
        <w:topLinePunct w:val="0"/>
        <w:autoSpaceDE/>
        <w:autoSpaceDN/>
        <w:bidi w:val="0"/>
        <w:adjustRightInd/>
        <w:snapToGrid/>
        <w:ind w:left="0" w:leftChars="0" w:firstLine="0" w:firstLineChars="0"/>
        <w:rPr>
          <w:rFonts w:hint="default"/>
          <w:lang w:val="en-US" w:eastAsia="zh-CN"/>
        </w:rPr>
      </w:pPr>
    </w:p>
    <w:sectPr>
      <w:pgSz w:w="16781" w:h="11849" w:orient="landscape"/>
      <w:pgMar w:top="1803" w:right="1440" w:bottom="1803" w:left="1440" w:header="850" w:footer="992" w:gutter="0"/>
      <w:pgNumType w:fmt="numberInDash"/>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pPr>
        <w:spacing w:line="240" w:lineRule="auto"/>
        <w:ind w:firstLine="640"/>
      </w:pPr>
      <w:r>
        <w:separator/>
      </w:r>
    </w:p>
  </w:endnote>
  <w:endnote w:type="continuationSeparator" w:id="3">
    <w:p>
      <w:pPr>
        <w:spacing w:line="240" w:lineRule="auto"/>
        <w:ind w:firstLine="640"/>
      </w:pPr>
      <w:r>
        <w:continuationSeparator/>
      </w:r>
    </w:p>
  </w:endnote>
  <w:endnote w:id="0">
    <w:p>
      <w:pPr>
        <w:pStyle w:val="11"/>
        <w:snapToGrid w:val="0"/>
        <w:spacing w:line="240" w:lineRule="auto"/>
        <w:rPr>
          <w:rFonts w:hint="eastAsia"/>
          <w:vertAlign w:val="baseline"/>
          <w:lang w:val="en-US" w:eastAsia="zh-CN"/>
        </w:rPr>
      </w:pPr>
      <w:r>
        <w:rPr>
          <w:rStyle w:val="19"/>
        </w:rPr>
        <w:endnoteRef/>
      </w:r>
      <w:r>
        <w:t xml:space="preserve"> </w:t>
      </w:r>
      <w:r>
        <w:rPr>
          <w:rStyle w:val="22"/>
          <w:vertAlign w:val="baseline"/>
        </w:rPr>
        <w:endnoteRef/>
      </w:r>
      <w:r>
        <w:rPr>
          <w:rFonts w:hint="eastAsia"/>
          <w:vertAlign w:val="baseline"/>
          <w:lang w:val="en-US" w:eastAsia="zh-CN"/>
        </w:rPr>
        <w:t>.</w:t>
      </w:r>
      <w:r>
        <w:rPr>
          <w:rFonts w:hint="eastAsia"/>
          <w:vertAlign w:val="baseline"/>
          <w:lang w:eastAsia="zh-CN"/>
        </w:rPr>
        <w:t>聚焦未来三年金凤区楼宇经济发展方向：一是</w:t>
      </w:r>
      <w:r>
        <w:rPr>
          <w:rFonts w:hint="eastAsia"/>
          <w:vertAlign w:val="baseline"/>
          <w:lang w:val="en-US" w:eastAsia="zh-CN"/>
        </w:rPr>
        <w:t>围绕空置楼宇，推动轻型生产、环保型和低能耗类型的高端制造业“上楼”；二是针对低效、老旧楼宇，引导高精尖产业示范项目落地，推动腾退空间转型；三是在发展较为成熟的楼宇，引导楼宇企业上下游、客户群有效聚集，提升</w:t>
      </w:r>
      <w:r>
        <w:rPr>
          <w:rFonts w:hint="eastAsia"/>
          <w:color w:val="auto"/>
          <w:highlight w:val="none"/>
          <w:lang w:val="en-US" w:eastAsia="zh-CN"/>
        </w:rPr>
        <w:t>产业聚集度；四是聚焦重点税源，</w:t>
      </w:r>
      <w:r>
        <w:rPr>
          <w:rFonts w:hint="eastAsia"/>
          <w:color w:val="auto"/>
          <w:highlight w:val="none"/>
        </w:rPr>
        <w:t>实施亿元楼宇梯度培育计划，</w:t>
      </w:r>
      <w:r>
        <w:rPr>
          <w:rFonts w:hint="eastAsia"/>
          <w:color w:val="auto"/>
          <w:highlight w:val="none"/>
          <w:lang w:eastAsia="zh-CN"/>
        </w:rPr>
        <w:t>提高楼宇贡献度。</w:t>
      </w:r>
      <w:r>
        <w:rPr>
          <w:rFonts w:hint="eastAsia"/>
          <w:vertAlign w:val="baseline"/>
          <w:lang w:eastAsia="zh-CN"/>
        </w:rPr>
        <w:t>对现有</w:t>
      </w:r>
      <w:r>
        <w:rPr>
          <w:rFonts w:hint="eastAsia"/>
          <w:vertAlign w:val="baseline"/>
          <w:lang w:val="en-US" w:eastAsia="zh-CN"/>
        </w:rPr>
        <w:t>99栋楼宇</w:t>
      </w:r>
      <w:r>
        <w:rPr>
          <w:rFonts w:hint="eastAsia"/>
          <w:vertAlign w:val="baseline"/>
          <w:lang w:eastAsia="zh-CN"/>
        </w:rPr>
        <w:t>的规模、使用年限、空置情况、产权管理方式、入驻企业产业集聚情况等因素</w:t>
      </w:r>
      <w:r>
        <w:rPr>
          <w:rFonts w:hint="eastAsia"/>
          <w:vertAlign w:val="baseline"/>
          <w:lang w:val="en-US" w:eastAsia="zh-CN"/>
        </w:rPr>
        <w:t>进行综合研判，</w:t>
      </w:r>
      <w:r>
        <w:rPr>
          <w:rFonts w:hint="eastAsia"/>
          <w:color w:val="auto"/>
          <w:highlight w:val="none"/>
          <w:lang w:eastAsia="zh-CN"/>
        </w:rPr>
        <w:t>筛</w:t>
      </w:r>
      <w:r>
        <w:rPr>
          <w:rFonts w:hint="eastAsia"/>
          <w:vertAlign w:val="baseline"/>
          <w:lang w:eastAsia="zh-CN"/>
        </w:rPr>
        <w:t>选出</w:t>
      </w:r>
      <w:r>
        <w:rPr>
          <w:rFonts w:hint="eastAsia"/>
          <w:vertAlign w:val="baseline"/>
          <w:lang w:val="en-US" w:eastAsia="zh-CN"/>
        </w:rPr>
        <w:t>第一批</w:t>
      </w:r>
      <w:r>
        <w:rPr>
          <w:rFonts w:hint="eastAsia"/>
          <w:highlight w:val="none"/>
          <w:vertAlign w:val="baseline"/>
          <w:lang w:val="en-US" w:eastAsia="zh-CN"/>
        </w:rPr>
        <w:t>12栋</w:t>
      </w:r>
      <w:r>
        <w:rPr>
          <w:rFonts w:hint="eastAsia"/>
          <w:highlight w:val="none"/>
          <w:vertAlign w:val="baseline"/>
          <w:lang w:eastAsia="zh-CN"/>
        </w:rPr>
        <w:t>重点发展</w:t>
      </w:r>
      <w:r>
        <w:rPr>
          <w:rFonts w:hint="eastAsia"/>
          <w:vertAlign w:val="baseline"/>
          <w:lang w:eastAsia="zh-CN"/>
        </w:rPr>
        <w:t>楼宇。</w:t>
      </w:r>
    </w:p>
    <w:p>
      <w:pPr>
        <w:pStyle w:val="8"/>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306BCDB-5A7C-4275-B015-5446554860CD}"/>
  </w:font>
  <w:font w:name="黑体">
    <w:panose1 w:val="02010609060101010101"/>
    <w:charset w:val="86"/>
    <w:family w:val="auto"/>
    <w:pitch w:val="default"/>
    <w:sig w:usb0="800002BF" w:usb1="38CF7CFA" w:usb2="00000016" w:usb3="00000000" w:csb0="00040001" w:csb1="00000000"/>
    <w:embedRegular r:id="rId2" w:fontKey="{4AAA7CF9-1B56-40BC-858F-028F3D5249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10018D5-0240-4972-8555-3A3F988CBDEF}"/>
  </w:font>
  <w:font w:name="楷体">
    <w:panose1 w:val="02010609060101010101"/>
    <w:charset w:val="86"/>
    <w:family w:val="auto"/>
    <w:pitch w:val="default"/>
    <w:sig w:usb0="800002BF" w:usb1="38CF7CFA" w:usb2="00000016" w:usb3="00000000" w:csb0="00040001" w:csb1="00000000"/>
    <w:embedRegular r:id="rId4" w:fontKey="{C110CEA5-816B-44CD-92FC-63452396A74A}"/>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5" w:fontKey="{E30E489D-9C9D-4B74-9FBE-9E3A9A8A3BB4}"/>
  </w:font>
  <w:font w:name="仿宋">
    <w:panose1 w:val="02010609060101010101"/>
    <w:charset w:val="86"/>
    <w:family w:val="auto"/>
    <w:pitch w:val="default"/>
    <w:sig w:usb0="800002BF" w:usb1="38CF7CFA" w:usb2="00000016" w:usb3="00000000" w:csb0="00040001" w:csb1="00000000"/>
    <w:embedRegular r:id="rId6" w:fontKey="{BDCDC430-A78F-4813-996A-E3B1FE1DADD0}"/>
  </w:font>
  <w:font w:name="方正仿宋_GB2312">
    <w:panose1 w:val="02000000000000000000"/>
    <w:charset w:val="86"/>
    <w:family w:val="auto"/>
    <w:pitch w:val="default"/>
    <w:sig w:usb0="A00002BF" w:usb1="184F6CFA" w:usb2="00000012" w:usb3="00000000" w:csb0="00040001" w:csb1="00000000"/>
    <w:embedRegular r:id="rId7" w:fontKey="{9F8B4221-4DBF-4DFF-BC3C-E539709712E3}"/>
  </w:font>
  <w:font w:name="等线">
    <w:panose1 w:val="02010600030101010101"/>
    <w:charset w:val="86"/>
    <w:family w:val="auto"/>
    <w:pitch w:val="default"/>
    <w:sig w:usb0="A00002BF" w:usb1="38CF7CFA" w:usb2="00000016" w:usb3="00000000" w:csb0="0004000F" w:csb1="00000000"/>
    <w:embedRegular r:id="rId8" w:fontKey="{C7C0E7F8-EC75-41B3-B34B-9520C000DC64}"/>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11"/>
        <w:snapToGrid w:val="0"/>
        <w:spacing w:line="240" w:lineRule="auto"/>
        <w:rPr>
          <w:rFonts w:hint="eastAsia"/>
          <w:lang w:val="en-US" w:eastAsia="zh-CN"/>
        </w:rPr>
      </w:pPr>
      <w:r>
        <w:rPr>
          <w:rFonts w:hint="eastAsia"/>
          <w:lang w:val="en-US" w:eastAsia="zh-CN"/>
        </w:rPr>
        <w:footnoteRef/>
      </w:r>
      <w:r>
        <w:rPr>
          <w:rFonts w:hint="eastAsia"/>
          <w:lang w:val="en-US" w:eastAsia="zh-CN"/>
        </w:rPr>
        <w:t>.“五个一”是指一个管理团队、一个信息展示窗口、一个楼宇经济综合管理服务平台、一套入驻企业帮扶制度、一个“两化一度”提升发展目标。</w:t>
      </w:r>
    </w:p>
  </w:footnote>
  <w:footnote w:id="1">
    <w:p>
      <w:pPr>
        <w:pStyle w:val="11"/>
        <w:snapToGrid w:val="0"/>
        <w:rPr>
          <w:rFonts w:hint="eastAsia" w:eastAsia="仿宋"/>
          <w:vertAlign w:val="baseline"/>
          <w:lang w:eastAsia="zh-CN"/>
        </w:rPr>
      </w:pPr>
      <w:r>
        <w:rPr>
          <w:rStyle w:val="22"/>
          <w:vertAlign w:val="baseline"/>
        </w:rPr>
        <w:footnoteRef/>
      </w:r>
      <w:r>
        <w:rPr>
          <w:rFonts w:hint="eastAsia"/>
          <w:vertAlign w:val="baseline"/>
          <w:lang w:val="en-US" w:eastAsia="zh-CN"/>
        </w:rPr>
        <w:t>.</w:t>
      </w:r>
      <w:r>
        <w:rPr>
          <w:rFonts w:hint="eastAsia"/>
          <w:color w:val="auto"/>
          <w:highlight w:val="none"/>
          <w:vertAlign w:val="baseline"/>
          <w:lang w:eastAsia="zh-CN"/>
        </w:rPr>
        <w:t>专业集中度为楼宇内</w:t>
      </w:r>
      <w:r>
        <w:rPr>
          <w:rFonts w:hint="eastAsia"/>
          <w:vertAlign w:val="baseline"/>
        </w:rPr>
        <w:t>入驻某一产业</w:t>
      </w:r>
      <w:r>
        <w:rPr>
          <w:rFonts w:hint="eastAsia"/>
          <w:vertAlign w:val="baseline"/>
          <w:lang w:eastAsia="zh-CN"/>
        </w:rPr>
        <w:t>链</w:t>
      </w:r>
      <w:r>
        <w:rPr>
          <w:rFonts w:hint="eastAsia"/>
          <w:vertAlign w:val="baseline"/>
        </w:rPr>
        <w:t>企业数</w:t>
      </w:r>
      <w:r>
        <w:rPr>
          <w:rFonts w:hint="eastAsia"/>
          <w:vertAlign w:val="baseline"/>
          <w:lang w:eastAsia="zh-CN"/>
        </w:rPr>
        <w:t>与</w:t>
      </w:r>
      <w:r>
        <w:rPr>
          <w:rFonts w:hint="eastAsia"/>
          <w:vertAlign w:val="baseline"/>
        </w:rPr>
        <w:t>入驻企业总数</w:t>
      </w:r>
      <w:r>
        <w:rPr>
          <w:rFonts w:hint="eastAsia"/>
          <w:vertAlign w:val="baseline"/>
          <w:lang w:eastAsia="zh-CN"/>
        </w:rPr>
        <w:t>的比值。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NWI2MTc2Zjk5ZjFjNmU2ODFmOGZkNDQ2ZGUzNmQifQ=="/>
  </w:docVars>
  <w:rsids>
    <w:rsidRoot w:val="00000000"/>
    <w:rsid w:val="00174CC9"/>
    <w:rsid w:val="005E0AA6"/>
    <w:rsid w:val="00732078"/>
    <w:rsid w:val="0096367E"/>
    <w:rsid w:val="00AB71A3"/>
    <w:rsid w:val="00CF14C5"/>
    <w:rsid w:val="00D72D57"/>
    <w:rsid w:val="01085B6A"/>
    <w:rsid w:val="014F2E8B"/>
    <w:rsid w:val="016B4EEA"/>
    <w:rsid w:val="016D1969"/>
    <w:rsid w:val="01D9472A"/>
    <w:rsid w:val="01EE0509"/>
    <w:rsid w:val="01FD1A25"/>
    <w:rsid w:val="02127E2E"/>
    <w:rsid w:val="021D673F"/>
    <w:rsid w:val="02460EB6"/>
    <w:rsid w:val="02597778"/>
    <w:rsid w:val="02A82458"/>
    <w:rsid w:val="02B0262C"/>
    <w:rsid w:val="02BD21E4"/>
    <w:rsid w:val="036A2C3F"/>
    <w:rsid w:val="03894D4C"/>
    <w:rsid w:val="039C5442"/>
    <w:rsid w:val="03AA5C65"/>
    <w:rsid w:val="03E2021C"/>
    <w:rsid w:val="042D140E"/>
    <w:rsid w:val="04823571"/>
    <w:rsid w:val="049D4C2A"/>
    <w:rsid w:val="04E5578A"/>
    <w:rsid w:val="04F30983"/>
    <w:rsid w:val="04FA3DBA"/>
    <w:rsid w:val="053F47D4"/>
    <w:rsid w:val="055C1E47"/>
    <w:rsid w:val="05AA653C"/>
    <w:rsid w:val="06307168"/>
    <w:rsid w:val="064A387B"/>
    <w:rsid w:val="06502FF1"/>
    <w:rsid w:val="066A1827"/>
    <w:rsid w:val="067440DA"/>
    <w:rsid w:val="068C514E"/>
    <w:rsid w:val="0696086E"/>
    <w:rsid w:val="06EB0BBA"/>
    <w:rsid w:val="079C0106"/>
    <w:rsid w:val="07CC22E9"/>
    <w:rsid w:val="082D6FB0"/>
    <w:rsid w:val="08626CBA"/>
    <w:rsid w:val="08D51B22"/>
    <w:rsid w:val="08FE2F47"/>
    <w:rsid w:val="0928131E"/>
    <w:rsid w:val="09306D58"/>
    <w:rsid w:val="093B1FEA"/>
    <w:rsid w:val="098B0DA6"/>
    <w:rsid w:val="098F309D"/>
    <w:rsid w:val="0A6A186A"/>
    <w:rsid w:val="0A794110"/>
    <w:rsid w:val="0AA338DC"/>
    <w:rsid w:val="0ACF0E24"/>
    <w:rsid w:val="0B8D770B"/>
    <w:rsid w:val="0B9A2BAF"/>
    <w:rsid w:val="0BED53CB"/>
    <w:rsid w:val="0BF06F37"/>
    <w:rsid w:val="0C4F3999"/>
    <w:rsid w:val="0CA35D73"/>
    <w:rsid w:val="0CA534EF"/>
    <w:rsid w:val="0CAE0EB5"/>
    <w:rsid w:val="0CB733E9"/>
    <w:rsid w:val="0CDE2AB7"/>
    <w:rsid w:val="0D093B48"/>
    <w:rsid w:val="0E206460"/>
    <w:rsid w:val="0E4045BE"/>
    <w:rsid w:val="0E481E5C"/>
    <w:rsid w:val="0ECF2B6F"/>
    <w:rsid w:val="0EE7610B"/>
    <w:rsid w:val="0F002C58"/>
    <w:rsid w:val="0F26713F"/>
    <w:rsid w:val="0F4D14D5"/>
    <w:rsid w:val="101F18D4"/>
    <w:rsid w:val="1088268D"/>
    <w:rsid w:val="10A87B1C"/>
    <w:rsid w:val="10D87358"/>
    <w:rsid w:val="10F863AD"/>
    <w:rsid w:val="111B4D7F"/>
    <w:rsid w:val="113C52C0"/>
    <w:rsid w:val="117E3B29"/>
    <w:rsid w:val="12244F80"/>
    <w:rsid w:val="12492C39"/>
    <w:rsid w:val="125E7697"/>
    <w:rsid w:val="1297339E"/>
    <w:rsid w:val="13053A34"/>
    <w:rsid w:val="13144FF5"/>
    <w:rsid w:val="133438E9"/>
    <w:rsid w:val="134B184C"/>
    <w:rsid w:val="13702B73"/>
    <w:rsid w:val="138F0B1F"/>
    <w:rsid w:val="13EE79C9"/>
    <w:rsid w:val="142C247F"/>
    <w:rsid w:val="143002AD"/>
    <w:rsid w:val="15015A4D"/>
    <w:rsid w:val="15234F92"/>
    <w:rsid w:val="154716B1"/>
    <w:rsid w:val="167A45E4"/>
    <w:rsid w:val="167A5BE3"/>
    <w:rsid w:val="167F30CD"/>
    <w:rsid w:val="16D62899"/>
    <w:rsid w:val="171811A1"/>
    <w:rsid w:val="17853C1F"/>
    <w:rsid w:val="17951AE5"/>
    <w:rsid w:val="17C3207F"/>
    <w:rsid w:val="18356E46"/>
    <w:rsid w:val="187953B4"/>
    <w:rsid w:val="18B232E6"/>
    <w:rsid w:val="18D95B8F"/>
    <w:rsid w:val="19085CE9"/>
    <w:rsid w:val="19235AA0"/>
    <w:rsid w:val="196127AF"/>
    <w:rsid w:val="199D59B8"/>
    <w:rsid w:val="19C64063"/>
    <w:rsid w:val="19CD3A01"/>
    <w:rsid w:val="1A432DD4"/>
    <w:rsid w:val="1A597A05"/>
    <w:rsid w:val="1A715F06"/>
    <w:rsid w:val="1AF6251F"/>
    <w:rsid w:val="1AFC2B69"/>
    <w:rsid w:val="1B035B65"/>
    <w:rsid w:val="1B1649A6"/>
    <w:rsid w:val="1B2E1125"/>
    <w:rsid w:val="1B4C386F"/>
    <w:rsid w:val="1BA44CF9"/>
    <w:rsid w:val="1BCD6688"/>
    <w:rsid w:val="1BE61B0F"/>
    <w:rsid w:val="1C14361B"/>
    <w:rsid w:val="1C4050AC"/>
    <w:rsid w:val="1C4460A5"/>
    <w:rsid w:val="1CB25DDE"/>
    <w:rsid w:val="1D0C175E"/>
    <w:rsid w:val="1D3E1CC2"/>
    <w:rsid w:val="1D8F1511"/>
    <w:rsid w:val="1DB95116"/>
    <w:rsid w:val="1DD77BF6"/>
    <w:rsid w:val="1E02112B"/>
    <w:rsid w:val="1E364D78"/>
    <w:rsid w:val="1E3B1FCF"/>
    <w:rsid w:val="1E6A59DA"/>
    <w:rsid w:val="1EE927AE"/>
    <w:rsid w:val="1F8C7E60"/>
    <w:rsid w:val="1FBF0E2C"/>
    <w:rsid w:val="201A7AC1"/>
    <w:rsid w:val="20564928"/>
    <w:rsid w:val="20621A95"/>
    <w:rsid w:val="209244B7"/>
    <w:rsid w:val="20E97AC1"/>
    <w:rsid w:val="20F50512"/>
    <w:rsid w:val="215D18CE"/>
    <w:rsid w:val="215F18A4"/>
    <w:rsid w:val="219C0FD7"/>
    <w:rsid w:val="21C52D3B"/>
    <w:rsid w:val="22034DB7"/>
    <w:rsid w:val="223E018C"/>
    <w:rsid w:val="2259355C"/>
    <w:rsid w:val="22601445"/>
    <w:rsid w:val="226508ED"/>
    <w:rsid w:val="22AF6AE8"/>
    <w:rsid w:val="22CC58EC"/>
    <w:rsid w:val="231F5C99"/>
    <w:rsid w:val="236819A8"/>
    <w:rsid w:val="23723DB7"/>
    <w:rsid w:val="23825060"/>
    <w:rsid w:val="23CB5BA3"/>
    <w:rsid w:val="23E10F23"/>
    <w:rsid w:val="242B0E14"/>
    <w:rsid w:val="244D65B8"/>
    <w:rsid w:val="248A5117"/>
    <w:rsid w:val="249D5940"/>
    <w:rsid w:val="24BD373E"/>
    <w:rsid w:val="24DF7FFD"/>
    <w:rsid w:val="252512E3"/>
    <w:rsid w:val="254C6870"/>
    <w:rsid w:val="258F3F5E"/>
    <w:rsid w:val="25987D07"/>
    <w:rsid w:val="25C46260"/>
    <w:rsid w:val="25C858AB"/>
    <w:rsid w:val="25E303ED"/>
    <w:rsid w:val="26234BC5"/>
    <w:rsid w:val="264B1A6F"/>
    <w:rsid w:val="26D73A91"/>
    <w:rsid w:val="27050617"/>
    <w:rsid w:val="272823AB"/>
    <w:rsid w:val="27427F2B"/>
    <w:rsid w:val="27577AEE"/>
    <w:rsid w:val="2782686E"/>
    <w:rsid w:val="27960B86"/>
    <w:rsid w:val="27B96E8B"/>
    <w:rsid w:val="27EA37A1"/>
    <w:rsid w:val="280576EE"/>
    <w:rsid w:val="28250763"/>
    <w:rsid w:val="284101E2"/>
    <w:rsid w:val="292A511A"/>
    <w:rsid w:val="293A3114"/>
    <w:rsid w:val="29455AB0"/>
    <w:rsid w:val="294E7156"/>
    <w:rsid w:val="29524F49"/>
    <w:rsid w:val="296642D8"/>
    <w:rsid w:val="29791BFE"/>
    <w:rsid w:val="29C4645F"/>
    <w:rsid w:val="2A0A3553"/>
    <w:rsid w:val="2AEB08D9"/>
    <w:rsid w:val="2AEB458D"/>
    <w:rsid w:val="2AF22A8A"/>
    <w:rsid w:val="2C2B3683"/>
    <w:rsid w:val="2C591E3D"/>
    <w:rsid w:val="2CD31625"/>
    <w:rsid w:val="2D2325AC"/>
    <w:rsid w:val="2D746C16"/>
    <w:rsid w:val="2D8D1641"/>
    <w:rsid w:val="2E6414B0"/>
    <w:rsid w:val="2E7B6B50"/>
    <w:rsid w:val="2E9B6172"/>
    <w:rsid w:val="2EF57458"/>
    <w:rsid w:val="2F1847ED"/>
    <w:rsid w:val="2FEE6EA1"/>
    <w:rsid w:val="305E638F"/>
    <w:rsid w:val="306357E2"/>
    <w:rsid w:val="30A5135D"/>
    <w:rsid w:val="30A67541"/>
    <w:rsid w:val="30AC708F"/>
    <w:rsid w:val="30AD00A2"/>
    <w:rsid w:val="30AD5D49"/>
    <w:rsid w:val="30C01B6C"/>
    <w:rsid w:val="30C835D0"/>
    <w:rsid w:val="30EC0F07"/>
    <w:rsid w:val="30ED0AB9"/>
    <w:rsid w:val="30F1059C"/>
    <w:rsid w:val="30FE1366"/>
    <w:rsid w:val="312E1520"/>
    <w:rsid w:val="31561DC2"/>
    <w:rsid w:val="31682C84"/>
    <w:rsid w:val="318A345D"/>
    <w:rsid w:val="31E5258A"/>
    <w:rsid w:val="321D0FA6"/>
    <w:rsid w:val="32A210B9"/>
    <w:rsid w:val="32C80E73"/>
    <w:rsid w:val="330E785B"/>
    <w:rsid w:val="33446DD8"/>
    <w:rsid w:val="33456E75"/>
    <w:rsid w:val="33D074DE"/>
    <w:rsid w:val="3422536C"/>
    <w:rsid w:val="342714BD"/>
    <w:rsid w:val="34315ADC"/>
    <w:rsid w:val="34376E4B"/>
    <w:rsid w:val="343E4E04"/>
    <w:rsid w:val="345A3DD4"/>
    <w:rsid w:val="34687327"/>
    <w:rsid w:val="34BD5094"/>
    <w:rsid w:val="34F37964"/>
    <w:rsid w:val="35352E7D"/>
    <w:rsid w:val="353E27E2"/>
    <w:rsid w:val="35554EC1"/>
    <w:rsid w:val="355D7E16"/>
    <w:rsid w:val="356704E5"/>
    <w:rsid w:val="35884BF0"/>
    <w:rsid w:val="35DA4133"/>
    <w:rsid w:val="367F7D42"/>
    <w:rsid w:val="36E76F1F"/>
    <w:rsid w:val="36E903C3"/>
    <w:rsid w:val="36F81D0E"/>
    <w:rsid w:val="36FE3EA5"/>
    <w:rsid w:val="378C0D4E"/>
    <w:rsid w:val="37FA1A90"/>
    <w:rsid w:val="381147D8"/>
    <w:rsid w:val="38115EC3"/>
    <w:rsid w:val="38720E22"/>
    <w:rsid w:val="3897628B"/>
    <w:rsid w:val="39763A64"/>
    <w:rsid w:val="398E654D"/>
    <w:rsid w:val="39975932"/>
    <w:rsid w:val="39DD12F6"/>
    <w:rsid w:val="3A245273"/>
    <w:rsid w:val="3A2B0CF2"/>
    <w:rsid w:val="3A3A2D4C"/>
    <w:rsid w:val="3AF13CEA"/>
    <w:rsid w:val="3B1A31A7"/>
    <w:rsid w:val="3B377026"/>
    <w:rsid w:val="3B6B07B7"/>
    <w:rsid w:val="3C2F355D"/>
    <w:rsid w:val="3CCD2CF9"/>
    <w:rsid w:val="3CCF005B"/>
    <w:rsid w:val="3CE9386F"/>
    <w:rsid w:val="3CE9745B"/>
    <w:rsid w:val="3CFB0E50"/>
    <w:rsid w:val="3D186608"/>
    <w:rsid w:val="3DE82E12"/>
    <w:rsid w:val="3E16647C"/>
    <w:rsid w:val="3E2308FE"/>
    <w:rsid w:val="3E5D593B"/>
    <w:rsid w:val="3E815CDE"/>
    <w:rsid w:val="3E86299B"/>
    <w:rsid w:val="3EA36F25"/>
    <w:rsid w:val="3EF352FD"/>
    <w:rsid w:val="3F235B23"/>
    <w:rsid w:val="3F34632D"/>
    <w:rsid w:val="3F473ED8"/>
    <w:rsid w:val="3F666E0D"/>
    <w:rsid w:val="3F9B6A7B"/>
    <w:rsid w:val="405415CD"/>
    <w:rsid w:val="407C3355"/>
    <w:rsid w:val="40BF4B8E"/>
    <w:rsid w:val="40E1210B"/>
    <w:rsid w:val="40E56788"/>
    <w:rsid w:val="411A23BE"/>
    <w:rsid w:val="411E4559"/>
    <w:rsid w:val="41320BB8"/>
    <w:rsid w:val="41775363"/>
    <w:rsid w:val="417D0085"/>
    <w:rsid w:val="41827F8E"/>
    <w:rsid w:val="41C52EE3"/>
    <w:rsid w:val="41CD6CF7"/>
    <w:rsid w:val="41CF4659"/>
    <w:rsid w:val="41F22153"/>
    <w:rsid w:val="42167560"/>
    <w:rsid w:val="4331097A"/>
    <w:rsid w:val="4346094B"/>
    <w:rsid w:val="436337CE"/>
    <w:rsid w:val="43A6119B"/>
    <w:rsid w:val="4426495C"/>
    <w:rsid w:val="443C4228"/>
    <w:rsid w:val="44557097"/>
    <w:rsid w:val="44BF1C4E"/>
    <w:rsid w:val="44D672CD"/>
    <w:rsid w:val="4516348E"/>
    <w:rsid w:val="45216333"/>
    <w:rsid w:val="458E5FF7"/>
    <w:rsid w:val="45B47DEE"/>
    <w:rsid w:val="45C81AEB"/>
    <w:rsid w:val="4603250A"/>
    <w:rsid w:val="467470DE"/>
    <w:rsid w:val="467E6261"/>
    <w:rsid w:val="46B23BF5"/>
    <w:rsid w:val="475C698F"/>
    <w:rsid w:val="475F394A"/>
    <w:rsid w:val="47AF6ABF"/>
    <w:rsid w:val="480D22D7"/>
    <w:rsid w:val="485807A8"/>
    <w:rsid w:val="486A4914"/>
    <w:rsid w:val="48980B74"/>
    <w:rsid w:val="48E16144"/>
    <w:rsid w:val="493C0826"/>
    <w:rsid w:val="49731D6E"/>
    <w:rsid w:val="4A4F2DB8"/>
    <w:rsid w:val="4A7144FF"/>
    <w:rsid w:val="4A8F031A"/>
    <w:rsid w:val="4A946440"/>
    <w:rsid w:val="4AD75C2B"/>
    <w:rsid w:val="4B1A4B97"/>
    <w:rsid w:val="4B1B78EF"/>
    <w:rsid w:val="4B375A36"/>
    <w:rsid w:val="4B3C4B0D"/>
    <w:rsid w:val="4B5A2111"/>
    <w:rsid w:val="4B904E59"/>
    <w:rsid w:val="4BC44B03"/>
    <w:rsid w:val="4BDC56F8"/>
    <w:rsid w:val="4CAC3907"/>
    <w:rsid w:val="4CDF691F"/>
    <w:rsid w:val="4D28313B"/>
    <w:rsid w:val="4D432881"/>
    <w:rsid w:val="4D897DB2"/>
    <w:rsid w:val="4DD66B6B"/>
    <w:rsid w:val="4DFA52EE"/>
    <w:rsid w:val="4DFB7692"/>
    <w:rsid w:val="4E1C6E78"/>
    <w:rsid w:val="4E1E04FA"/>
    <w:rsid w:val="4E52289A"/>
    <w:rsid w:val="4E523393"/>
    <w:rsid w:val="4E6738FA"/>
    <w:rsid w:val="4E941025"/>
    <w:rsid w:val="4E944C60"/>
    <w:rsid w:val="4E993D23"/>
    <w:rsid w:val="4EC519F6"/>
    <w:rsid w:val="4ECF7A46"/>
    <w:rsid w:val="4F3A01B4"/>
    <w:rsid w:val="4F5110E0"/>
    <w:rsid w:val="4F8F2906"/>
    <w:rsid w:val="4F9F76EB"/>
    <w:rsid w:val="4FA37C15"/>
    <w:rsid w:val="4FB37D36"/>
    <w:rsid w:val="503264DF"/>
    <w:rsid w:val="5055041F"/>
    <w:rsid w:val="505622BB"/>
    <w:rsid w:val="50680152"/>
    <w:rsid w:val="507C52F6"/>
    <w:rsid w:val="50A252EB"/>
    <w:rsid w:val="50BE09BA"/>
    <w:rsid w:val="50C3297D"/>
    <w:rsid w:val="51486532"/>
    <w:rsid w:val="51C62961"/>
    <w:rsid w:val="51F83758"/>
    <w:rsid w:val="520601CC"/>
    <w:rsid w:val="520E6AD8"/>
    <w:rsid w:val="5211075C"/>
    <w:rsid w:val="522A08FB"/>
    <w:rsid w:val="525A1DDF"/>
    <w:rsid w:val="526F6DFB"/>
    <w:rsid w:val="529C7B2B"/>
    <w:rsid w:val="52A86F2C"/>
    <w:rsid w:val="5344440F"/>
    <w:rsid w:val="53B37937"/>
    <w:rsid w:val="53FD2755"/>
    <w:rsid w:val="541435B6"/>
    <w:rsid w:val="54843081"/>
    <w:rsid w:val="550D3076"/>
    <w:rsid w:val="55257C46"/>
    <w:rsid w:val="552E44C5"/>
    <w:rsid w:val="5539030F"/>
    <w:rsid w:val="55A02B0F"/>
    <w:rsid w:val="55B43144"/>
    <w:rsid w:val="55EF591F"/>
    <w:rsid w:val="56222F84"/>
    <w:rsid w:val="56252ADC"/>
    <w:rsid w:val="56266A73"/>
    <w:rsid w:val="56290384"/>
    <w:rsid w:val="562D308F"/>
    <w:rsid w:val="56301712"/>
    <w:rsid w:val="563D5BDD"/>
    <w:rsid w:val="5656737C"/>
    <w:rsid w:val="56ED7603"/>
    <w:rsid w:val="57183FCA"/>
    <w:rsid w:val="57323268"/>
    <w:rsid w:val="575C58D6"/>
    <w:rsid w:val="57607AA5"/>
    <w:rsid w:val="576A46B7"/>
    <w:rsid w:val="577A7043"/>
    <w:rsid w:val="57892EFA"/>
    <w:rsid w:val="57914433"/>
    <w:rsid w:val="5794182D"/>
    <w:rsid w:val="57B1418D"/>
    <w:rsid w:val="57C24009"/>
    <w:rsid w:val="584375EF"/>
    <w:rsid w:val="58544153"/>
    <w:rsid w:val="58C3686E"/>
    <w:rsid w:val="58D4343C"/>
    <w:rsid w:val="590A1692"/>
    <w:rsid w:val="592F51E5"/>
    <w:rsid w:val="59455A43"/>
    <w:rsid w:val="59C31E69"/>
    <w:rsid w:val="59DD74BB"/>
    <w:rsid w:val="5A753B98"/>
    <w:rsid w:val="5AAC7ED7"/>
    <w:rsid w:val="5AC75FD3"/>
    <w:rsid w:val="5AFC1BC3"/>
    <w:rsid w:val="5B0031FB"/>
    <w:rsid w:val="5B0B67D2"/>
    <w:rsid w:val="5B470A99"/>
    <w:rsid w:val="5B8816A9"/>
    <w:rsid w:val="5B8D0597"/>
    <w:rsid w:val="5BE70AC5"/>
    <w:rsid w:val="5C0F5075"/>
    <w:rsid w:val="5C645C72"/>
    <w:rsid w:val="5C7C5B98"/>
    <w:rsid w:val="5CB82D89"/>
    <w:rsid w:val="5D153410"/>
    <w:rsid w:val="5DB077C7"/>
    <w:rsid w:val="5DE40EB4"/>
    <w:rsid w:val="5DF77517"/>
    <w:rsid w:val="5E3653EC"/>
    <w:rsid w:val="5E4212A4"/>
    <w:rsid w:val="5E5A3B17"/>
    <w:rsid w:val="5E623810"/>
    <w:rsid w:val="5E8C7702"/>
    <w:rsid w:val="5EBE445A"/>
    <w:rsid w:val="5F832D98"/>
    <w:rsid w:val="5F874632"/>
    <w:rsid w:val="5F945D78"/>
    <w:rsid w:val="5FE07DEA"/>
    <w:rsid w:val="602B6AA7"/>
    <w:rsid w:val="614C587F"/>
    <w:rsid w:val="61502C69"/>
    <w:rsid w:val="615362B5"/>
    <w:rsid w:val="61783AE7"/>
    <w:rsid w:val="61A30FEA"/>
    <w:rsid w:val="61DE2022"/>
    <w:rsid w:val="61FE4473"/>
    <w:rsid w:val="62724E61"/>
    <w:rsid w:val="62FF569B"/>
    <w:rsid w:val="63043D0B"/>
    <w:rsid w:val="63DE650F"/>
    <w:rsid w:val="63E87188"/>
    <w:rsid w:val="643D76E5"/>
    <w:rsid w:val="64921AAF"/>
    <w:rsid w:val="64CE267E"/>
    <w:rsid w:val="65174A38"/>
    <w:rsid w:val="657A02B4"/>
    <w:rsid w:val="65821F26"/>
    <w:rsid w:val="65F067C8"/>
    <w:rsid w:val="6607435A"/>
    <w:rsid w:val="6632293D"/>
    <w:rsid w:val="66A872EB"/>
    <w:rsid w:val="66BC2B4E"/>
    <w:rsid w:val="670342D9"/>
    <w:rsid w:val="671309C0"/>
    <w:rsid w:val="671E3435"/>
    <w:rsid w:val="671E3CE7"/>
    <w:rsid w:val="674E11C2"/>
    <w:rsid w:val="6751773B"/>
    <w:rsid w:val="68151FD4"/>
    <w:rsid w:val="683C3F47"/>
    <w:rsid w:val="685E5C6B"/>
    <w:rsid w:val="686B0388"/>
    <w:rsid w:val="68A815DC"/>
    <w:rsid w:val="697D70FF"/>
    <w:rsid w:val="69931944"/>
    <w:rsid w:val="69A1255C"/>
    <w:rsid w:val="6A0D2113"/>
    <w:rsid w:val="6A0E02C0"/>
    <w:rsid w:val="6A5F216E"/>
    <w:rsid w:val="6A776FFE"/>
    <w:rsid w:val="6A7A6FA8"/>
    <w:rsid w:val="6A8D14AA"/>
    <w:rsid w:val="6AAA07D3"/>
    <w:rsid w:val="6AD541DF"/>
    <w:rsid w:val="6B2632AB"/>
    <w:rsid w:val="6B353A59"/>
    <w:rsid w:val="6B7B2D12"/>
    <w:rsid w:val="6B834D31"/>
    <w:rsid w:val="6BC34E17"/>
    <w:rsid w:val="6BD9385B"/>
    <w:rsid w:val="6C4E6E90"/>
    <w:rsid w:val="6C765754"/>
    <w:rsid w:val="6D8617C0"/>
    <w:rsid w:val="6DC72505"/>
    <w:rsid w:val="6E16669B"/>
    <w:rsid w:val="6E693F43"/>
    <w:rsid w:val="6E8421A4"/>
    <w:rsid w:val="6E99244E"/>
    <w:rsid w:val="6EFD70F6"/>
    <w:rsid w:val="6F313990"/>
    <w:rsid w:val="6F3828F0"/>
    <w:rsid w:val="6F595C0A"/>
    <w:rsid w:val="6F7C10CD"/>
    <w:rsid w:val="6F8D3F04"/>
    <w:rsid w:val="6F992E66"/>
    <w:rsid w:val="6FB1521A"/>
    <w:rsid w:val="70004F3C"/>
    <w:rsid w:val="700963B5"/>
    <w:rsid w:val="702A4611"/>
    <w:rsid w:val="70710506"/>
    <w:rsid w:val="70860455"/>
    <w:rsid w:val="70A23D12"/>
    <w:rsid w:val="70D016D0"/>
    <w:rsid w:val="70EE0E01"/>
    <w:rsid w:val="71357785"/>
    <w:rsid w:val="716E0241"/>
    <w:rsid w:val="71CB732D"/>
    <w:rsid w:val="71D30605"/>
    <w:rsid w:val="71DB20DB"/>
    <w:rsid w:val="71F954B6"/>
    <w:rsid w:val="71FE4E9C"/>
    <w:rsid w:val="720D12AC"/>
    <w:rsid w:val="72620A4E"/>
    <w:rsid w:val="727702DC"/>
    <w:rsid w:val="72C34258"/>
    <w:rsid w:val="73070F3B"/>
    <w:rsid w:val="731B1CFB"/>
    <w:rsid w:val="73DA1497"/>
    <w:rsid w:val="73ED63CB"/>
    <w:rsid w:val="73F95436"/>
    <w:rsid w:val="741569C1"/>
    <w:rsid w:val="74190B91"/>
    <w:rsid w:val="7419338E"/>
    <w:rsid w:val="74216B79"/>
    <w:rsid w:val="74367F1C"/>
    <w:rsid w:val="745D771F"/>
    <w:rsid w:val="74906F6C"/>
    <w:rsid w:val="74D3353D"/>
    <w:rsid w:val="74EE4EB4"/>
    <w:rsid w:val="75142E19"/>
    <w:rsid w:val="758B68F4"/>
    <w:rsid w:val="75931D64"/>
    <w:rsid w:val="759E15E6"/>
    <w:rsid w:val="75C537CD"/>
    <w:rsid w:val="7633254D"/>
    <w:rsid w:val="763E2880"/>
    <w:rsid w:val="76560190"/>
    <w:rsid w:val="76951EB1"/>
    <w:rsid w:val="77066AB4"/>
    <w:rsid w:val="774269EB"/>
    <w:rsid w:val="777234E1"/>
    <w:rsid w:val="77C974E4"/>
    <w:rsid w:val="77E6658E"/>
    <w:rsid w:val="77ED0DBA"/>
    <w:rsid w:val="786563DE"/>
    <w:rsid w:val="78BF2724"/>
    <w:rsid w:val="78CF22B3"/>
    <w:rsid w:val="78EC1E15"/>
    <w:rsid w:val="7947274B"/>
    <w:rsid w:val="796E77C6"/>
    <w:rsid w:val="797C23F5"/>
    <w:rsid w:val="7A0B6A46"/>
    <w:rsid w:val="7A2921ED"/>
    <w:rsid w:val="7A946BAB"/>
    <w:rsid w:val="7ABC1B6A"/>
    <w:rsid w:val="7B3F5E45"/>
    <w:rsid w:val="7B65146E"/>
    <w:rsid w:val="7B9854E0"/>
    <w:rsid w:val="7C0F218C"/>
    <w:rsid w:val="7C4153E1"/>
    <w:rsid w:val="7C5D78CB"/>
    <w:rsid w:val="7C654782"/>
    <w:rsid w:val="7C8B5F11"/>
    <w:rsid w:val="7C8C5A43"/>
    <w:rsid w:val="7CC6177A"/>
    <w:rsid w:val="7CD138C2"/>
    <w:rsid w:val="7D23702C"/>
    <w:rsid w:val="7DCA721C"/>
    <w:rsid w:val="7DCB394B"/>
    <w:rsid w:val="7E563C90"/>
    <w:rsid w:val="7EC42148"/>
    <w:rsid w:val="7EED5B43"/>
    <w:rsid w:val="7F007624"/>
    <w:rsid w:val="7F0C5FC9"/>
    <w:rsid w:val="7F3441A6"/>
    <w:rsid w:val="7F4C286A"/>
    <w:rsid w:val="7F555956"/>
    <w:rsid w:val="7FE17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44"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360" w:beforeLines="0" w:beforeAutospacing="0" w:after="240" w:afterLines="0" w:afterAutospacing="0" w:line="560" w:lineRule="exact"/>
      <w:ind w:firstLine="1044" w:firstLineChars="200"/>
      <w:jc w:val="left"/>
      <w:outlineLvl w:val="0"/>
    </w:pPr>
    <w:rPr>
      <w:rFonts w:ascii="Times New Roman" w:hAnsi="Times New Roman" w:eastAsia="黑体"/>
      <w:b/>
      <w:kern w:val="44"/>
    </w:rPr>
  </w:style>
  <w:style w:type="paragraph" w:styleId="3">
    <w:name w:val="heading 2"/>
    <w:basedOn w:val="1"/>
    <w:next w:val="1"/>
    <w:unhideWhenUsed/>
    <w:qFormat/>
    <w:uiPriority w:val="0"/>
    <w:pPr>
      <w:keepNext/>
      <w:keepLines/>
      <w:spacing w:before="240" w:beforeLines="0" w:beforeAutospacing="0" w:after="120" w:afterLines="0" w:afterAutospacing="0" w:line="560" w:lineRule="exact"/>
      <w:outlineLvl w:val="1"/>
    </w:pPr>
    <w:rPr>
      <w:rFonts w:ascii="Arial" w:hAnsi="Arial" w:eastAsia="楷体"/>
      <w:b/>
    </w:rPr>
  </w:style>
  <w:style w:type="paragraph" w:styleId="4">
    <w:name w:val="heading 3"/>
    <w:basedOn w:val="1"/>
    <w:next w:val="1"/>
    <w:autoRedefine/>
    <w:unhideWhenUsed/>
    <w:qFormat/>
    <w:uiPriority w:val="0"/>
    <w:pPr>
      <w:keepNext/>
      <w:keepLines/>
      <w:spacing w:before="120" w:beforeLines="0" w:beforeAutospacing="0" w:afterLines="0" w:afterAutospacing="0" w:line="560" w:lineRule="exact"/>
      <w:outlineLvl w:val="2"/>
    </w:pPr>
    <w:rPr>
      <w:b/>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endnote text"/>
    <w:basedOn w:val="1"/>
    <w:uiPriority w:val="0"/>
    <w:pPr>
      <w:snapToGrid w:val="0"/>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ndnote reference"/>
    <w:basedOn w:val="17"/>
    <w:uiPriority w:val="0"/>
    <w:rPr>
      <w:vertAlign w:val="superscript"/>
    </w:rPr>
  </w:style>
  <w:style w:type="character" w:styleId="20">
    <w:name w:val="Emphasis"/>
    <w:basedOn w:val="17"/>
    <w:autoRedefine/>
    <w:qFormat/>
    <w:uiPriority w:val="0"/>
    <w:rPr>
      <w:i/>
    </w:rPr>
  </w:style>
  <w:style w:type="character" w:styleId="21">
    <w:name w:val="Hyperlink"/>
    <w:basedOn w:val="17"/>
    <w:unhideWhenUsed/>
    <w:qFormat/>
    <w:uiPriority w:val="99"/>
    <w:rPr>
      <w:color w:val="0000FF"/>
      <w:u w:val="single"/>
    </w:rPr>
  </w:style>
  <w:style w:type="character" w:styleId="22">
    <w:name w:val="footnote reference"/>
    <w:basedOn w:val="17"/>
    <w:qFormat/>
    <w:uiPriority w:val="0"/>
    <w:rPr>
      <w:vertAlign w:val="superscript"/>
    </w:rPr>
  </w:style>
  <w:style w:type="paragraph" w:customStyle="1"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14323</Words>
  <Characters>14723</Characters>
  <Lines>15</Lines>
  <Paragraphs>4</Paragraphs>
  <TotalTime>0</TotalTime>
  <ScaleCrop>false</ScaleCrop>
  <LinksUpToDate>false</LinksUpToDate>
  <CharactersWithSpaces>14724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2021-08-08T23:06:00Z</dcterms:created>
  <dc:creator>龚葳</dc:creator>
  <cp:lastModifiedBy>JFJ04</cp:lastModifiedBy>
  <cp:lastPrinted>2023-12-01T03:33:00Z</cp:lastPrinted>
  <dcterms:modified xsi:type="dcterms:W3CDTF">2023-12-13T09:52:32Z</dcterms:modified>
  <dc:title>金凤区发展楼宇经济三年行动计划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5FB67852B9474DCC989472118D803BF4_13</vt:lpwstr>
  </property>
</Properties>
</file>